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47" w:rsidRPr="000B38D5" w:rsidRDefault="00EF1147" w:rsidP="000B38D5">
      <w:pPr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593A56">
        <w:rPr>
          <w:sz w:val="36"/>
          <w:szCs w:val="36"/>
        </w:rPr>
        <w:t xml:space="preserve"> – anno 2017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742F0A">
        <w:rPr>
          <w:rFonts w:ascii="Frutiger LT 45 Light" w:hAnsi="Frutiger LT 45 Light" w:cs="Frutiger LT 45 Light"/>
          <w:sz w:val="24"/>
        </w:rPr>
        <w:t xml:space="preserve">DEGLI AFFARI ESTERI </w:t>
      </w:r>
    </w:p>
    <w:p w:rsidR="00EF1147" w:rsidRPr="000177AA" w:rsidRDefault="00EF1147" w:rsidP="00EF1147">
      <w:pPr>
        <w:autoSpaceDE w:val="0"/>
        <w:autoSpaceDN w:val="0"/>
        <w:adjustRightInd w:val="0"/>
        <w:spacing w:line="240" w:lineRule="auto"/>
        <w:jc w:val="center"/>
        <w:rPr>
          <w:rFonts w:ascii="Frutiger LT 45 Light" w:hAnsi="Frutiger LT 45 Light" w:cs="Frutiger LT 45 Light"/>
          <w:b/>
          <w:sz w:val="20"/>
          <w:szCs w:val="20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NOTA INTEGRATIVA</w:t>
      </w:r>
      <w:r>
        <w:rPr>
          <w:rFonts w:ascii="Frutiger LT 45 Light" w:hAnsi="Frutiger LT 45 Light" w:cs="Frutiger LT 45 Light"/>
          <w:b/>
          <w:sz w:val="20"/>
          <w:szCs w:val="20"/>
        </w:rPr>
        <w:t xml:space="preserve"> </w:t>
      </w:r>
      <w:r w:rsidRPr="000177AA">
        <w:rPr>
          <w:rFonts w:ascii="Frutiger LT 45 Light" w:hAnsi="Frutiger LT 45 Light" w:cs="Frutiger LT 45 Light"/>
          <w:b/>
          <w:sz w:val="20"/>
          <w:szCs w:val="20"/>
        </w:rPr>
        <w:t>AL RENDICONTO GENERALE DELLO STATO PER L’ANNO 201</w:t>
      </w:r>
      <w:r w:rsidR="00C05B04">
        <w:rPr>
          <w:rFonts w:ascii="Frutiger LT 45 Light" w:hAnsi="Frutiger LT 45 Light" w:cs="Frutiger LT 45 Light"/>
          <w:b/>
          <w:sz w:val="20"/>
          <w:szCs w:val="20"/>
        </w:rPr>
        <w:t>7</w:t>
      </w:r>
    </w:p>
    <w:p w:rsidR="00EF1147" w:rsidRPr="000177AA" w:rsidRDefault="00EF1147" w:rsidP="00EF1147">
      <w:pPr>
        <w:autoSpaceDE w:val="0"/>
        <w:autoSpaceDN w:val="0"/>
        <w:adjustRightInd w:val="0"/>
        <w:spacing w:line="240" w:lineRule="auto"/>
        <w:jc w:val="center"/>
        <w:rPr>
          <w:rFonts w:ascii="Frutiger LT 45 Light" w:hAnsi="Frutiger LT 45 Light" w:cs="Frutiger LT 45 Light"/>
          <w:b/>
          <w:sz w:val="20"/>
        </w:rPr>
      </w:pPr>
      <w:r w:rsidRPr="000177AA">
        <w:rPr>
          <w:rFonts w:ascii="Frutiger LT 45 Light" w:hAnsi="Frutiger LT 45 Light" w:cs="Frutiger LT 45 Light"/>
          <w:b/>
          <w:sz w:val="32"/>
          <w:szCs w:val="36"/>
        </w:rPr>
        <w:t xml:space="preserve"> 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p w:rsidR="00EF1147" w:rsidRPr="00B00335" w:rsidRDefault="00EF1147" w:rsidP="00EF1147">
      <w:pPr>
        <w:spacing w:line="240" w:lineRule="auto"/>
        <w:jc w:val="center"/>
        <w:rPr>
          <w:rFonts w:ascii="Frutiger LT 45 Light" w:hAnsi="Frutiger LT 45 Light" w:cs="Frutiger LT 45 Light"/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17489" w:rsidRPr="00D17489" w:rsidRDefault="00EF1147" w:rsidP="00D17489">
            <w:pPr>
              <w:spacing w:after="0" w:line="240" w:lineRule="auto"/>
              <w:jc w:val="center"/>
              <w:rPr>
                <w:b/>
                <w:bCs/>
              </w:rPr>
            </w:pPr>
            <w:r w:rsidRPr="00107E35">
              <w:t>€</w:t>
            </w:r>
            <w:r w:rsidR="00D17489">
              <w:t xml:space="preserve">  </w:t>
            </w:r>
            <w:r w:rsidR="00C05B04">
              <w:rPr>
                <w:b/>
                <w:bCs/>
              </w:rPr>
              <w:t>9</w:t>
            </w:r>
            <w:r w:rsidR="00D17489" w:rsidRPr="00D17489">
              <w:rPr>
                <w:b/>
                <w:bCs/>
              </w:rPr>
              <w:t>.</w:t>
            </w:r>
            <w:r w:rsidR="00C05B04">
              <w:rPr>
                <w:b/>
                <w:bCs/>
              </w:rPr>
              <w:t>628</w:t>
            </w:r>
            <w:r w:rsidR="00D17489" w:rsidRPr="00D17489">
              <w:rPr>
                <w:b/>
                <w:bCs/>
              </w:rPr>
              <w:t>.</w:t>
            </w:r>
            <w:r w:rsidR="00C05B04">
              <w:rPr>
                <w:b/>
                <w:bCs/>
              </w:rPr>
              <w:t>040</w:t>
            </w:r>
            <w:r w:rsidR="00D17489" w:rsidRPr="00D17489">
              <w:rPr>
                <w:b/>
                <w:bCs/>
              </w:rPr>
              <w:t>,</w:t>
            </w:r>
            <w:r w:rsidR="00C05B04">
              <w:rPr>
                <w:b/>
                <w:bCs/>
              </w:rPr>
              <w:t>05</w:t>
            </w:r>
          </w:p>
          <w:p w:rsidR="00EF1147" w:rsidRPr="00107E35" w:rsidRDefault="00EF1147" w:rsidP="00D61E7D">
            <w:pPr>
              <w:spacing w:after="0" w:line="240" w:lineRule="auto"/>
              <w:jc w:val="center"/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807"/>
        <w:gridCol w:w="3352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 xml:space="preserve">Indicatore annuale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9A59D5" w:rsidRDefault="009A59D5" w:rsidP="009A59D5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-1</w:t>
            </w:r>
            <w:r w:rsidR="00C05B04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,</w:t>
            </w:r>
            <w:r w:rsidR="00C05B04">
              <w:rPr>
                <w:rFonts w:ascii="Trebuchet MS" w:hAnsi="Trebuchet MS" w:cs="Arial"/>
                <w:b/>
                <w:bCs/>
                <w:sz w:val="20"/>
                <w:szCs w:val="20"/>
              </w:rPr>
              <w:t>75</w:t>
            </w:r>
          </w:p>
          <w:p w:rsidR="00EF1147" w:rsidRPr="00107E35" w:rsidRDefault="00EF1147" w:rsidP="009A59D5">
            <w:pPr>
              <w:jc w:val="center"/>
            </w:pPr>
            <w:r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Default="00EF1147" w:rsidP="00EF1147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EF1147" w:rsidRPr="00107E35" w:rsidTr="00107E35">
        <w:tc>
          <w:tcPr>
            <w:tcW w:w="9628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Descrizione delle misure adottate o previste per consentire la tempestiva effettuazione dei pagamenti</w:t>
            </w:r>
          </w:p>
        </w:tc>
      </w:tr>
      <w:tr w:rsidR="00EF1147" w:rsidRPr="00107E35" w:rsidTr="008B12CD">
        <w:trPr>
          <w:trHeight w:val="54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C450DD" w:rsidRPr="00EE1729" w:rsidRDefault="00C450DD" w:rsidP="00C450DD">
            <w:pPr>
              <w:spacing w:after="0" w:line="240" w:lineRule="auto"/>
              <w:jc w:val="both"/>
            </w:pPr>
            <w:r w:rsidRPr="00EE1729">
              <w:t>Il superamento del termine ordinario di 30 giorni previsto dal d.lgs. 231-2002 è dipeso, nella maggior parte delle volte, da accordi tra l’amministrazione e le Ditte di proroga dei termini, la cui facoltà è prevista dalla stessa normativa del decreto legislativo citato (</w:t>
            </w:r>
            <w:proofErr w:type="spellStart"/>
            <w:r w:rsidRPr="00EE1729">
              <w:t>vd</w:t>
            </w:r>
            <w:proofErr w:type="spellEnd"/>
            <w:r w:rsidRPr="00EE1729">
              <w:t xml:space="preserve">. art. 4, co. 3). </w:t>
            </w:r>
          </w:p>
          <w:p w:rsidR="00C450DD" w:rsidRPr="00EE1729" w:rsidRDefault="00C450DD" w:rsidP="00C450DD">
            <w:pPr>
              <w:spacing w:after="0" w:line="240" w:lineRule="auto"/>
              <w:jc w:val="both"/>
            </w:pPr>
            <w:r w:rsidRPr="00EE1729">
              <w:t xml:space="preserve">In </w:t>
            </w:r>
            <w:r>
              <w:t>alcuni</w:t>
            </w:r>
            <w:r w:rsidRPr="00EE1729">
              <w:t xml:space="preserve"> casi gli Uffici interessati non hanno potuto procedere tempestivamente al pagamento, a motivo dell’irregolarità o della carenza della documentazione fornita dall’Impresa, o per l’esistenza di controversie che hanno determinato l’insorgere di pignoramenti dei fondi da parte di </w:t>
            </w:r>
            <w:proofErr w:type="spellStart"/>
            <w:r w:rsidRPr="00EE1729">
              <w:t>Equitalia</w:t>
            </w:r>
            <w:proofErr w:type="spellEnd"/>
            <w:r w:rsidRPr="00EE1729">
              <w:t>.</w:t>
            </w:r>
          </w:p>
          <w:p w:rsidR="00C450DD" w:rsidRPr="00EE1729" w:rsidRDefault="00C450DD" w:rsidP="00C450DD">
            <w:pPr>
              <w:spacing w:after="0" w:line="240" w:lineRule="auto"/>
              <w:jc w:val="both"/>
            </w:pPr>
            <w:r w:rsidRPr="00EE1729">
              <w:t xml:space="preserve">Alcune di queste ipotesi sono da ricondurre al rilascio non sempre tempestivo del Documento Unico di Regolarità Contributiva (DURC) da parte degli enti competenti e ai tempi di attivazione delle procedure per l’intervento sostitutivo da parte dell’Amministrazione. </w:t>
            </w:r>
          </w:p>
          <w:p w:rsidR="00C450DD" w:rsidRPr="00EE1729" w:rsidRDefault="00C450DD" w:rsidP="00C450DD">
            <w:pPr>
              <w:spacing w:after="0" w:line="240" w:lineRule="auto"/>
              <w:jc w:val="both"/>
            </w:pPr>
            <w:r w:rsidRPr="00EE1729">
              <w:t>Si deve, altresì, rilevare che i ritardi possono dipendere dalla sospensione della possibilità di emettere ordini di pagare in prossimità della chiusura dell’esercizio finanziario, o in apertura del nuovo esercizio, così come dalla ritardata disponibilità dei fondi, data la complessità delle procedure di variazione compensativa tra capitoli, di richiesta di integrazione degli stanziamenti, o di riassegnazione di entrate</w:t>
            </w:r>
            <w:r>
              <w:t>, o ancora dalla errata imputazione delle fatture presentate ai pertinenti capitoli e piani gestionali</w:t>
            </w:r>
            <w:r w:rsidRPr="00EE1729">
              <w:t>.</w:t>
            </w:r>
          </w:p>
          <w:p w:rsidR="00EF1147" w:rsidRPr="00C450DD" w:rsidRDefault="00C450DD" w:rsidP="0062598C">
            <w:pPr>
              <w:spacing w:after="0" w:line="240" w:lineRule="auto"/>
              <w:jc w:val="both"/>
            </w:pPr>
            <w:r w:rsidRPr="00EE1729">
              <w:t xml:space="preserve">Nonostante il fenomeno del ritardo nei pagamenti non sia diffuso nella scrivente Amministrazione, essendo i casi isolati riconducibili alle motivazioni sopra esposte, </w:t>
            </w:r>
            <w:r w:rsidR="0062598C">
              <w:t>sono in corso approfondimenti con gli</w:t>
            </w:r>
            <w:r>
              <w:t xml:space="preserve"> Uffici interessati, anche al fine di prendere contatto con le Ditte, per</w:t>
            </w:r>
            <w:r w:rsidRPr="00EE1729">
              <w:t xml:space="preserve"> </w:t>
            </w:r>
            <w:bookmarkStart w:id="0" w:name="_GoBack"/>
            <w:bookmarkEnd w:id="0"/>
            <w:r>
              <w:t>risolvere</w:t>
            </w:r>
            <w:r w:rsidRPr="00EE1729">
              <w:t xml:space="preserve"> le criticità che hanno determinato il mancato rispetto dei termini. Su un piano più generale l’Amministrazione manifesta il proprio impegno a ottimizzare i tempi di pagamento con una costante attenzione all’informatizzazione </w:t>
            </w:r>
            <w:r w:rsidRPr="00EE1729">
              <w:lastRenderedPageBreak/>
              <w:t>e alla semplificazione delle procedure.</w:t>
            </w: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107E35">
              <w:rPr>
                <w:b/>
              </w:rPr>
              <w:t xml:space="preserve"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  <w:p w:rsidR="00C450DD" w:rsidRDefault="00C450DD" w:rsidP="00C450DD">
            <w:pPr>
              <w:spacing w:after="0" w:line="240" w:lineRule="auto"/>
              <w:jc w:val="both"/>
            </w:pPr>
            <w:r>
              <w:t>Ai sensi del DPCM 22 settembre 2014, il segno negativo dell’indicatore mostra che il Ministero degli Affari Esteri, in media, effettua  i suoi pagamenti in anticipo rispetto ai termini previsti e l’importo totale dei pagamenti in ritardo è diminuito nel 2017.</w:t>
            </w:r>
          </w:p>
          <w:p w:rsidR="00C450DD" w:rsidRPr="00A046AE" w:rsidRDefault="00C450DD" w:rsidP="00C450DD">
            <w:pPr>
              <w:spacing w:after="0" w:line="240" w:lineRule="auto"/>
              <w:jc w:val="both"/>
            </w:pPr>
            <w:r>
              <w:t xml:space="preserve">Il metodo di calcolo </w:t>
            </w:r>
            <w:r w:rsidRPr="006D5381">
              <w:t xml:space="preserve">dell’indicatore fa riferimento a quanto previsto dal  DPCM 22 settembre 2014, 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107E35" w:rsidRDefault="00C450DD" w:rsidP="00C450DD">
            <w:pPr>
              <w:spacing w:after="0" w:line="240" w:lineRule="auto"/>
              <w:jc w:val="both"/>
              <w:rPr>
                <w:sz w:val="20"/>
              </w:rPr>
            </w:pPr>
            <w:r w:rsidRPr="00907A21">
              <w:t>Si precisa che</w:t>
            </w:r>
            <w:r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>
              <w:t>,</w:t>
            </w:r>
            <w:r w:rsidRPr="00907A21">
              <w:t xml:space="preserve"> sono state corrette alcune informazioni che apparivano palesemente incongruenti, </w:t>
            </w:r>
            <w:r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>
              <w:t xml:space="preserve">sultasse inferiore a 30 giorni: </w:t>
            </w:r>
            <w:r w:rsidRPr="00907A21">
              <w:t>la data di scadenza è stata</w:t>
            </w:r>
            <w:r>
              <w:t xml:space="preserve"> quindi</w:t>
            </w:r>
            <w:r w:rsidRPr="00907A21">
              <w:t xml:space="preserve"> corretta al trentesimo giorno successivo alla ricezione</w:t>
            </w:r>
            <w:r w:rsidRPr="00526C22">
              <w:t>, secondo quanto stabilito dalla normativa vigente.</w:t>
            </w:r>
          </w:p>
        </w:tc>
      </w:tr>
    </w:tbl>
    <w:p w:rsidR="00EF1147" w:rsidRPr="00A00656" w:rsidRDefault="00EF1147" w:rsidP="00EF1147">
      <w:pPr>
        <w:widowControl w:val="0"/>
        <w:spacing w:after="120" w:line="240" w:lineRule="auto"/>
        <w:jc w:val="both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3250"/>
    <w:multiLevelType w:val="hybridMultilevel"/>
    <w:tmpl w:val="5810C1F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2"/>
    <w:rsid w:val="00007926"/>
    <w:rsid w:val="00042E22"/>
    <w:rsid w:val="000B38D5"/>
    <w:rsid w:val="00107E35"/>
    <w:rsid w:val="001E3F64"/>
    <w:rsid w:val="002535D2"/>
    <w:rsid w:val="002B556D"/>
    <w:rsid w:val="00370B91"/>
    <w:rsid w:val="003863D7"/>
    <w:rsid w:val="003A053F"/>
    <w:rsid w:val="003B0BC0"/>
    <w:rsid w:val="0044759C"/>
    <w:rsid w:val="004A3780"/>
    <w:rsid w:val="004C6572"/>
    <w:rsid w:val="00593A56"/>
    <w:rsid w:val="005D70E9"/>
    <w:rsid w:val="005F3AF4"/>
    <w:rsid w:val="006204C9"/>
    <w:rsid w:val="0062598C"/>
    <w:rsid w:val="006A035C"/>
    <w:rsid w:val="006D5381"/>
    <w:rsid w:val="007177A6"/>
    <w:rsid w:val="00742F0A"/>
    <w:rsid w:val="007A7881"/>
    <w:rsid w:val="008445BE"/>
    <w:rsid w:val="00891BD2"/>
    <w:rsid w:val="008B12CD"/>
    <w:rsid w:val="0090137B"/>
    <w:rsid w:val="00990387"/>
    <w:rsid w:val="009A59D5"/>
    <w:rsid w:val="00BE1FAD"/>
    <w:rsid w:val="00C05B04"/>
    <w:rsid w:val="00C27B12"/>
    <w:rsid w:val="00C450DD"/>
    <w:rsid w:val="00CE2AC7"/>
    <w:rsid w:val="00D17489"/>
    <w:rsid w:val="00D61E7D"/>
    <w:rsid w:val="00D81D44"/>
    <w:rsid w:val="00E454FC"/>
    <w:rsid w:val="00ED2A3F"/>
    <w:rsid w:val="00ED577F"/>
    <w:rsid w:val="00EF1147"/>
    <w:rsid w:val="00F25A93"/>
    <w:rsid w:val="00F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Dattola Fabrizio</cp:lastModifiedBy>
  <cp:revision>5</cp:revision>
  <dcterms:created xsi:type="dcterms:W3CDTF">2018-01-31T11:04:00Z</dcterms:created>
  <dcterms:modified xsi:type="dcterms:W3CDTF">2018-01-31T11:12:00Z</dcterms:modified>
</cp:coreProperties>
</file>