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18" w:rsidRDefault="00825B18" w:rsidP="00775F38">
      <w:pPr>
        <w:suppressAutoHyphens/>
        <w:spacing w:after="0" w:line="240" w:lineRule="auto"/>
        <w:jc w:val="both"/>
        <w:rPr>
          <w:rFonts w:eastAsia="Times New Roman"/>
          <w:i/>
          <w:color w:val="000000"/>
          <w:sz w:val="26"/>
          <w:szCs w:val="26"/>
          <w:lang w:eastAsia="it-IT"/>
        </w:rPr>
      </w:pPr>
    </w:p>
    <w:p w:rsidR="00825B18" w:rsidRDefault="00825B18" w:rsidP="00825B18">
      <w:pPr>
        <w:suppressAutoHyphens/>
        <w:spacing w:after="0" w:line="240" w:lineRule="auto"/>
        <w:ind w:left="284"/>
        <w:jc w:val="both"/>
        <w:rPr>
          <w:rFonts w:eastAsia="Times New Roman"/>
          <w:i/>
          <w:color w:val="000000"/>
          <w:sz w:val="26"/>
          <w:szCs w:val="26"/>
          <w:lang w:eastAsia="it-IT"/>
        </w:rPr>
      </w:pPr>
    </w:p>
    <w:p w:rsidR="00F84EF2" w:rsidRPr="00F84EF2" w:rsidRDefault="00F84EF2" w:rsidP="00F84EF2">
      <w:pPr>
        <w:pStyle w:val="Titolo1"/>
        <w:spacing w:line="360" w:lineRule="auto"/>
        <w:jc w:val="center"/>
        <w:rPr>
          <w:sz w:val="36"/>
          <w:szCs w:val="36"/>
          <w:u w:val="none"/>
        </w:rPr>
      </w:pPr>
      <w:bookmarkStart w:id="0" w:name="_GoBack"/>
      <w:r w:rsidRPr="00F84EF2">
        <w:rPr>
          <w:sz w:val="36"/>
          <w:szCs w:val="36"/>
          <w:u w:val="none"/>
        </w:rPr>
        <w:t xml:space="preserve">MESSAGGI PRINCIPALI MISSIONE DEL MINISTRO ALFANO A </w:t>
      </w:r>
      <w:r>
        <w:rPr>
          <w:sz w:val="36"/>
          <w:szCs w:val="36"/>
          <w:u w:val="none"/>
        </w:rPr>
        <w:t xml:space="preserve">VIENNA </w:t>
      </w:r>
      <w:r w:rsidRPr="00F84EF2">
        <w:rPr>
          <w:sz w:val="36"/>
          <w:szCs w:val="36"/>
          <w:u w:val="none"/>
        </w:rPr>
        <w:t xml:space="preserve"> 7 </w:t>
      </w:r>
      <w:r>
        <w:rPr>
          <w:sz w:val="36"/>
          <w:szCs w:val="36"/>
          <w:u w:val="none"/>
        </w:rPr>
        <w:t>DICEMBRE 2017</w:t>
      </w:r>
    </w:p>
    <w:p w:rsidR="00825B18" w:rsidRDefault="00825B18" w:rsidP="00825B18">
      <w:pPr>
        <w:suppressAutoHyphens/>
        <w:spacing w:after="0" w:line="240" w:lineRule="auto"/>
        <w:ind w:left="284"/>
        <w:jc w:val="both"/>
        <w:rPr>
          <w:rFonts w:eastAsia="Times New Roman"/>
          <w:i/>
          <w:color w:val="000000"/>
          <w:sz w:val="26"/>
          <w:szCs w:val="26"/>
          <w:lang w:eastAsia="it-IT"/>
        </w:rPr>
      </w:pPr>
    </w:p>
    <w:p w:rsidR="00F84EF2" w:rsidRDefault="00F84EF2" w:rsidP="00825B18">
      <w:pPr>
        <w:suppressAutoHyphens/>
        <w:spacing w:after="0" w:line="240" w:lineRule="auto"/>
        <w:ind w:left="284"/>
        <w:jc w:val="both"/>
        <w:rPr>
          <w:rFonts w:eastAsia="Times New Roman"/>
          <w:i/>
          <w:color w:val="000000"/>
          <w:sz w:val="26"/>
          <w:szCs w:val="26"/>
          <w:lang w:eastAsia="it-IT"/>
        </w:rPr>
      </w:pPr>
    </w:p>
    <w:p w:rsidR="00775F38" w:rsidRPr="00E61A33" w:rsidRDefault="00881C60" w:rsidP="00775F38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/>
          <w:i/>
          <w:color w:val="000000"/>
          <w:sz w:val="26"/>
          <w:szCs w:val="26"/>
          <w:lang w:eastAsia="it-IT"/>
        </w:rPr>
      </w:pPr>
      <w:r w:rsidRPr="00E61A33">
        <w:rPr>
          <w:rFonts w:eastAsia="Times New Roman"/>
          <w:i/>
          <w:color w:val="000000"/>
          <w:sz w:val="26"/>
          <w:szCs w:val="26"/>
          <w:lang w:eastAsia="it-IT"/>
        </w:rPr>
        <w:t>I</w:t>
      </w:r>
      <w:r w:rsidR="00775F38" w:rsidRPr="00E61A33">
        <w:rPr>
          <w:rFonts w:eastAsia="Times New Roman"/>
          <w:i/>
          <w:color w:val="000000"/>
          <w:sz w:val="26"/>
          <w:szCs w:val="26"/>
          <w:lang w:eastAsia="it-IT"/>
        </w:rPr>
        <w:t xml:space="preserve"> nostri rapporti </w:t>
      </w:r>
      <w:r w:rsidR="00E61A33" w:rsidRPr="00E61A33">
        <w:rPr>
          <w:rFonts w:eastAsia="Times New Roman"/>
          <w:i/>
          <w:color w:val="000000"/>
          <w:sz w:val="26"/>
          <w:szCs w:val="26"/>
          <w:lang w:eastAsia="it-IT"/>
        </w:rPr>
        <w:t xml:space="preserve">tra Italia e Austria </w:t>
      </w:r>
      <w:r w:rsidR="00775F38" w:rsidRPr="00E61A33">
        <w:rPr>
          <w:rFonts w:eastAsia="Times New Roman"/>
          <w:i/>
          <w:color w:val="000000"/>
          <w:sz w:val="26"/>
          <w:szCs w:val="26"/>
          <w:lang w:eastAsia="it-IT"/>
        </w:rPr>
        <w:t xml:space="preserve">sono molto intensi. L’Italia è il secondo esportatore in </w:t>
      </w:r>
      <w:r w:rsidRPr="00E61A33">
        <w:rPr>
          <w:rFonts w:eastAsia="Times New Roman"/>
          <w:i/>
          <w:color w:val="000000"/>
          <w:sz w:val="26"/>
          <w:szCs w:val="26"/>
          <w:lang w:eastAsia="it-IT"/>
        </w:rPr>
        <w:t>Austria, dove sono presenti numerose imprese italiane</w:t>
      </w:r>
      <w:r w:rsidR="00775F38" w:rsidRPr="00E61A33">
        <w:rPr>
          <w:rFonts w:eastAsia="Times New Roman"/>
          <w:i/>
          <w:color w:val="000000"/>
          <w:sz w:val="26"/>
          <w:szCs w:val="26"/>
          <w:lang w:eastAsia="it-IT"/>
        </w:rPr>
        <w:t>.</w:t>
      </w:r>
      <w:r w:rsidR="00E61A33">
        <w:rPr>
          <w:rFonts w:eastAsia="Times New Roman"/>
          <w:i/>
          <w:color w:val="000000"/>
          <w:sz w:val="26"/>
          <w:szCs w:val="26"/>
          <w:lang w:eastAsia="it-IT"/>
        </w:rPr>
        <w:t xml:space="preserve"> </w:t>
      </w:r>
      <w:r w:rsidR="00775F38" w:rsidRPr="00E61A33">
        <w:rPr>
          <w:rFonts w:eastAsia="Times New Roman"/>
          <w:i/>
          <w:color w:val="000000"/>
          <w:sz w:val="26"/>
          <w:szCs w:val="26"/>
          <w:lang w:eastAsia="it-IT"/>
        </w:rPr>
        <w:t>Una particolare soddisfazione ci viene inoltre dal comune progetto del tunnel di base del Brennero. Una volta realizzato e messo in esercizio nel 2026, diventerà la più lunga galleria ferroviaria al mondo. L’opera è destinata infatti a rafforzare ulteriormente i legami, anche in ambito economico-commerciale, tra i due Paesi.</w:t>
      </w:r>
    </w:p>
    <w:p w:rsidR="009A6B0E" w:rsidRDefault="009A6B0E" w:rsidP="00E61A33">
      <w:pPr>
        <w:suppressAutoHyphens/>
        <w:spacing w:after="0" w:line="240" w:lineRule="auto"/>
        <w:jc w:val="both"/>
        <w:rPr>
          <w:rFonts w:eastAsia="Times New Roman"/>
          <w:b/>
          <w:i/>
          <w:sz w:val="26"/>
          <w:szCs w:val="26"/>
          <w:u w:val="single"/>
          <w:lang w:eastAsia="it-IT"/>
        </w:rPr>
      </w:pPr>
    </w:p>
    <w:p w:rsidR="00775F38" w:rsidRDefault="00775F38" w:rsidP="00775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Garamond,Italic"/>
          <w:i/>
          <w:iCs/>
          <w:sz w:val="26"/>
          <w:szCs w:val="26"/>
        </w:rPr>
      </w:pPr>
      <w:bookmarkStart w:id="1" w:name="_Toc483379368"/>
      <w:bookmarkStart w:id="2" w:name="_Toc483405027"/>
      <w:bookmarkStart w:id="3" w:name="_Toc483379231"/>
      <w:bookmarkStart w:id="4" w:name="_Toc483379367"/>
      <w:bookmarkStart w:id="5" w:name="_Toc483405026"/>
      <w:r w:rsidRPr="00E61A33">
        <w:rPr>
          <w:rFonts w:cs="Garamond,Italic"/>
          <w:i/>
          <w:iCs/>
          <w:sz w:val="26"/>
          <w:szCs w:val="26"/>
        </w:rPr>
        <w:t xml:space="preserve">La storia di successo dell’Alto Adige continua a richiedere il massimo impegno di buona volontà politica sia dei due Paesi, sia dei gruppi linguistici che devono continuare a condividere il territorio. L’Accordo De Gasperi-Gruber e la sua avvenuta piena attuazione rappresentano un paradigma per la soluzione di problemi legati al trattamento delle minoranze. </w:t>
      </w:r>
    </w:p>
    <w:p w:rsidR="00E61A33" w:rsidRPr="00E61A33" w:rsidRDefault="00E61A33" w:rsidP="00E61A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Garamond,Italic"/>
          <w:i/>
          <w:iCs/>
          <w:sz w:val="26"/>
          <w:szCs w:val="26"/>
        </w:rPr>
      </w:pPr>
    </w:p>
    <w:p w:rsidR="00775F38" w:rsidRDefault="00775F38" w:rsidP="00775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Garamond,Italic"/>
          <w:i/>
          <w:iCs/>
          <w:sz w:val="26"/>
          <w:szCs w:val="26"/>
        </w:rPr>
      </w:pPr>
      <w:r w:rsidRPr="0090117C">
        <w:rPr>
          <w:rFonts w:cs="Garamond,Italic"/>
          <w:i/>
          <w:iCs/>
          <w:sz w:val="26"/>
          <w:szCs w:val="26"/>
        </w:rPr>
        <w:t xml:space="preserve">Il regime speciale di autonomia del Trentino Alto Adige/Südtirol </w:t>
      </w:r>
      <w:r w:rsidR="00E61A33" w:rsidRPr="0090117C">
        <w:rPr>
          <w:rFonts w:cs="Garamond,Italic"/>
          <w:i/>
          <w:iCs/>
          <w:sz w:val="26"/>
          <w:szCs w:val="26"/>
        </w:rPr>
        <w:t>è</w:t>
      </w:r>
      <w:r w:rsidRPr="0090117C">
        <w:rPr>
          <w:rFonts w:cs="Garamond,Italic"/>
          <w:i/>
          <w:iCs/>
          <w:sz w:val="26"/>
          <w:szCs w:val="26"/>
        </w:rPr>
        <w:t xml:space="preserve"> un riuscito modello di tutela delle minoranze e di serena coabitazione tra gruppi linguistici diversi.</w:t>
      </w:r>
    </w:p>
    <w:p w:rsidR="00825B18" w:rsidRPr="0090117C" w:rsidRDefault="00825B18" w:rsidP="00825B18">
      <w:pPr>
        <w:autoSpaceDE w:val="0"/>
        <w:autoSpaceDN w:val="0"/>
        <w:adjustRightInd w:val="0"/>
        <w:spacing w:after="0" w:line="240" w:lineRule="auto"/>
        <w:jc w:val="both"/>
        <w:rPr>
          <w:rFonts w:cs="Garamond,Italic"/>
          <w:i/>
          <w:iCs/>
          <w:sz w:val="26"/>
          <w:szCs w:val="26"/>
        </w:rPr>
      </w:pPr>
    </w:p>
    <w:p w:rsidR="00825B18" w:rsidRPr="00825B18" w:rsidRDefault="00775F38" w:rsidP="00775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 w:val="26"/>
          <w:szCs w:val="26"/>
        </w:rPr>
      </w:pPr>
      <w:r w:rsidRPr="00825B18">
        <w:rPr>
          <w:rFonts w:cs="Garamond,Italic"/>
          <w:i/>
          <w:iCs/>
          <w:sz w:val="26"/>
          <w:szCs w:val="26"/>
        </w:rPr>
        <w:t>L’eventuale concessione in massa della cittadinanza austriaca agli Altoatesini non potrebbe essere accettata dall’Italia, perché potrebbe pregiudicare il prezioso equ</w:t>
      </w:r>
      <w:r w:rsidR="00825B18" w:rsidRPr="00825B18">
        <w:rPr>
          <w:rFonts w:cs="Garamond,Italic"/>
          <w:i/>
          <w:iCs/>
          <w:sz w:val="26"/>
          <w:szCs w:val="26"/>
        </w:rPr>
        <w:t xml:space="preserve">ilibrio costruito in Alto Adige, oltre ad essere contraria </w:t>
      </w:r>
      <w:r w:rsidRPr="00825B18">
        <w:rPr>
          <w:rFonts w:cs="Garamond,Italic"/>
          <w:i/>
          <w:iCs/>
          <w:sz w:val="26"/>
          <w:szCs w:val="26"/>
        </w:rPr>
        <w:t>allo spirito ed alla lettera dell’Accordo De Gasperi-Gruber del settembre 1946</w:t>
      </w:r>
      <w:r w:rsidR="00825B18" w:rsidRPr="00825B18">
        <w:rPr>
          <w:rFonts w:cs="Garamond,Italic"/>
          <w:i/>
          <w:iCs/>
          <w:sz w:val="26"/>
          <w:szCs w:val="26"/>
        </w:rPr>
        <w:t xml:space="preserve"> e al principio di </w:t>
      </w:r>
      <w:r w:rsidRPr="00825B18">
        <w:rPr>
          <w:rFonts w:cs="Garamond,Italic"/>
          <w:i/>
          <w:iCs/>
          <w:sz w:val="26"/>
          <w:szCs w:val="26"/>
        </w:rPr>
        <w:t xml:space="preserve">reciproca fiducia e leale collaborazione sancito dai Trattati UE. </w:t>
      </w:r>
    </w:p>
    <w:bookmarkEnd w:id="1"/>
    <w:bookmarkEnd w:id="2"/>
    <w:bookmarkEnd w:id="3"/>
    <w:bookmarkEnd w:id="4"/>
    <w:bookmarkEnd w:id="5"/>
    <w:p w:rsidR="00775F38" w:rsidRPr="00656E04" w:rsidRDefault="00775F38" w:rsidP="00775F38">
      <w:pPr>
        <w:spacing w:after="0" w:line="240" w:lineRule="auto"/>
        <w:ind w:left="284" w:hanging="284"/>
        <w:jc w:val="both"/>
        <w:rPr>
          <w:rFonts w:eastAsia="Times New Roman"/>
          <w:b/>
          <w:color w:val="000000"/>
          <w:sz w:val="12"/>
          <w:szCs w:val="12"/>
          <w:u w:val="single"/>
          <w:lang w:eastAsia="it-IT"/>
        </w:rPr>
      </w:pPr>
    </w:p>
    <w:p w:rsidR="00775F38" w:rsidRDefault="00825B18" w:rsidP="00775F38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bCs/>
          <w:i/>
          <w:sz w:val="26"/>
          <w:szCs w:val="26"/>
        </w:rPr>
      </w:pPr>
      <w:r w:rsidRPr="00825B18">
        <w:rPr>
          <w:rStyle w:val="Titolo1Carattere"/>
          <w:rFonts w:eastAsia="Calibri"/>
          <w:b w:val="0"/>
          <w:i/>
          <w:u w:val="none"/>
        </w:rPr>
        <w:t>L</w:t>
      </w:r>
      <w:r w:rsidR="00775F38" w:rsidRPr="00CF768D">
        <w:rPr>
          <w:bCs/>
          <w:i/>
          <w:sz w:val="26"/>
          <w:szCs w:val="26"/>
        </w:rPr>
        <w:t xml:space="preserve">’integrità dell’area Schengen </w:t>
      </w:r>
      <w:r>
        <w:rPr>
          <w:bCs/>
          <w:i/>
          <w:sz w:val="26"/>
          <w:szCs w:val="26"/>
        </w:rPr>
        <w:t>è</w:t>
      </w:r>
      <w:r w:rsidR="00775F38" w:rsidRPr="00CF768D">
        <w:rPr>
          <w:bCs/>
          <w:i/>
          <w:sz w:val="26"/>
          <w:szCs w:val="26"/>
        </w:rPr>
        <w:t xml:space="preserve"> un’eredità che occorre preservare a qualunque costo. </w:t>
      </w:r>
      <w:r w:rsidR="00775F38">
        <w:rPr>
          <w:bCs/>
          <w:i/>
          <w:sz w:val="26"/>
          <w:szCs w:val="26"/>
        </w:rPr>
        <w:t>L</w:t>
      </w:r>
      <w:r w:rsidR="00775F38" w:rsidRPr="00CF768D">
        <w:rPr>
          <w:bCs/>
          <w:i/>
          <w:sz w:val="26"/>
          <w:szCs w:val="26"/>
        </w:rPr>
        <w:t>a reintroduzione dei controlli sistematici alle frontiere dovrebbe rimanere temporanea e proporzionata.</w:t>
      </w:r>
    </w:p>
    <w:p w:rsidR="00825B18" w:rsidRPr="00CF768D" w:rsidRDefault="00825B18" w:rsidP="00825B18">
      <w:pPr>
        <w:spacing w:after="0" w:line="240" w:lineRule="auto"/>
        <w:ind w:left="284"/>
        <w:contextualSpacing/>
        <w:jc w:val="both"/>
        <w:rPr>
          <w:bCs/>
          <w:i/>
          <w:sz w:val="26"/>
          <w:szCs w:val="26"/>
        </w:rPr>
      </w:pPr>
    </w:p>
    <w:p w:rsidR="00775F38" w:rsidRDefault="00825B18" w:rsidP="00775F38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L’Italia è </w:t>
      </w:r>
      <w:r w:rsidR="00775F38" w:rsidRPr="00CF768D">
        <w:rPr>
          <w:bCs/>
          <w:i/>
          <w:sz w:val="26"/>
          <w:szCs w:val="26"/>
        </w:rPr>
        <w:t>apert</w:t>
      </w:r>
      <w:r>
        <w:rPr>
          <w:bCs/>
          <w:i/>
          <w:sz w:val="26"/>
          <w:szCs w:val="26"/>
        </w:rPr>
        <w:t>a</w:t>
      </w:r>
      <w:r w:rsidR="00775F38" w:rsidRPr="00CF768D">
        <w:rPr>
          <w:bCs/>
          <w:i/>
          <w:sz w:val="26"/>
          <w:szCs w:val="26"/>
        </w:rPr>
        <w:t xml:space="preserve"> verso la proposta presentata dalla Commissione sulla revisione del Codice Frontiere Schengen</w:t>
      </w:r>
      <w:r>
        <w:rPr>
          <w:bCs/>
          <w:i/>
          <w:sz w:val="26"/>
          <w:szCs w:val="26"/>
        </w:rPr>
        <w:t>, sottolineando, al contempo,</w:t>
      </w:r>
      <w:r w:rsidR="00775F38">
        <w:rPr>
          <w:bCs/>
          <w:i/>
          <w:sz w:val="26"/>
          <w:szCs w:val="26"/>
        </w:rPr>
        <w:t xml:space="preserve"> </w:t>
      </w:r>
      <w:r w:rsidR="00775F38" w:rsidRPr="00CF768D">
        <w:rPr>
          <w:bCs/>
          <w:i/>
          <w:sz w:val="26"/>
          <w:szCs w:val="26"/>
        </w:rPr>
        <w:t>la necessità di evitare qualsiasi pericolosa sovrapposizione tra autentiche preoccupazioni di sicurezza e questioni migratorie.</w:t>
      </w:r>
    </w:p>
    <w:bookmarkEnd w:id="0"/>
    <w:p w:rsidR="00775F38" w:rsidRPr="00656E04" w:rsidRDefault="00775F38" w:rsidP="00775F38">
      <w:pPr>
        <w:pStyle w:val="Titolo1"/>
        <w:rPr>
          <w:sz w:val="12"/>
          <w:szCs w:val="12"/>
        </w:rPr>
      </w:pPr>
    </w:p>
    <w:sectPr w:rsidR="00775F38" w:rsidRPr="00656E04" w:rsidSect="002C3503">
      <w:footerReference w:type="default" r:id="rId8"/>
      <w:pgSz w:w="11906" w:h="16838"/>
      <w:pgMar w:top="851" w:right="851" w:bottom="851" w:left="851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54" w:rsidRDefault="003B6254">
      <w:pPr>
        <w:spacing w:after="0" w:line="240" w:lineRule="auto"/>
      </w:pPr>
      <w:r>
        <w:separator/>
      </w:r>
    </w:p>
  </w:endnote>
  <w:endnote w:type="continuationSeparator" w:id="0">
    <w:p w:rsidR="003B6254" w:rsidRDefault="003B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55" w:rsidRDefault="009A6B0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84E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54" w:rsidRDefault="003B6254">
      <w:pPr>
        <w:spacing w:after="0" w:line="240" w:lineRule="auto"/>
      </w:pPr>
      <w:r>
        <w:separator/>
      </w:r>
    </w:p>
  </w:footnote>
  <w:footnote w:type="continuationSeparator" w:id="0">
    <w:p w:rsidR="003B6254" w:rsidRDefault="003B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EF1"/>
    <w:multiLevelType w:val="hybridMultilevel"/>
    <w:tmpl w:val="EAA8E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A51"/>
    <w:multiLevelType w:val="hybridMultilevel"/>
    <w:tmpl w:val="42FAC2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B6DF1"/>
    <w:multiLevelType w:val="hybridMultilevel"/>
    <w:tmpl w:val="5DE2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F3F3C"/>
    <w:multiLevelType w:val="hybridMultilevel"/>
    <w:tmpl w:val="0622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64AE3"/>
    <w:multiLevelType w:val="hybridMultilevel"/>
    <w:tmpl w:val="4B2E8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C3E5C"/>
    <w:multiLevelType w:val="hybridMultilevel"/>
    <w:tmpl w:val="4274C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50739"/>
    <w:multiLevelType w:val="hybridMultilevel"/>
    <w:tmpl w:val="93B4D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D3A54"/>
    <w:multiLevelType w:val="hybridMultilevel"/>
    <w:tmpl w:val="DFBA7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174EC"/>
    <w:multiLevelType w:val="hybridMultilevel"/>
    <w:tmpl w:val="A2645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63CD8"/>
    <w:multiLevelType w:val="hybridMultilevel"/>
    <w:tmpl w:val="E032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4ACF"/>
    <w:multiLevelType w:val="hybridMultilevel"/>
    <w:tmpl w:val="4760B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C1BDD"/>
    <w:multiLevelType w:val="hybridMultilevel"/>
    <w:tmpl w:val="61348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38"/>
    <w:rsid w:val="003B6254"/>
    <w:rsid w:val="00494002"/>
    <w:rsid w:val="00775F38"/>
    <w:rsid w:val="00825B18"/>
    <w:rsid w:val="00881C60"/>
    <w:rsid w:val="009A6B0E"/>
    <w:rsid w:val="00E61A33"/>
    <w:rsid w:val="00F027EA"/>
    <w:rsid w:val="00F8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F3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5F38"/>
    <w:pPr>
      <w:keepNext/>
      <w:spacing w:after="0" w:line="240" w:lineRule="auto"/>
      <w:outlineLvl w:val="0"/>
    </w:pPr>
    <w:rPr>
      <w:rFonts w:eastAsia="Times New Roman"/>
      <w:b/>
      <w:bCs/>
      <w:kern w:val="32"/>
      <w:sz w:val="26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5F38"/>
    <w:rPr>
      <w:rFonts w:ascii="Calibri" w:eastAsia="Times New Roman" w:hAnsi="Calibri" w:cs="Times New Roman"/>
      <w:b/>
      <w:bCs/>
      <w:kern w:val="32"/>
      <w:sz w:val="26"/>
      <w:szCs w:val="26"/>
      <w:u w:val="single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775F38"/>
    <w:pPr>
      <w:ind w:left="720"/>
      <w:contextualSpacing/>
    </w:p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link w:val="Paragrafoelenco"/>
    <w:uiPriority w:val="34"/>
    <w:qFormat/>
    <w:locked/>
    <w:rsid w:val="00775F3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5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F3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5F38"/>
    <w:pPr>
      <w:keepNext/>
      <w:spacing w:after="0" w:line="240" w:lineRule="auto"/>
      <w:outlineLvl w:val="0"/>
    </w:pPr>
    <w:rPr>
      <w:rFonts w:eastAsia="Times New Roman"/>
      <w:b/>
      <w:bCs/>
      <w:kern w:val="32"/>
      <w:sz w:val="26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5F38"/>
    <w:rPr>
      <w:rFonts w:ascii="Calibri" w:eastAsia="Times New Roman" w:hAnsi="Calibri" w:cs="Times New Roman"/>
      <w:b/>
      <w:bCs/>
      <w:kern w:val="32"/>
      <w:sz w:val="26"/>
      <w:szCs w:val="26"/>
      <w:u w:val="single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775F38"/>
    <w:pPr>
      <w:ind w:left="720"/>
      <w:contextualSpacing/>
    </w:p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link w:val="Paragrafoelenco"/>
    <w:uiPriority w:val="34"/>
    <w:qFormat/>
    <w:locked/>
    <w:rsid w:val="00775F3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5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2018-02-08T16:04:00Z</dcterms:created>
  <dcterms:modified xsi:type="dcterms:W3CDTF">2018-02-08T16:04:00Z</dcterms:modified>
</cp:coreProperties>
</file>