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3" w:rsidRPr="00262B03" w:rsidRDefault="00262B03" w:rsidP="00262B03">
      <w:pPr>
        <w:spacing w:after="120" w:line="240" w:lineRule="auto"/>
        <w:jc w:val="center"/>
        <w:rPr>
          <w:rFonts w:ascii="Cambria" w:eastAsia="Times New Roman" w:hAnsi="Cambria"/>
          <w:b/>
          <w:bCs/>
          <w:color w:val="365F91"/>
          <w:kern w:val="36"/>
          <w:sz w:val="36"/>
          <w:szCs w:val="36"/>
        </w:rPr>
      </w:pPr>
      <w:r w:rsidRPr="00262B03">
        <w:rPr>
          <w:rFonts w:ascii="Cambria" w:eastAsia="Times New Roman" w:hAnsi="Cambria"/>
          <w:b/>
          <w:bCs/>
          <w:color w:val="365F91"/>
          <w:kern w:val="36"/>
          <w:sz w:val="36"/>
          <w:szCs w:val="36"/>
        </w:rPr>
        <w:t xml:space="preserve">MESSAGGI PRINCIPALI TERZO COMITATO DI </w:t>
      </w:r>
      <w:r>
        <w:rPr>
          <w:rFonts w:ascii="Cambria" w:eastAsia="Times New Roman" w:hAnsi="Cambria"/>
          <w:b/>
          <w:bCs/>
          <w:color w:val="365F91"/>
          <w:kern w:val="36"/>
          <w:sz w:val="36"/>
          <w:szCs w:val="36"/>
        </w:rPr>
        <w:t>C</w:t>
      </w:r>
      <w:r w:rsidRPr="00262B03">
        <w:rPr>
          <w:rFonts w:ascii="Cambria" w:eastAsia="Times New Roman" w:hAnsi="Cambria"/>
          <w:b/>
          <w:bCs/>
          <w:color w:val="365F91"/>
          <w:kern w:val="36"/>
          <w:sz w:val="36"/>
          <w:szCs w:val="36"/>
        </w:rPr>
        <w:t>OORDINAMENTO DEI MINISTRI ITALIA-CROAZIA</w:t>
      </w:r>
    </w:p>
    <w:p w:rsidR="00D45399" w:rsidRPr="00262B03" w:rsidRDefault="00262B03" w:rsidP="00262B03">
      <w:pPr>
        <w:spacing w:after="0" w:line="240" w:lineRule="auto"/>
        <w:jc w:val="center"/>
        <w:rPr>
          <w:rFonts w:ascii="Cambria" w:eastAsia="Times New Roman" w:hAnsi="Cambria"/>
          <w:b/>
          <w:bCs/>
          <w:color w:val="365F91"/>
          <w:kern w:val="36"/>
          <w:sz w:val="36"/>
          <w:szCs w:val="36"/>
        </w:rPr>
      </w:pPr>
      <w:r>
        <w:rPr>
          <w:rFonts w:ascii="Cambria" w:eastAsia="Times New Roman" w:hAnsi="Cambria"/>
          <w:b/>
          <w:bCs/>
          <w:color w:val="365F91"/>
          <w:kern w:val="36"/>
          <w:sz w:val="36"/>
          <w:szCs w:val="36"/>
        </w:rPr>
        <w:t xml:space="preserve">Roma, </w:t>
      </w:r>
      <w:r w:rsidRPr="00262B03">
        <w:rPr>
          <w:rFonts w:ascii="Cambria" w:eastAsia="Times New Roman" w:hAnsi="Cambria"/>
          <w:b/>
          <w:bCs/>
          <w:color w:val="365F91"/>
          <w:kern w:val="36"/>
          <w:sz w:val="36"/>
          <w:szCs w:val="36"/>
        </w:rPr>
        <w:t>18 gennaio 2018</w:t>
      </w:r>
    </w:p>
    <w:p w:rsidR="000B0B7E" w:rsidRPr="000B0B7E" w:rsidRDefault="000B0B7E" w:rsidP="000B0B7E">
      <w:pPr>
        <w:spacing w:after="120" w:line="360" w:lineRule="auto"/>
        <w:ind w:left="714"/>
        <w:contextualSpacing/>
        <w:jc w:val="both"/>
        <w:rPr>
          <w:sz w:val="36"/>
          <w:szCs w:val="36"/>
        </w:rPr>
      </w:pPr>
      <w:bookmarkStart w:id="0" w:name="_Toc494308921"/>
      <w:bookmarkStart w:id="1" w:name="_Toc494912383"/>
      <w:bookmarkEnd w:id="0"/>
      <w:bookmarkEnd w:id="1"/>
    </w:p>
    <w:p w:rsidR="004E0685" w:rsidRPr="00601E25" w:rsidRDefault="00262B03" w:rsidP="004E0685">
      <w:pPr>
        <w:numPr>
          <w:ilvl w:val="0"/>
          <w:numId w:val="2"/>
        </w:numPr>
        <w:spacing w:after="120" w:line="360" w:lineRule="auto"/>
        <w:ind w:left="714" w:hanging="357"/>
        <w:contextualSpacing/>
        <w:jc w:val="both"/>
        <w:rPr>
          <w:sz w:val="36"/>
          <w:szCs w:val="36"/>
        </w:rPr>
      </w:pPr>
      <w:r>
        <w:rPr>
          <w:b/>
          <w:i/>
          <w:iCs/>
          <w:sz w:val="36"/>
          <w:szCs w:val="36"/>
        </w:rPr>
        <w:t xml:space="preserve">Soddisfazione per il </w:t>
      </w:r>
      <w:r w:rsidR="00E7084A" w:rsidRPr="00B75FB2">
        <w:rPr>
          <w:b/>
          <w:i/>
          <w:iCs/>
          <w:sz w:val="36"/>
          <w:szCs w:val="36"/>
        </w:rPr>
        <w:t xml:space="preserve">successo </w:t>
      </w:r>
      <w:r w:rsidR="004E0685" w:rsidRPr="00B75FB2">
        <w:rPr>
          <w:b/>
          <w:i/>
          <w:iCs/>
          <w:sz w:val="36"/>
          <w:szCs w:val="36"/>
        </w:rPr>
        <w:t xml:space="preserve">del Comitato </w:t>
      </w:r>
      <w:r w:rsidR="0016033C" w:rsidRPr="00B75FB2">
        <w:rPr>
          <w:b/>
          <w:i/>
          <w:iCs/>
          <w:sz w:val="36"/>
          <w:szCs w:val="36"/>
        </w:rPr>
        <w:t>bilaterale</w:t>
      </w:r>
      <w:r w:rsidR="0016033C">
        <w:rPr>
          <w:b/>
          <w:i/>
          <w:iCs/>
          <w:sz w:val="36"/>
          <w:szCs w:val="36"/>
        </w:rPr>
        <w:t xml:space="preserve"> di Coordinamento </w:t>
      </w:r>
      <w:r w:rsidR="004E0685" w:rsidRPr="00B75FB2">
        <w:rPr>
          <w:b/>
          <w:i/>
          <w:iCs/>
          <w:sz w:val="36"/>
          <w:szCs w:val="36"/>
        </w:rPr>
        <w:t xml:space="preserve">dei </w:t>
      </w:r>
      <w:r w:rsidR="0016033C">
        <w:rPr>
          <w:b/>
          <w:i/>
          <w:iCs/>
          <w:sz w:val="36"/>
          <w:szCs w:val="36"/>
        </w:rPr>
        <w:t>m</w:t>
      </w:r>
      <w:r w:rsidR="004E0685" w:rsidRPr="00B75FB2">
        <w:rPr>
          <w:b/>
          <w:i/>
          <w:iCs/>
          <w:sz w:val="36"/>
          <w:szCs w:val="36"/>
        </w:rPr>
        <w:t>inistri</w:t>
      </w:r>
      <w:r w:rsidR="00E7084A">
        <w:rPr>
          <w:i/>
          <w:iCs/>
          <w:sz w:val="36"/>
          <w:szCs w:val="36"/>
        </w:rPr>
        <w:t>, testimoniato dalla firma della Dichiarazione Congiunta</w:t>
      </w:r>
      <w:r w:rsidR="004E0685" w:rsidRPr="004E0685">
        <w:rPr>
          <w:i/>
          <w:iCs/>
          <w:sz w:val="36"/>
          <w:szCs w:val="36"/>
        </w:rPr>
        <w:t xml:space="preserve">. </w:t>
      </w:r>
    </w:p>
    <w:p w:rsidR="009D4401" w:rsidRDefault="00B75FB2" w:rsidP="004E0685">
      <w:pPr>
        <w:numPr>
          <w:ilvl w:val="0"/>
          <w:numId w:val="2"/>
        </w:numPr>
        <w:spacing w:after="120" w:line="360" w:lineRule="auto"/>
        <w:ind w:left="714" w:hanging="357"/>
        <w:contextualSpacing/>
        <w:jc w:val="both"/>
        <w:rPr>
          <w:i/>
          <w:sz w:val="36"/>
          <w:szCs w:val="36"/>
        </w:rPr>
      </w:pPr>
      <w:r w:rsidRPr="009D4401">
        <w:rPr>
          <w:i/>
          <w:iCs/>
          <w:sz w:val="36"/>
          <w:szCs w:val="36"/>
        </w:rPr>
        <w:t>I</w:t>
      </w:r>
      <w:r w:rsidR="004E0685" w:rsidRPr="009D4401">
        <w:rPr>
          <w:i/>
          <w:sz w:val="36"/>
          <w:szCs w:val="36"/>
        </w:rPr>
        <w:t xml:space="preserve">l Comitato </w:t>
      </w:r>
      <w:r w:rsidR="00E7084A" w:rsidRPr="009D4401">
        <w:rPr>
          <w:i/>
          <w:sz w:val="36"/>
          <w:szCs w:val="36"/>
        </w:rPr>
        <w:t xml:space="preserve">dei Ministri </w:t>
      </w:r>
      <w:r w:rsidR="00DE1025" w:rsidRPr="009D4401">
        <w:rPr>
          <w:i/>
          <w:sz w:val="36"/>
          <w:szCs w:val="36"/>
        </w:rPr>
        <w:t xml:space="preserve">costituisce </w:t>
      </w:r>
      <w:r w:rsidR="004E0685" w:rsidRPr="009D4401">
        <w:rPr>
          <w:i/>
          <w:sz w:val="36"/>
          <w:szCs w:val="36"/>
        </w:rPr>
        <w:t xml:space="preserve">un esercizio di </w:t>
      </w:r>
      <w:r w:rsidR="00DE1025" w:rsidRPr="009D4401">
        <w:rPr>
          <w:i/>
          <w:sz w:val="36"/>
          <w:szCs w:val="36"/>
        </w:rPr>
        <w:t xml:space="preserve">grande </w:t>
      </w:r>
      <w:r w:rsidR="004E0685" w:rsidRPr="009D4401">
        <w:rPr>
          <w:i/>
          <w:sz w:val="36"/>
          <w:szCs w:val="36"/>
        </w:rPr>
        <w:t xml:space="preserve">rilievo per i nostri Paesi e </w:t>
      </w:r>
      <w:r w:rsidR="004E0685" w:rsidRPr="009D4401">
        <w:rPr>
          <w:b/>
          <w:i/>
          <w:sz w:val="36"/>
          <w:szCs w:val="36"/>
        </w:rPr>
        <w:t>un canale fondamentale per l’ulteriore consolidamento dei rapporti bilaterali</w:t>
      </w:r>
      <w:r w:rsidR="004E0685" w:rsidRPr="009D4401">
        <w:rPr>
          <w:i/>
          <w:sz w:val="36"/>
          <w:szCs w:val="36"/>
        </w:rPr>
        <w:t xml:space="preserve">. </w:t>
      </w:r>
      <w:r w:rsidR="00DD25D0" w:rsidRPr="009D4401">
        <w:rPr>
          <w:i/>
          <w:sz w:val="36"/>
          <w:szCs w:val="36"/>
        </w:rPr>
        <w:t xml:space="preserve">E’ </w:t>
      </w:r>
      <w:r w:rsidR="004E0685" w:rsidRPr="009D4401">
        <w:rPr>
          <w:b/>
          <w:i/>
          <w:sz w:val="36"/>
          <w:szCs w:val="36"/>
        </w:rPr>
        <w:t>un foro privilegiato</w:t>
      </w:r>
      <w:r w:rsidR="004E0685" w:rsidRPr="009D4401">
        <w:rPr>
          <w:i/>
          <w:sz w:val="36"/>
          <w:szCs w:val="36"/>
        </w:rPr>
        <w:t xml:space="preserve"> per affrontare questioni bilaterali specifiche e settoriali. </w:t>
      </w:r>
    </w:p>
    <w:p w:rsidR="00DD25D0" w:rsidRPr="009D4401" w:rsidRDefault="00DD25D0" w:rsidP="004E0685">
      <w:pPr>
        <w:numPr>
          <w:ilvl w:val="0"/>
          <w:numId w:val="2"/>
        </w:numPr>
        <w:spacing w:after="120" w:line="360" w:lineRule="auto"/>
        <w:ind w:left="714" w:hanging="357"/>
        <w:contextualSpacing/>
        <w:jc w:val="both"/>
        <w:rPr>
          <w:i/>
          <w:sz w:val="36"/>
          <w:szCs w:val="36"/>
        </w:rPr>
      </w:pPr>
      <w:r w:rsidRPr="009D4401">
        <w:rPr>
          <w:b/>
          <w:i/>
          <w:sz w:val="36"/>
          <w:szCs w:val="36"/>
        </w:rPr>
        <w:t>L’eccezionale solidità delle relazioni tra Italia e Croazia</w:t>
      </w:r>
      <w:r w:rsidRPr="009D4401">
        <w:rPr>
          <w:i/>
          <w:sz w:val="36"/>
          <w:szCs w:val="36"/>
        </w:rPr>
        <w:t xml:space="preserve"> è testimoniata </w:t>
      </w:r>
      <w:r w:rsidR="00CE692B" w:rsidRPr="009D4401">
        <w:rPr>
          <w:i/>
          <w:sz w:val="36"/>
          <w:szCs w:val="36"/>
        </w:rPr>
        <w:t xml:space="preserve">tanto </w:t>
      </w:r>
      <w:r w:rsidRPr="009D4401">
        <w:rPr>
          <w:i/>
          <w:sz w:val="36"/>
          <w:szCs w:val="36"/>
        </w:rPr>
        <w:t xml:space="preserve">dai </w:t>
      </w:r>
      <w:r w:rsidRPr="009D4401">
        <w:rPr>
          <w:b/>
          <w:i/>
          <w:sz w:val="36"/>
          <w:szCs w:val="36"/>
        </w:rPr>
        <w:t>frequenti incontri politici</w:t>
      </w:r>
      <w:r w:rsidRPr="009D4401">
        <w:rPr>
          <w:i/>
          <w:sz w:val="36"/>
          <w:szCs w:val="36"/>
        </w:rPr>
        <w:t xml:space="preserve"> </w:t>
      </w:r>
      <w:r w:rsidR="00CE692B" w:rsidRPr="009D4401">
        <w:rPr>
          <w:i/>
          <w:sz w:val="36"/>
          <w:szCs w:val="36"/>
        </w:rPr>
        <w:t xml:space="preserve">quanto </w:t>
      </w:r>
      <w:r w:rsidRPr="009D4401">
        <w:rPr>
          <w:i/>
          <w:sz w:val="36"/>
          <w:szCs w:val="36"/>
        </w:rPr>
        <w:t xml:space="preserve">dagli </w:t>
      </w:r>
      <w:r w:rsidRPr="009D4401">
        <w:rPr>
          <w:b/>
          <w:i/>
          <w:sz w:val="36"/>
          <w:szCs w:val="36"/>
        </w:rPr>
        <w:t>eloquenti dati economici</w:t>
      </w:r>
      <w:r w:rsidRPr="009D4401">
        <w:rPr>
          <w:i/>
          <w:sz w:val="36"/>
          <w:szCs w:val="36"/>
        </w:rPr>
        <w:t xml:space="preserve">: l’Italia in Croazia </w:t>
      </w:r>
      <w:r w:rsidR="00DE1025" w:rsidRPr="009D4401">
        <w:rPr>
          <w:i/>
          <w:sz w:val="36"/>
          <w:szCs w:val="36"/>
        </w:rPr>
        <w:t xml:space="preserve">è </w:t>
      </w:r>
      <w:r w:rsidRPr="009D4401">
        <w:rPr>
          <w:i/>
          <w:sz w:val="36"/>
          <w:szCs w:val="36"/>
        </w:rPr>
        <w:t xml:space="preserve">il </w:t>
      </w:r>
      <w:r w:rsidRPr="009D4401">
        <w:rPr>
          <w:b/>
          <w:i/>
          <w:sz w:val="36"/>
          <w:szCs w:val="36"/>
        </w:rPr>
        <w:t>primo Paese investitore e il primo Paese acquirente</w:t>
      </w:r>
      <w:r w:rsidRPr="009D4401">
        <w:rPr>
          <w:i/>
          <w:sz w:val="36"/>
          <w:szCs w:val="36"/>
        </w:rPr>
        <w:t>.</w:t>
      </w:r>
    </w:p>
    <w:p w:rsidR="00C520DE" w:rsidRDefault="00262B03" w:rsidP="0037310A">
      <w:pPr>
        <w:numPr>
          <w:ilvl w:val="0"/>
          <w:numId w:val="2"/>
        </w:numPr>
        <w:spacing w:after="120" w:line="360" w:lineRule="auto"/>
        <w:ind w:left="714" w:hanging="357"/>
        <w:contextualSpacing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La p</w:t>
      </w:r>
      <w:r w:rsidR="00DD25D0" w:rsidRPr="0037310A">
        <w:rPr>
          <w:i/>
          <w:iCs/>
          <w:sz w:val="36"/>
          <w:szCs w:val="36"/>
        </w:rPr>
        <w:t xml:space="preserve">resenza nei rispettivi territori delle </w:t>
      </w:r>
      <w:r w:rsidR="00DD25D0" w:rsidRPr="0037310A">
        <w:rPr>
          <w:b/>
          <w:i/>
          <w:iCs/>
          <w:sz w:val="36"/>
          <w:szCs w:val="36"/>
        </w:rPr>
        <w:t>comunità autoctone</w:t>
      </w:r>
      <w:r w:rsidR="00DD25D0" w:rsidRPr="0037310A">
        <w:rPr>
          <w:i/>
          <w:iCs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 xml:space="preserve">è </w:t>
      </w:r>
      <w:r w:rsidR="00DD25D0" w:rsidRPr="0037310A">
        <w:rPr>
          <w:i/>
          <w:iCs/>
          <w:sz w:val="36"/>
          <w:szCs w:val="36"/>
        </w:rPr>
        <w:t xml:space="preserve">risorsa decisiva </w:t>
      </w:r>
      <w:r w:rsidR="00C520DE" w:rsidRPr="0037310A">
        <w:rPr>
          <w:i/>
          <w:iCs/>
          <w:sz w:val="36"/>
          <w:szCs w:val="36"/>
        </w:rPr>
        <w:t xml:space="preserve">che, testimoniando la </w:t>
      </w:r>
      <w:r w:rsidR="00DD25D0" w:rsidRPr="0037310A">
        <w:rPr>
          <w:b/>
          <w:i/>
          <w:iCs/>
          <w:sz w:val="36"/>
          <w:szCs w:val="36"/>
        </w:rPr>
        <w:t>realtà multiculturale nell’Adriatico</w:t>
      </w:r>
      <w:r w:rsidR="00DD25D0" w:rsidRPr="0037310A">
        <w:rPr>
          <w:i/>
          <w:iCs/>
          <w:sz w:val="36"/>
          <w:szCs w:val="36"/>
        </w:rPr>
        <w:t>, conferma la vicinanza dei nostri due Paesi</w:t>
      </w:r>
      <w:r w:rsidR="00C520DE" w:rsidRPr="0037310A">
        <w:rPr>
          <w:i/>
          <w:iCs/>
          <w:sz w:val="36"/>
          <w:szCs w:val="36"/>
        </w:rPr>
        <w:t xml:space="preserve"> e offr</w:t>
      </w:r>
      <w:r w:rsidR="00ED2535" w:rsidRPr="0037310A">
        <w:rPr>
          <w:i/>
          <w:iCs/>
          <w:sz w:val="36"/>
          <w:szCs w:val="36"/>
        </w:rPr>
        <w:t xml:space="preserve">e </w:t>
      </w:r>
      <w:r w:rsidR="00ED2535" w:rsidRPr="0037310A">
        <w:rPr>
          <w:b/>
          <w:i/>
          <w:iCs/>
          <w:sz w:val="36"/>
          <w:szCs w:val="36"/>
        </w:rPr>
        <w:t xml:space="preserve">il seme del dialogo </w:t>
      </w:r>
      <w:r w:rsidR="00ED2535" w:rsidRPr="0037310A">
        <w:rPr>
          <w:i/>
          <w:iCs/>
          <w:sz w:val="36"/>
          <w:szCs w:val="36"/>
        </w:rPr>
        <w:t>fra i nostri Paesi</w:t>
      </w:r>
      <w:r w:rsidR="00DD25D0" w:rsidRPr="0037310A">
        <w:rPr>
          <w:i/>
          <w:iCs/>
          <w:sz w:val="36"/>
          <w:szCs w:val="36"/>
        </w:rPr>
        <w:t>.</w:t>
      </w:r>
    </w:p>
    <w:p w:rsidR="00E11E19" w:rsidRDefault="00262B03" w:rsidP="00BF440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eastAsiaTheme="minorHAnsi" w:hAnsi="Calibri"/>
          <w:i/>
          <w:sz w:val="36"/>
          <w:szCs w:val="36"/>
          <w:lang w:eastAsia="it-IT"/>
        </w:rPr>
      </w:pPr>
      <w:r>
        <w:rPr>
          <w:rFonts w:ascii="Calibri" w:eastAsiaTheme="minorHAnsi" w:hAnsi="Calibri"/>
          <w:i/>
          <w:sz w:val="36"/>
          <w:szCs w:val="36"/>
          <w:lang w:eastAsia="it-IT"/>
        </w:rPr>
        <w:t>A</w:t>
      </w:r>
      <w:r w:rsidR="00E11E19">
        <w:rPr>
          <w:rFonts w:ascii="Calibri" w:eastAsiaTheme="minorHAnsi" w:hAnsi="Calibri"/>
          <w:i/>
          <w:sz w:val="36"/>
          <w:szCs w:val="36"/>
          <w:lang w:eastAsia="it-IT"/>
        </w:rPr>
        <w:t xml:space="preserve">spetti salienti emersi nel corso della riunione, che trovano spazio anche nella </w:t>
      </w:r>
      <w:r w:rsidR="00E11E19" w:rsidRPr="00E11E19">
        <w:rPr>
          <w:rFonts w:ascii="Calibri" w:eastAsiaTheme="minorHAnsi" w:hAnsi="Calibri"/>
          <w:b/>
          <w:i/>
          <w:sz w:val="36"/>
          <w:szCs w:val="36"/>
          <w:lang w:eastAsia="it-IT"/>
        </w:rPr>
        <w:t>Dichiarazione Congiunta</w:t>
      </w:r>
      <w:r w:rsidR="00E11E19">
        <w:rPr>
          <w:rFonts w:ascii="Calibri" w:eastAsiaTheme="minorHAnsi" w:hAnsi="Calibri"/>
          <w:i/>
          <w:sz w:val="36"/>
          <w:szCs w:val="36"/>
          <w:lang w:eastAsia="it-IT"/>
        </w:rPr>
        <w:t>:</w:t>
      </w:r>
    </w:p>
    <w:p w:rsidR="00E11E19" w:rsidRDefault="00E11E19" w:rsidP="009D4401">
      <w:pPr>
        <w:pStyle w:val="Paragrafoelenco"/>
        <w:spacing w:line="360" w:lineRule="auto"/>
        <w:jc w:val="both"/>
        <w:rPr>
          <w:rFonts w:ascii="Calibri" w:eastAsiaTheme="minorHAnsi" w:hAnsi="Calibri"/>
          <w:i/>
          <w:sz w:val="36"/>
          <w:szCs w:val="36"/>
          <w:lang w:eastAsia="it-IT"/>
        </w:rPr>
      </w:pPr>
      <w:r w:rsidRPr="00E11E19">
        <w:rPr>
          <w:rFonts w:ascii="Calibri" w:eastAsiaTheme="minorHAnsi" w:hAnsi="Calibri"/>
          <w:b/>
          <w:i/>
          <w:sz w:val="36"/>
          <w:szCs w:val="36"/>
          <w:lang w:eastAsia="it-IT"/>
        </w:rPr>
        <w:lastRenderedPageBreak/>
        <w:t>Primo: il tema delle migrazioni</w:t>
      </w:r>
      <w:r w:rsidRPr="00E11E19">
        <w:rPr>
          <w:rFonts w:ascii="Calibri" w:eastAsiaTheme="minorHAnsi" w:hAnsi="Calibri"/>
          <w:i/>
          <w:sz w:val="36"/>
          <w:szCs w:val="36"/>
          <w:lang w:eastAsia="it-IT"/>
        </w:rPr>
        <w:t xml:space="preserve">, in merito al quale da sempre l’Italia sostiene la ricerca di soluzioni concordate e condivise nel quadro </w:t>
      </w:r>
      <w:r w:rsidR="00F54ADA">
        <w:rPr>
          <w:rFonts w:ascii="Calibri" w:eastAsiaTheme="minorHAnsi" w:hAnsi="Calibri"/>
          <w:i/>
          <w:sz w:val="36"/>
          <w:szCs w:val="36"/>
          <w:lang w:eastAsia="it-IT"/>
        </w:rPr>
        <w:t>europeo</w:t>
      </w:r>
      <w:r w:rsidRPr="00E11E19">
        <w:rPr>
          <w:rFonts w:ascii="Calibri" w:eastAsiaTheme="minorHAnsi" w:hAnsi="Calibri"/>
          <w:i/>
          <w:sz w:val="36"/>
          <w:szCs w:val="36"/>
          <w:lang w:eastAsia="it-IT"/>
        </w:rPr>
        <w:t xml:space="preserve">. </w:t>
      </w:r>
      <w:r>
        <w:rPr>
          <w:rFonts w:ascii="Calibri" w:eastAsiaTheme="minorHAnsi" w:hAnsi="Calibri"/>
          <w:i/>
          <w:sz w:val="36"/>
          <w:szCs w:val="36"/>
          <w:lang w:eastAsia="it-IT"/>
        </w:rPr>
        <w:t>L</w:t>
      </w:r>
      <w:r w:rsidRPr="00E11E19">
        <w:rPr>
          <w:rFonts w:ascii="Calibri" w:eastAsiaTheme="minorHAnsi" w:hAnsi="Calibri"/>
          <w:i/>
          <w:sz w:val="36"/>
          <w:szCs w:val="36"/>
          <w:lang w:eastAsia="it-IT"/>
        </w:rPr>
        <w:t xml:space="preserve">a gestione dei flussi migratori </w:t>
      </w:r>
      <w:r>
        <w:rPr>
          <w:rFonts w:ascii="Calibri" w:eastAsiaTheme="minorHAnsi" w:hAnsi="Calibri"/>
          <w:i/>
          <w:sz w:val="36"/>
          <w:szCs w:val="36"/>
          <w:lang w:eastAsia="it-IT"/>
        </w:rPr>
        <w:t xml:space="preserve">dev’essere </w:t>
      </w:r>
      <w:r w:rsidRPr="00E11E19">
        <w:rPr>
          <w:rFonts w:ascii="Calibri" w:eastAsiaTheme="minorHAnsi" w:hAnsi="Calibri"/>
          <w:i/>
          <w:sz w:val="36"/>
          <w:szCs w:val="36"/>
          <w:lang w:eastAsia="it-IT"/>
        </w:rPr>
        <w:t>una responsabilità comune.</w:t>
      </w:r>
    </w:p>
    <w:p w:rsidR="00E11E19" w:rsidRDefault="00E11E19" w:rsidP="009D4401">
      <w:pPr>
        <w:pStyle w:val="Paragrafoelenco"/>
        <w:spacing w:line="360" w:lineRule="auto"/>
        <w:jc w:val="both"/>
        <w:rPr>
          <w:rFonts w:ascii="Calibri" w:eastAsiaTheme="minorHAnsi" w:hAnsi="Calibri"/>
          <w:i/>
          <w:sz w:val="36"/>
          <w:szCs w:val="36"/>
          <w:lang w:eastAsia="it-IT"/>
        </w:rPr>
      </w:pPr>
      <w:r w:rsidRPr="00E11E19">
        <w:rPr>
          <w:rFonts w:ascii="Calibri" w:eastAsiaTheme="minorHAnsi" w:hAnsi="Calibri"/>
          <w:b/>
          <w:i/>
          <w:sz w:val="36"/>
          <w:szCs w:val="36"/>
          <w:lang w:eastAsia="it-IT"/>
        </w:rPr>
        <w:t>In secondo luogo</w:t>
      </w:r>
      <w:r w:rsidRPr="00E11E19">
        <w:rPr>
          <w:rFonts w:ascii="Calibri" w:eastAsiaTheme="minorHAnsi" w:hAnsi="Calibri"/>
          <w:i/>
          <w:sz w:val="36"/>
          <w:szCs w:val="36"/>
          <w:lang w:eastAsia="it-IT"/>
        </w:rPr>
        <w:t xml:space="preserve">: </w:t>
      </w:r>
      <w:r w:rsidRPr="00E11E19">
        <w:rPr>
          <w:rFonts w:ascii="Calibri" w:eastAsiaTheme="minorHAnsi" w:hAnsi="Calibri"/>
          <w:b/>
          <w:i/>
          <w:sz w:val="36"/>
          <w:szCs w:val="36"/>
          <w:lang w:eastAsia="it-IT"/>
        </w:rPr>
        <w:t>gli sforzi comuni nell’ambito della ricerca e dell’innovazione</w:t>
      </w:r>
      <w:r w:rsidRPr="00E11E19">
        <w:rPr>
          <w:rFonts w:ascii="Calibri" w:eastAsiaTheme="minorHAnsi" w:hAnsi="Calibri"/>
          <w:i/>
          <w:sz w:val="36"/>
          <w:szCs w:val="36"/>
          <w:lang w:eastAsia="it-IT"/>
        </w:rPr>
        <w:t xml:space="preserve">, che rappresentano la migliore garanzia per la crescita, per lo sviluppo sostenibile e per generare opportunità d’impiego per i giovani. </w:t>
      </w:r>
    </w:p>
    <w:p w:rsidR="00E11E19" w:rsidRPr="00E11E19" w:rsidRDefault="00E11E19" w:rsidP="009D4401">
      <w:pPr>
        <w:pStyle w:val="Paragrafoelenco"/>
        <w:spacing w:line="360" w:lineRule="auto"/>
        <w:jc w:val="both"/>
        <w:rPr>
          <w:rFonts w:ascii="Calibri" w:eastAsiaTheme="minorHAnsi" w:hAnsi="Calibri"/>
          <w:i/>
          <w:sz w:val="36"/>
          <w:szCs w:val="36"/>
          <w:lang w:eastAsia="it-IT"/>
        </w:rPr>
      </w:pPr>
      <w:r w:rsidRPr="00E11E19">
        <w:rPr>
          <w:rFonts w:ascii="Calibri" w:eastAsiaTheme="minorHAnsi" w:hAnsi="Calibri"/>
          <w:i/>
          <w:sz w:val="36"/>
          <w:szCs w:val="36"/>
          <w:lang w:eastAsia="it-IT"/>
        </w:rPr>
        <w:t xml:space="preserve">Infine, le </w:t>
      </w:r>
      <w:r w:rsidRPr="00E11E19">
        <w:rPr>
          <w:rFonts w:ascii="Calibri" w:eastAsiaTheme="minorHAnsi" w:hAnsi="Calibri"/>
          <w:b/>
          <w:i/>
          <w:sz w:val="36"/>
          <w:szCs w:val="36"/>
          <w:lang w:eastAsia="it-IT"/>
        </w:rPr>
        <w:t>potenzialità di crescita della partnership</w:t>
      </w:r>
      <w:r w:rsidRPr="00E11E19">
        <w:rPr>
          <w:rFonts w:ascii="Calibri" w:eastAsiaTheme="minorHAnsi" w:hAnsi="Calibri"/>
          <w:i/>
          <w:sz w:val="36"/>
          <w:szCs w:val="36"/>
          <w:lang w:eastAsia="it-IT"/>
        </w:rPr>
        <w:t xml:space="preserve"> </w:t>
      </w:r>
      <w:r w:rsidRPr="00E11E19">
        <w:rPr>
          <w:rFonts w:ascii="Calibri" w:eastAsiaTheme="minorHAnsi" w:hAnsi="Calibri"/>
          <w:i/>
          <w:sz w:val="36"/>
          <w:szCs w:val="36"/>
          <w:u w:val="single"/>
          <w:lang w:eastAsia="it-IT"/>
        </w:rPr>
        <w:t>nell’agricoltura, nella pesca, nei trasporti, nel commercio, nello sviluppo economico e nella tutela comune dell’ambiente</w:t>
      </w:r>
      <w:r w:rsidRPr="00E5773D">
        <w:rPr>
          <w:rFonts w:ascii="Times New Roman" w:eastAsia="Times New Roman" w:hAnsi="Times New Roman"/>
          <w:iCs/>
          <w:sz w:val="36"/>
          <w:szCs w:val="36"/>
        </w:rPr>
        <w:t>.</w:t>
      </w:r>
    </w:p>
    <w:p w:rsidR="00BF440F" w:rsidRPr="00BF440F" w:rsidRDefault="009D4401" w:rsidP="004C294A">
      <w:pPr>
        <w:numPr>
          <w:ilvl w:val="0"/>
          <w:numId w:val="2"/>
        </w:numPr>
        <w:spacing w:after="120" w:line="360" w:lineRule="auto"/>
        <w:ind w:left="714" w:hanging="357"/>
        <w:contextualSpacing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La </w:t>
      </w:r>
      <w:r w:rsidR="00BF440F">
        <w:rPr>
          <w:i/>
          <w:sz w:val="36"/>
          <w:szCs w:val="36"/>
        </w:rPr>
        <w:t xml:space="preserve">collaborazione </w:t>
      </w:r>
      <w:r>
        <w:rPr>
          <w:i/>
          <w:sz w:val="36"/>
          <w:szCs w:val="36"/>
        </w:rPr>
        <w:t xml:space="preserve">bilaterale </w:t>
      </w:r>
      <w:r w:rsidR="00BF440F">
        <w:rPr>
          <w:i/>
          <w:sz w:val="36"/>
          <w:szCs w:val="36"/>
        </w:rPr>
        <w:t xml:space="preserve">si </w:t>
      </w:r>
      <w:r w:rsidR="00B31B5A">
        <w:rPr>
          <w:i/>
          <w:sz w:val="36"/>
          <w:szCs w:val="36"/>
        </w:rPr>
        <w:t xml:space="preserve">realizza </w:t>
      </w:r>
      <w:r w:rsidR="00BF440F">
        <w:rPr>
          <w:i/>
          <w:sz w:val="36"/>
          <w:szCs w:val="36"/>
        </w:rPr>
        <w:t xml:space="preserve">anche in </w:t>
      </w:r>
      <w:r w:rsidR="00BF440F" w:rsidRPr="00BF440F">
        <w:rPr>
          <w:b/>
          <w:i/>
          <w:sz w:val="36"/>
          <w:szCs w:val="36"/>
        </w:rPr>
        <w:t>ambito europeo</w:t>
      </w:r>
      <w:r w:rsidR="00BF440F">
        <w:rPr>
          <w:i/>
          <w:sz w:val="36"/>
          <w:szCs w:val="36"/>
        </w:rPr>
        <w:t xml:space="preserve">: </w:t>
      </w:r>
      <w:r w:rsidR="00BF440F" w:rsidRPr="00BF440F">
        <w:rPr>
          <w:b/>
          <w:i/>
          <w:sz w:val="36"/>
          <w:szCs w:val="36"/>
        </w:rPr>
        <w:t>necessità che l’UE consolidi nei Balcani Occidentali il suo ruolo di partner principale</w:t>
      </w:r>
      <w:r w:rsidR="00BF440F" w:rsidRPr="00BF440F">
        <w:rPr>
          <w:i/>
          <w:sz w:val="36"/>
          <w:szCs w:val="36"/>
        </w:rPr>
        <w:t xml:space="preserve"> e indirizzi </w:t>
      </w:r>
      <w:r w:rsidR="00BF440F" w:rsidRPr="00BF440F">
        <w:rPr>
          <w:b/>
          <w:i/>
          <w:sz w:val="36"/>
          <w:szCs w:val="36"/>
        </w:rPr>
        <w:t>un forte e concreto messaggio</w:t>
      </w:r>
      <w:r w:rsidR="00BF440F" w:rsidRPr="00BF440F">
        <w:rPr>
          <w:i/>
          <w:sz w:val="36"/>
          <w:szCs w:val="36"/>
        </w:rPr>
        <w:t xml:space="preserve"> di impegno e </w:t>
      </w:r>
      <w:r w:rsidR="00BF440F" w:rsidRPr="00BF440F">
        <w:rPr>
          <w:b/>
          <w:i/>
          <w:sz w:val="36"/>
          <w:szCs w:val="36"/>
          <w:u w:val="single"/>
        </w:rPr>
        <w:t>di “porte aperte”</w:t>
      </w:r>
      <w:r w:rsidR="00BF440F" w:rsidRPr="00BF440F">
        <w:rPr>
          <w:i/>
          <w:sz w:val="36"/>
          <w:szCs w:val="36"/>
        </w:rPr>
        <w:t>.</w:t>
      </w:r>
    </w:p>
    <w:p w:rsidR="00B6505F" w:rsidRPr="00D45399" w:rsidRDefault="00BF440F" w:rsidP="009D4401">
      <w:pPr>
        <w:numPr>
          <w:ilvl w:val="0"/>
          <w:numId w:val="2"/>
        </w:numPr>
        <w:spacing w:after="120" w:line="360" w:lineRule="auto"/>
        <w:ind w:left="714" w:hanging="357"/>
        <w:contextualSpacing/>
        <w:jc w:val="both"/>
        <w:rPr>
          <w:sz w:val="36"/>
          <w:szCs w:val="36"/>
        </w:rPr>
      </w:pPr>
      <w:r w:rsidRPr="009D4401">
        <w:rPr>
          <w:b/>
          <w:i/>
          <w:sz w:val="36"/>
          <w:szCs w:val="36"/>
        </w:rPr>
        <w:t xml:space="preserve">La cooperazione regionale resta la formula fondamentale </w:t>
      </w:r>
      <w:r w:rsidRPr="009D4401">
        <w:rPr>
          <w:i/>
          <w:sz w:val="36"/>
          <w:szCs w:val="36"/>
        </w:rPr>
        <w:t>per favorire la stabilità e la crescita dell’area</w:t>
      </w:r>
      <w:r w:rsidR="009D4401" w:rsidRPr="009D4401">
        <w:rPr>
          <w:i/>
          <w:sz w:val="36"/>
          <w:szCs w:val="36"/>
        </w:rPr>
        <w:t>.</w:t>
      </w:r>
      <w:r w:rsidR="009D4401">
        <w:rPr>
          <w:i/>
          <w:sz w:val="36"/>
          <w:szCs w:val="36"/>
        </w:rPr>
        <w:t xml:space="preserve"> </w:t>
      </w:r>
      <w:bookmarkStart w:id="2" w:name="_GoBack"/>
      <w:bookmarkEnd w:id="2"/>
    </w:p>
    <w:sectPr w:rsidR="00B6505F" w:rsidRPr="00D45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846"/>
    <w:multiLevelType w:val="hybridMultilevel"/>
    <w:tmpl w:val="17A472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32F5A"/>
    <w:multiLevelType w:val="hybridMultilevel"/>
    <w:tmpl w:val="B6FA2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114FC"/>
    <w:multiLevelType w:val="hybridMultilevel"/>
    <w:tmpl w:val="90707F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71CE1"/>
    <w:multiLevelType w:val="hybridMultilevel"/>
    <w:tmpl w:val="BEB6DE1E"/>
    <w:lvl w:ilvl="0" w:tplc="B03C6B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506C2"/>
    <w:multiLevelType w:val="hybridMultilevel"/>
    <w:tmpl w:val="9D508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A0E0C"/>
    <w:multiLevelType w:val="hybridMultilevel"/>
    <w:tmpl w:val="1A0EF5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99"/>
    <w:rsid w:val="000B0B7E"/>
    <w:rsid w:val="000C336C"/>
    <w:rsid w:val="0016033C"/>
    <w:rsid w:val="00262B03"/>
    <w:rsid w:val="002E780E"/>
    <w:rsid w:val="00300317"/>
    <w:rsid w:val="0037310A"/>
    <w:rsid w:val="003E079F"/>
    <w:rsid w:val="003F5B7C"/>
    <w:rsid w:val="00471AFD"/>
    <w:rsid w:val="004C294A"/>
    <w:rsid w:val="004E0685"/>
    <w:rsid w:val="005A08F4"/>
    <w:rsid w:val="005E3488"/>
    <w:rsid w:val="00601E25"/>
    <w:rsid w:val="006A5A3D"/>
    <w:rsid w:val="006F47F2"/>
    <w:rsid w:val="00774F23"/>
    <w:rsid w:val="008023EE"/>
    <w:rsid w:val="008637D4"/>
    <w:rsid w:val="008E0195"/>
    <w:rsid w:val="0094339C"/>
    <w:rsid w:val="009D4401"/>
    <w:rsid w:val="00A244B7"/>
    <w:rsid w:val="00B07E63"/>
    <w:rsid w:val="00B31B5A"/>
    <w:rsid w:val="00B6505F"/>
    <w:rsid w:val="00B75FB2"/>
    <w:rsid w:val="00B92AC8"/>
    <w:rsid w:val="00BF440F"/>
    <w:rsid w:val="00C520DE"/>
    <w:rsid w:val="00CE692B"/>
    <w:rsid w:val="00CF028A"/>
    <w:rsid w:val="00D45399"/>
    <w:rsid w:val="00D818D9"/>
    <w:rsid w:val="00DD25D0"/>
    <w:rsid w:val="00DE1025"/>
    <w:rsid w:val="00E11E19"/>
    <w:rsid w:val="00E7084A"/>
    <w:rsid w:val="00E9423A"/>
    <w:rsid w:val="00ED2535"/>
    <w:rsid w:val="00EE5D6D"/>
    <w:rsid w:val="00F54ADA"/>
    <w:rsid w:val="00F7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399"/>
    <w:rPr>
      <w:rFonts w:ascii="Calibri" w:hAnsi="Calibri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45399"/>
    <w:pPr>
      <w:keepNext/>
      <w:spacing w:before="480" w:after="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3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399"/>
    <w:rPr>
      <w:rFonts w:ascii="Cambria" w:hAnsi="Cambria" w:cs="Times New Roman"/>
      <w:b/>
      <w:bCs/>
      <w:color w:val="365F91"/>
      <w:kern w:val="36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399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3CxSpLast"/>
    <w:basedOn w:val="Normale"/>
    <w:uiPriority w:val="34"/>
    <w:qFormat/>
    <w:rsid w:val="00A244B7"/>
    <w:pPr>
      <w:ind w:left="720"/>
      <w:contextualSpacing/>
    </w:pPr>
    <w:rPr>
      <w:rFonts w:ascii="Arial" w:eastAsia="Calibri" w:hAnsi="Arial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Elencoacolori-Colore1Carattere">
    <w:name w:val="Elenco a colori - Colore 1 Carattere"/>
    <w:aliases w:val="Dot pt Carattere,F5 List Paragraph Carattere,List Paragraph Char Char Char Carattere,Indicator Text Carattere,Numbered Para 1 Carattere,Bullet 1 Carattere,Bullet Points Carattere,List Paragraph2 Carattere,3 Carattere"/>
    <w:link w:val="Elencoacolori-Colore1"/>
    <w:uiPriority w:val="34"/>
    <w:qFormat/>
    <w:locked/>
    <w:rsid w:val="000C336C"/>
    <w:rPr>
      <w:rFonts w:ascii="Times New Roman" w:eastAsia="Times New Roman" w:hAnsi="Times New Roman" w:cs="Times New Roman"/>
      <w:sz w:val="24"/>
      <w:szCs w:val="24"/>
    </w:rPr>
  </w:style>
  <w:style w:type="table" w:styleId="Elencoacolori-Colore1">
    <w:name w:val="Colorful List Accent 1"/>
    <w:basedOn w:val="Tabellanormale"/>
    <w:link w:val="Elencoacolori-Colore1Carattere"/>
    <w:uiPriority w:val="34"/>
    <w:rsid w:val="000C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Enfasigrassetto">
    <w:name w:val="Strong"/>
    <w:basedOn w:val="Carpredefinitoparagrafo"/>
    <w:uiPriority w:val="22"/>
    <w:qFormat/>
    <w:rsid w:val="00601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399"/>
    <w:rPr>
      <w:rFonts w:ascii="Calibri" w:hAnsi="Calibri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45399"/>
    <w:pPr>
      <w:keepNext/>
      <w:spacing w:before="480" w:after="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3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399"/>
    <w:rPr>
      <w:rFonts w:ascii="Cambria" w:hAnsi="Cambria" w:cs="Times New Roman"/>
      <w:b/>
      <w:bCs/>
      <w:color w:val="365F91"/>
      <w:kern w:val="36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399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3CxSpLast"/>
    <w:basedOn w:val="Normale"/>
    <w:uiPriority w:val="34"/>
    <w:qFormat/>
    <w:rsid w:val="00A244B7"/>
    <w:pPr>
      <w:ind w:left="720"/>
      <w:contextualSpacing/>
    </w:pPr>
    <w:rPr>
      <w:rFonts w:ascii="Arial" w:eastAsia="Calibri" w:hAnsi="Arial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Elencoacolori-Colore1Carattere">
    <w:name w:val="Elenco a colori - Colore 1 Carattere"/>
    <w:aliases w:val="Dot pt Carattere,F5 List Paragraph Carattere,List Paragraph Char Char Char Carattere,Indicator Text Carattere,Numbered Para 1 Carattere,Bullet 1 Carattere,Bullet Points Carattere,List Paragraph2 Carattere,3 Carattere"/>
    <w:link w:val="Elencoacolori-Colore1"/>
    <w:uiPriority w:val="34"/>
    <w:qFormat/>
    <w:locked/>
    <w:rsid w:val="000C336C"/>
    <w:rPr>
      <w:rFonts w:ascii="Times New Roman" w:eastAsia="Times New Roman" w:hAnsi="Times New Roman" w:cs="Times New Roman"/>
      <w:sz w:val="24"/>
      <w:szCs w:val="24"/>
    </w:rPr>
  </w:style>
  <w:style w:type="table" w:styleId="Elencoacolori-Colore1">
    <w:name w:val="Colorful List Accent 1"/>
    <w:basedOn w:val="Tabellanormale"/>
    <w:link w:val="Elencoacolori-Colore1Carattere"/>
    <w:uiPriority w:val="34"/>
    <w:rsid w:val="000C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Enfasigrassetto">
    <w:name w:val="Strong"/>
    <w:basedOn w:val="Carpredefinitoparagrafo"/>
    <w:uiPriority w:val="22"/>
    <w:qFormat/>
    <w:rsid w:val="00601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5360-D59D-40A6-BA83-B4B5E842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Giacalone Giuseppe</dc:creator>
  <cp:lastModifiedBy>Bonissone Paolo</cp:lastModifiedBy>
  <cp:revision>2</cp:revision>
  <cp:lastPrinted>2018-01-18T08:08:00Z</cp:lastPrinted>
  <dcterms:created xsi:type="dcterms:W3CDTF">2018-02-19T17:30:00Z</dcterms:created>
  <dcterms:modified xsi:type="dcterms:W3CDTF">2018-02-19T17:30:00Z</dcterms:modified>
</cp:coreProperties>
</file>