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3B" w:rsidRPr="00B162FD" w:rsidRDefault="00B9003B" w:rsidP="00B9003B">
      <w:pPr>
        <w:pStyle w:val="Intestazione"/>
        <w:jc w:val="right"/>
        <w:rPr>
          <w:b/>
        </w:rPr>
      </w:pPr>
      <w:bookmarkStart w:id="0" w:name="_GoBack"/>
      <w:bookmarkEnd w:id="0"/>
      <w:r w:rsidRPr="00B162FD">
        <w:rPr>
          <w:b/>
        </w:rPr>
        <w:t xml:space="preserve">DD </w:t>
      </w:r>
      <w:r>
        <w:rPr>
          <w:b/>
        </w:rPr>
        <w:t>2110/</w:t>
      </w:r>
      <w:r w:rsidR="00C578E1">
        <w:rPr>
          <w:b/>
        </w:rPr>
        <w:t>120</w:t>
      </w:r>
    </w:p>
    <w:p w:rsidR="00B9003B" w:rsidRPr="008E3AF4" w:rsidRDefault="00B9003B" w:rsidP="00B9003B">
      <w:pPr>
        <w:pStyle w:val="Intestazione"/>
        <w:jc w:val="center"/>
        <w:rPr>
          <w:b/>
          <w:color w:val="8DB3E2"/>
          <w:sz w:val="28"/>
          <w:szCs w:val="28"/>
        </w:rPr>
      </w:pPr>
      <w:r>
        <w:rPr>
          <w:rFonts w:ascii="14" w:hAnsi="14"/>
          <w:i/>
          <w:noProof/>
          <w:color w:val="8DB3E2"/>
          <w:sz w:val="28"/>
          <w:szCs w:val="28"/>
        </w:rPr>
        <w:drawing>
          <wp:inline distT="0" distB="0" distL="0" distR="0" wp14:anchorId="69059F0F" wp14:editId="17B3F0F9">
            <wp:extent cx="723900" cy="676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03B" w:rsidRPr="008E3AF4" w:rsidRDefault="00B9003B" w:rsidP="00B9003B">
      <w:pPr>
        <w:keepNext/>
        <w:spacing w:after="0" w:line="240" w:lineRule="auto"/>
        <w:ind w:left="1134" w:hanging="1134"/>
        <w:jc w:val="center"/>
        <w:outlineLvl w:val="0"/>
        <w:rPr>
          <w:rFonts w:ascii="Kunstler Script" w:hAnsi="Kunstler Script"/>
          <w:b/>
          <w:color w:val="4F81BD"/>
          <w:sz w:val="52"/>
          <w:szCs w:val="52"/>
        </w:rPr>
      </w:pPr>
      <w:r w:rsidRPr="008E3AF4">
        <w:rPr>
          <w:rFonts w:ascii="Kunstler Script" w:hAnsi="Kunstler Script"/>
          <w:b/>
          <w:color w:val="4F81BD"/>
          <w:sz w:val="52"/>
          <w:szCs w:val="52"/>
        </w:rPr>
        <w:t>Ministero degli Affari Esteri</w:t>
      </w:r>
    </w:p>
    <w:p w:rsidR="00B9003B" w:rsidRPr="008E3AF4" w:rsidRDefault="00B9003B" w:rsidP="00B9003B">
      <w:pPr>
        <w:pStyle w:val="Didascalia"/>
        <w:jc w:val="left"/>
        <w:rPr>
          <w:rFonts w:ascii="Kunstler Script" w:hAnsi="Kunstler Script"/>
          <w:b/>
          <w:color w:val="4F81BD"/>
          <w:sz w:val="52"/>
          <w:szCs w:val="52"/>
        </w:rPr>
      </w:pPr>
      <w:r w:rsidRPr="008E3AF4">
        <w:rPr>
          <w:rFonts w:ascii="Kunstler Script" w:hAnsi="Kunstler Script"/>
          <w:b/>
          <w:color w:val="4F81BD"/>
          <w:sz w:val="52"/>
          <w:szCs w:val="52"/>
        </w:rPr>
        <w:t xml:space="preserve">                           e della Cooperazione Internazionale</w:t>
      </w:r>
    </w:p>
    <w:p w:rsidR="00B9003B" w:rsidRDefault="00B9003B" w:rsidP="00642540">
      <w:pPr>
        <w:pStyle w:val="Intestazione"/>
        <w:jc w:val="both"/>
        <w:rPr>
          <w:i/>
          <w:color w:val="4F81BD"/>
        </w:rPr>
      </w:pPr>
      <w:r w:rsidRPr="008E3AF4">
        <w:rPr>
          <w:i/>
          <w:color w:val="4F81BD"/>
        </w:rPr>
        <w:tab/>
        <w:t xml:space="preserve">Direzione Generale per gli Affari Politici </w:t>
      </w:r>
      <w:r w:rsidR="0040013F">
        <w:rPr>
          <w:i/>
          <w:color w:val="4F81BD"/>
        </w:rPr>
        <w:t xml:space="preserve">e di sicurezza </w:t>
      </w:r>
      <w:r w:rsidRPr="008E3AF4">
        <w:rPr>
          <w:i/>
          <w:color w:val="4F81BD"/>
        </w:rPr>
        <w:t>– Task Force OSCE</w:t>
      </w:r>
    </w:p>
    <w:p w:rsidR="0094583F" w:rsidRPr="008E3AF4" w:rsidRDefault="0094583F" w:rsidP="00642540">
      <w:pPr>
        <w:pStyle w:val="Intestazione"/>
        <w:jc w:val="both"/>
        <w:rPr>
          <w:i/>
          <w:color w:val="4F81BD"/>
        </w:rPr>
      </w:pPr>
      <w:r>
        <w:rPr>
          <w:i/>
          <w:color w:val="4F81BD"/>
        </w:rPr>
        <w:t xml:space="preserve">                                                               Il Funzionario Delegato</w:t>
      </w:r>
    </w:p>
    <w:p w:rsidR="00B9003B" w:rsidRDefault="00B9003B" w:rsidP="00642540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B9003B" w:rsidTr="00642540">
        <w:tc>
          <w:tcPr>
            <w:tcW w:w="2093" w:type="dxa"/>
          </w:tcPr>
          <w:p w:rsidR="00B9003B" w:rsidRPr="00263A18" w:rsidRDefault="00B9003B" w:rsidP="00642540">
            <w:pPr>
              <w:spacing w:before="120"/>
              <w:jc w:val="both"/>
              <w:rPr>
                <w:rFonts w:ascii="14" w:hAnsi="14"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B9003B" w:rsidRDefault="00B9003B" w:rsidP="00642540">
            <w:pPr>
              <w:spacing w:before="120"/>
              <w:jc w:val="both"/>
              <w:rPr>
                <w:rFonts w:ascii="14" w:hAnsi="14"/>
              </w:rPr>
            </w:pPr>
            <w:r>
              <w:rPr>
                <w:rFonts w:ascii="14" w:hAnsi="14"/>
              </w:rPr>
              <w:t>il R.D</w:t>
            </w:r>
            <w:r w:rsidRPr="00263A18">
              <w:rPr>
                <w:rFonts w:ascii="14" w:hAnsi="14"/>
              </w:rPr>
              <w:t>. 18 novembre 1923, n. 2440, recante le “</w:t>
            </w:r>
            <w:r w:rsidRPr="00B1419A">
              <w:rPr>
                <w:rFonts w:ascii="14" w:hAnsi="14"/>
                <w:bCs/>
                <w:i/>
              </w:rPr>
              <w:t>Nuove disposizioni sull'amministrazione del patrimonio e sulla contabilità generale dello Stato</w:t>
            </w:r>
            <w:r w:rsidRPr="00263A18">
              <w:rPr>
                <w:rFonts w:ascii="14" w:hAnsi="14"/>
                <w:bCs/>
              </w:rPr>
              <w:t>”</w:t>
            </w:r>
            <w:r w:rsidRPr="00263A18">
              <w:rPr>
                <w:rFonts w:ascii="14" w:hAnsi="14"/>
              </w:rPr>
              <w:t>;</w:t>
            </w:r>
          </w:p>
          <w:p w:rsidR="00B9003B" w:rsidRPr="00263A18" w:rsidRDefault="00B9003B" w:rsidP="00642540">
            <w:pPr>
              <w:spacing w:before="120"/>
              <w:jc w:val="both"/>
              <w:rPr>
                <w:rFonts w:ascii="14" w:hAnsi="14"/>
              </w:rPr>
            </w:pPr>
          </w:p>
        </w:tc>
      </w:tr>
      <w:tr w:rsidR="00B9003B" w:rsidTr="00642540">
        <w:tc>
          <w:tcPr>
            <w:tcW w:w="2093" w:type="dxa"/>
          </w:tcPr>
          <w:p w:rsidR="00B9003B" w:rsidRPr="00263A18" w:rsidRDefault="00B9003B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B9003B" w:rsidRDefault="00B9003B" w:rsidP="00642540">
            <w:pPr>
              <w:spacing w:before="120"/>
              <w:jc w:val="both"/>
              <w:rPr>
                <w:rFonts w:ascii="14" w:hAnsi="14"/>
              </w:rPr>
            </w:pPr>
            <w:r w:rsidRPr="00263A18">
              <w:rPr>
                <w:rFonts w:ascii="14" w:hAnsi="14"/>
              </w:rPr>
              <w:t xml:space="preserve">il </w:t>
            </w:r>
            <w:r>
              <w:rPr>
                <w:rFonts w:ascii="14" w:hAnsi="14"/>
              </w:rPr>
              <w:t>R.D</w:t>
            </w:r>
            <w:r w:rsidRPr="00263A18">
              <w:rPr>
                <w:rFonts w:ascii="14" w:hAnsi="14"/>
              </w:rPr>
              <w:t>. 23 maggio 1924, n. 827, recante il “</w:t>
            </w:r>
            <w:r w:rsidRPr="00B1419A">
              <w:rPr>
                <w:rFonts w:ascii="14" w:hAnsi="14"/>
                <w:bCs/>
                <w:i/>
              </w:rPr>
              <w:t>Regolamento per l'amministrazione del patrimonio e per la contabilità generale dello Stato</w:t>
            </w:r>
            <w:r w:rsidRPr="00263A18">
              <w:rPr>
                <w:rFonts w:ascii="14" w:hAnsi="14"/>
                <w:bCs/>
              </w:rPr>
              <w:t>”</w:t>
            </w:r>
            <w:r w:rsidRPr="00263A18">
              <w:rPr>
                <w:rFonts w:ascii="14" w:hAnsi="14"/>
              </w:rPr>
              <w:t>;</w:t>
            </w:r>
          </w:p>
          <w:p w:rsidR="00B9003B" w:rsidRPr="00263A18" w:rsidRDefault="00B9003B" w:rsidP="00642540">
            <w:pPr>
              <w:spacing w:before="120"/>
              <w:jc w:val="both"/>
              <w:rPr>
                <w:rFonts w:ascii="14" w:hAnsi="14"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Pr="00263A18" w:rsidRDefault="00D857BD" w:rsidP="00642540">
            <w:pPr>
              <w:tabs>
                <w:tab w:val="left" w:pos="1800"/>
              </w:tabs>
              <w:spacing w:before="120"/>
              <w:ind w:right="458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jc w:val="both"/>
              <w:rPr>
                <w:rFonts w:ascii="14" w:hAnsi="14"/>
              </w:rPr>
            </w:pPr>
            <w:r w:rsidRPr="00B62251">
              <w:rPr>
                <w:rFonts w:ascii="14" w:hAnsi="14"/>
              </w:rPr>
              <w:t xml:space="preserve">Il </w:t>
            </w:r>
            <w:proofErr w:type="spellStart"/>
            <w:r w:rsidRPr="00B62251">
              <w:rPr>
                <w:rFonts w:ascii="14" w:hAnsi="14"/>
              </w:rPr>
              <w:t>D.Lgs.</w:t>
            </w:r>
            <w:proofErr w:type="spellEnd"/>
            <w:r w:rsidRPr="00B62251">
              <w:rPr>
                <w:rFonts w:ascii="14" w:hAnsi="14"/>
              </w:rPr>
              <w:t xml:space="preserve"> 18 aprile 2016, n. 50 e </w:t>
            </w:r>
            <w:proofErr w:type="spellStart"/>
            <w:r w:rsidRPr="00B62251">
              <w:rPr>
                <w:rFonts w:ascii="14" w:hAnsi="14"/>
              </w:rPr>
              <w:t>ss.mm.ii</w:t>
            </w:r>
            <w:proofErr w:type="spellEnd"/>
            <w:r w:rsidRPr="00B62251">
              <w:rPr>
                <w:rFonts w:ascii="14" w:hAnsi="14"/>
              </w:rPr>
              <w:t xml:space="preserve">., recante l’Attuazione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forniture, pubblicato nella G.U. </w:t>
            </w:r>
            <w:proofErr w:type="spellStart"/>
            <w:r w:rsidRPr="00B62251">
              <w:rPr>
                <w:rFonts w:ascii="14" w:hAnsi="14"/>
              </w:rPr>
              <w:t>suppl</w:t>
            </w:r>
            <w:proofErr w:type="spellEnd"/>
            <w:r w:rsidRPr="00B62251">
              <w:rPr>
                <w:rFonts w:ascii="14" w:hAnsi="14"/>
              </w:rPr>
              <w:t xml:space="preserve">. </w:t>
            </w:r>
            <w:proofErr w:type="spellStart"/>
            <w:r w:rsidRPr="00B62251">
              <w:rPr>
                <w:rFonts w:ascii="14" w:hAnsi="14"/>
              </w:rPr>
              <w:t>ord</w:t>
            </w:r>
            <w:proofErr w:type="spellEnd"/>
            <w:r w:rsidRPr="00B62251">
              <w:rPr>
                <w:rFonts w:ascii="14" w:hAnsi="14"/>
              </w:rPr>
              <w:t>. del 19 aprile 2016, n. 91;</w:t>
            </w:r>
          </w:p>
          <w:p w:rsidR="00D857BD" w:rsidRPr="00263A18" w:rsidRDefault="00D857BD" w:rsidP="00642540">
            <w:pPr>
              <w:jc w:val="both"/>
            </w:pPr>
          </w:p>
        </w:tc>
      </w:tr>
      <w:tr w:rsidR="00D857BD" w:rsidTr="00642540">
        <w:tc>
          <w:tcPr>
            <w:tcW w:w="2093" w:type="dxa"/>
          </w:tcPr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</w:rPr>
            </w:pPr>
            <w:r>
              <w:rPr>
                <w:rFonts w:ascii="14" w:hAnsi="14"/>
              </w:rPr>
              <w:t xml:space="preserve">il </w:t>
            </w:r>
            <w:proofErr w:type="spellStart"/>
            <w:r>
              <w:rPr>
                <w:rFonts w:ascii="14" w:hAnsi="14"/>
              </w:rPr>
              <w:t>D.L</w:t>
            </w:r>
            <w:r w:rsidRPr="00263A18">
              <w:rPr>
                <w:rFonts w:ascii="14" w:hAnsi="14"/>
              </w:rPr>
              <w:t>gs.</w:t>
            </w:r>
            <w:proofErr w:type="spellEnd"/>
            <w:r w:rsidRPr="00263A18">
              <w:rPr>
                <w:rFonts w:ascii="14" w:hAnsi="14"/>
              </w:rPr>
              <w:t xml:space="preserve"> 30 marzo 2001, n. 165, recante “</w:t>
            </w:r>
            <w:r w:rsidRPr="00B1419A">
              <w:rPr>
                <w:rFonts w:ascii="14" w:hAnsi="14"/>
                <w:i/>
              </w:rPr>
              <w:t>Norme generali sull'ordinamento del lavoro alle dipendenze delle amministrazioni pubbliche</w:t>
            </w:r>
            <w:r w:rsidRPr="00263A18">
              <w:rPr>
                <w:rFonts w:ascii="14" w:hAnsi="14"/>
              </w:rPr>
              <w:t>”;</w:t>
            </w:r>
          </w:p>
          <w:p w:rsidR="00D857BD" w:rsidRPr="002E2A5C" w:rsidRDefault="00D857BD" w:rsidP="00642540">
            <w:pPr>
              <w:spacing w:before="120"/>
              <w:jc w:val="both"/>
              <w:rPr>
                <w:rFonts w:ascii="14" w:hAnsi="14"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</w:rPr>
            </w:pPr>
            <w:r>
              <w:rPr>
                <w:rFonts w:ascii="14" w:hAnsi="14"/>
              </w:rPr>
              <w:t>il D</w:t>
            </w:r>
            <w:r w:rsidRPr="00263A18">
              <w:rPr>
                <w:rFonts w:ascii="14" w:hAnsi="14"/>
              </w:rPr>
              <w:t>.P.R. 5 gennaio 1967, n. 18, recante lo “</w:t>
            </w:r>
            <w:r w:rsidRPr="00B1419A">
              <w:rPr>
                <w:rFonts w:ascii="14" w:hAnsi="14"/>
                <w:bCs/>
                <w:i/>
              </w:rPr>
              <w:t>Ordiname</w:t>
            </w:r>
            <w:r>
              <w:rPr>
                <w:rFonts w:ascii="14" w:hAnsi="14"/>
                <w:bCs/>
                <w:i/>
              </w:rPr>
              <w:t>nto dell'Amministrazione degli Affari E</w:t>
            </w:r>
            <w:r w:rsidRPr="00B1419A">
              <w:rPr>
                <w:rFonts w:ascii="14" w:hAnsi="14"/>
                <w:bCs/>
                <w:i/>
              </w:rPr>
              <w:t>steri</w:t>
            </w:r>
            <w:r w:rsidRPr="00263A18">
              <w:rPr>
                <w:rFonts w:ascii="14" w:hAnsi="14"/>
                <w:bCs/>
              </w:rPr>
              <w:t>”</w:t>
            </w:r>
            <w:r w:rsidRPr="00263A18">
              <w:rPr>
                <w:rFonts w:ascii="14" w:hAnsi="14"/>
              </w:rPr>
              <w:t>;</w:t>
            </w:r>
          </w:p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</w:rPr>
            </w:pPr>
            <w:r>
              <w:rPr>
                <w:rFonts w:ascii="14" w:hAnsi="14"/>
              </w:rPr>
              <w:t>il D</w:t>
            </w:r>
            <w:r w:rsidRPr="00263A18">
              <w:rPr>
                <w:rFonts w:ascii="14" w:hAnsi="14"/>
              </w:rPr>
              <w:t>.P.R. 19 maggio 2010, n. 95, recante la “</w:t>
            </w:r>
            <w:r w:rsidRPr="00B1419A">
              <w:rPr>
                <w:rFonts w:ascii="14" w:hAnsi="14"/>
                <w:i/>
              </w:rPr>
              <w:t>Riorganizzazione del Ministero degli Affari Esteri</w:t>
            </w:r>
            <w:r w:rsidRPr="00263A18">
              <w:rPr>
                <w:rFonts w:ascii="14" w:hAnsi="14"/>
              </w:rPr>
              <w:t>”;</w:t>
            </w:r>
          </w:p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  <w:bCs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Pr="00263A18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 xml:space="preserve">il D.M. </w:t>
            </w:r>
            <w:r w:rsidRPr="00E9565D">
              <w:rPr>
                <w:rFonts w:ascii="14" w:hAnsi="14"/>
                <w:bCs/>
              </w:rPr>
              <w:t>n. 2060</w:t>
            </w:r>
            <w:r>
              <w:rPr>
                <w:rFonts w:ascii="14" w:hAnsi="14"/>
                <w:bCs/>
              </w:rPr>
              <w:t xml:space="preserve"> dell’ 11 ottobre 2010</w:t>
            </w:r>
            <w:r w:rsidRPr="00263A18">
              <w:rPr>
                <w:rFonts w:ascii="14" w:hAnsi="14"/>
                <w:bCs/>
              </w:rPr>
              <w:t xml:space="preserve">, registrato alla Corte dei Conti il 10 novembre 2010, reg. n. 18, </w:t>
            </w:r>
            <w:proofErr w:type="spellStart"/>
            <w:r w:rsidRPr="00263A18">
              <w:rPr>
                <w:rFonts w:ascii="14" w:hAnsi="14"/>
                <w:bCs/>
              </w:rPr>
              <w:t>fg</w:t>
            </w:r>
            <w:proofErr w:type="spellEnd"/>
            <w:r w:rsidRPr="00263A18">
              <w:rPr>
                <w:rFonts w:ascii="14" w:hAnsi="14"/>
                <w:bCs/>
              </w:rPr>
              <w:t>. n. 146, che disciplina le articolazioni interne degli Uffici di livello dirigenziale generale istituiti presso l’Amministrazione centrale del</w:t>
            </w:r>
            <w:r>
              <w:rPr>
                <w:rFonts w:ascii="14" w:hAnsi="14"/>
                <w:bCs/>
              </w:rPr>
              <w:t xml:space="preserve"> Ministero degli Affari E</w:t>
            </w:r>
            <w:r w:rsidRPr="00263A18">
              <w:rPr>
                <w:rFonts w:ascii="14" w:hAnsi="14"/>
                <w:bCs/>
              </w:rPr>
              <w:t>steri;</w:t>
            </w:r>
          </w:p>
          <w:p w:rsidR="00D857BD" w:rsidRDefault="00D857BD" w:rsidP="00642540">
            <w:pPr>
              <w:spacing w:before="120"/>
              <w:jc w:val="both"/>
              <w:rPr>
                <w:rFonts w:ascii="14" w:hAnsi="14"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642540">
            <w:pPr>
              <w:spacing w:before="120"/>
              <w:jc w:val="both"/>
            </w:pPr>
            <w:r w:rsidRPr="00C97547">
              <w:rPr>
                <w:rFonts w:ascii="14" w:hAnsi="14"/>
                <w:bCs/>
              </w:rPr>
              <w:t>il DPR 29.12.2016 n.260 che ha modificato  il predetto  DPR 95/2010;</w:t>
            </w:r>
          </w:p>
          <w:p w:rsidR="00D857BD" w:rsidRDefault="00D857BD" w:rsidP="00642540">
            <w:pPr>
              <w:spacing w:before="120"/>
              <w:jc w:val="both"/>
              <w:rPr>
                <w:rFonts w:ascii="14" w:hAnsi="14"/>
                <w:bCs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VISTA</w:t>
            </w: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</w:tc>
        <w:tc>
          <w:tcPr>
            <w:tcW w:w="7685" w:type="dxa"/>
          </w:tcPr>
          <w:p w:rsidR="00D857BD" w:rsidRDefault="00D857BD" w:rsidP="0094583F">
            <w:pPr>
              <w:spacing w:before="120"/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lastRenderedPageBreak/>
              <w:t>il D.M</w:t>
            </w:r>
            <w:r w:rsidRPr="00263A18">
              <w:rPr>
                <w:rFonts w:ascii="14" w:hAnsi="14"/>
                <w:bCs/>
              </w:rPr>
              <w:t>. n.233 del 3.2.2017, registrato alla Corte dei Conti il 7.2.2017, foglio 312, recante la disciplina delle articolazioni dell’amministrazione centrale;</w:t>
            </w:r>
            <w:r>
              <w:rPr>
                <w:rFonts w:ascii="14" w:hAnsi="14"/>
                <w:bCs/>
              </w:rPr>
              <w:t xml:space="preserve"> </w:t>
            </w:r>
          </w:p>
          <w:p w:rsidR="00D30E42" w:rsidRDefault="00D30E42" w:rsidP="0094583F">
            <w:pPr>
              <w:spacing w:before="120"/>
              <w:jc w:val="both"/>
              <w:rPr>
                <w:rFonts w:ascii="14" w:hAnsi="14"/>
                <w:bCs/>
              </w:rPr>
            </w:pPr>
          </w:p>
          <w:p w:rsidR="00D30E42" w:rsidRPr="00A25F7D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5F7D">
              <w:rPr>
                <w:rFonts w:ascii="Times New Roman" w:hAnsi="Times New Roman" w:cs="Times New Roman"/>
                <w:bCs/>
              </w:rPr>
              <w:t xml:space="preserve">la Legge 27.12.2017 n°205 di approvazione del Bilancio di Previsione dello Stato per l’esercizio finanziario 2018 e il bilancio pluriennale  2018 – 2020; </w:t>
            </w:r>
          </w:p>
          <w:p w:rsidR="00D30E42" w:rsidRPr="00555FA5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30E42" w:rsidRPr="00555FA5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148F">
              <w:rPr>
                <w:rFonts w:ascii="Times New Roman" w:hAnsi="Times New Roman" w:cs="Times New Roman"/>
                <w:bCs/>
              </w:rPr>
              <w:t xml:space="preserve">il decreto del Ministro dell’Economia e delle Finanze del 30 dicembre 2017, pubblicato sul supplemento ordinario n°65 della Gazzetta Ufficiale della Repubblica Italiana  - Serie Generale n°303 del 30.12.2017 contenente la tabella 6, relativa al </w:t>
            </w:r>
            <w:r w:rsidRPr="00E6148F">
              <w:rPr>
                <w:rFonts w:ascii="Times New Roman" w:hAnsi="Times New Roman" w:cs="Times New Roman"/>
                <w:bCs/>
              </w:rPr>
              <w:lastRenderedPageBreak/>
              <w:t>bilancio MAECI 2018-2020;</w:t>
            </w:r>
          </w:p>
          <w:p w:rsidR="00D30E42" w:rsidRPr="00A25F7D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94E2C" w:rsidRPr="00D30E42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5F7D">
              <w:rPr>
                <w:rFonts w:ascii="Times New Roman" w:hAnsi="Times New Roman" w:cs="Times New Roman"/>
                <w:bCs/>
              </w:rPr>
              <w:t>altresì, il D.M. 5120/1/BIS del 10.01.2018 di attribuzione delle risorse finanziarie, umane e strumentali ai titolari dei centri di responsabilità per l’E.F. 2018;</w:t>
            </w:r>
          </w:p>
        </w:tc>
      </w:tr>
      <w:tr w:rsidR="00D857BD" w:rsidTr="00642540">
        <w:tc>
          <w:tcPr>
            <w:tcW w:w="2093" w:type="dxa"/>
          </w:tcPr>
          <w:p w:rsidR="00466B85" w:rsidRDefault="00466B85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857BD" w:rsidRPr="00263A18" w:rsidRDefault="00466B85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RICHIAMATO</w:t>
            </w:r>
          </w:p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07102F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 xml:space="preserve">DATO </w:t>
            </w:r>
            <w:r w:rsidR="00D30E42">
              <w:rPr>
                <w:rFonts w:ascii="14" w:hAnsi="14"/>
                <w:b/>
              </w:rPr>
              <w:t xml:space="preserve"> ATTO</w:t>
            </w:r>
          </w:p>
        </w:tc>
        <w:tc>
          <w:tcPr>
            <w:tcW w:w="7685" w:type="dxa"/>
          </w:tcPr>
          <w:p w:rsidR="00466B85" w:rsidRDefault="00466B85" w:rsidP="00642540">
            <w:pPr>
              <w:spacing w:before="120"/>
              <w:jc w:val="both"/>
              <w:rPr>
                <w:rFonts w:ascii="14" w:hAnsi="14"/>
                <w:bCs/>
              </w:rPr>
            </w:pPr>
          </w:p>
          <w:p w:rsidR="00D857BD" w:rsidRDefault="00D857BD" w:rsidP="00642540">
            <w:pPr>
              <w:spacing w:before="120"/>
              <w:jc w:val="both"/>
              <w:rPr>
                <w:rFonts w:ascii="Cambria" w:eastAsia="MS Mincho" w:hAnsi="Cambria"/>
              </w:rPr>
            </w:pPr>
            <w:r w:rsidRPr="00D30E42">
              <w:rPr>
                <w:rFonts w:ascii="14" w:hAnsi="14"/>
                <w:bCs/>
              </w:rPr>
              <w:t xml:space="preserve">il Decreto del Ministro n° 128 bis del 22.4.2017, con il quale è stato istituito un </w:t>
            </w:r>
            <w:r w:rsidRPr="00D30E42">
              <w:rPr>
                <w:rFonts w:ascii="14" w:hAnsi="14"/>
                <w:bCs/>
                <w:i/>
              </w:rPr>
              <w:t>Comitato</w:t>
            </w:r>
            <w:r w:rsidRPr="00D30E42">
              <w:rPr>
                <w:rFonts w:ascii="14" w:hAnsi="14"/>
                <w:bCs/>
              </w:rPr>
              <w:t xml:space="preserve"> </w:t>
            </w:r>
            <w:r w:rsidRPr="00D30E42">
              <w:rPr>
                <w:rFonts w:ascii="14" w:hAnsi="14"/>
                <w:bCs/>
                <w:i/>
              </w:rPr>
              <w:t>di</w:t>
            </w:r>
            <w:r w:rsidRPr="00B1419A">
              <w:rPr>
                <w:rFonts w:ascii="14" w:hAnsi="14"/>
                <w:bCs/>
                <w:i/>
              </w:rPr>
              <w:t xml:space="preserve"> coordinamento</w:t>
            </w:r>
            <w:r>
              <w:rPr>
                <w:rFonts w:ascii="14" w:hAnsi="14"/>
                <w:bCs/>
                <w:i/>
              </w:rPr>
              <w:t xml:space="preserve"> </w:t>
            </w:r>
            <w:r w:rsidRPr="00B1419A">
              <w:rPr>
                <w:rFonts w:ascii="14" w:hAnsi="14"/>
                <w:bCs/>
                <w:i/>
              </w:rPr>
              <w:t xml:space="preserve">per la Presidenza </w:t>
            </w:r>
            <w:r>
              <w:rPr>
                <w:rFonts w:ascii="14" w:hAnsi="14"/>
                <w:bCs/>
                <w:i/>
              </w:rPr>
              <w:t xml:space="preserve">italiana </w:t>
            </w:r>
            <w:r w:rsidRPr="00B1419A">
              <w:rPr>
                <w:rFonts w:ascii="14" w:hAnsi="14"/>
                <w:bCs/>
                <w:i/>
              </w:rPr>
              <w:t>dell’Organizzazione per la sicurezza e la cooperazione in Europa</w:t>
            </w:r>
            <w:r>
              <w:rPr>
                <w:rFonts w:ascii="14" w:hAnsi="14"/>
                <w:bCs/>
              </w:rPr>
              <w:t xml:space="preserve"> (da ora in avanti OSCE</w:t>
            </w:r>
            <w:r w:rsidRPr="00263A18">
              <w:rPr>
                <w:rFonts w:ascii="14" w:hAnsi="14"/>
                <w:bCs/>
              </w:rPr>
              <w:t>)</w:t>
            </w:r>
            <w:r>
              <w:rPr>
                <w:rFonts w:ascii="Cambria" w:eastAsia="MS Mincho" w:hAnsi="Cambria"/>
              </w:rPr>
              <w:t>;</w:t>
            </w:r>
          </w:p>
          <w:p w:rsidR="00D30E42" w:rsidRDefault="00D30E42" w:rsidP="00642540">
            <w:pPr>
              <w:spacing w:before="120"/>
              <w:jc w:val="both"/>
              <w:rPr>
                <w:rFonts w:ascii="Cambria" w:eastAsia="MS Mincho" w:hAnsi="Cambria"/>
              </w:rPr>
            </w:pPr>
          </w:p>
          <w:p w:rsidR="00D857BD" w:rsidRDefault="00D30E42" w:rsidP="00642540">
            <w:pPr>
              <w:spacing w:before="120"/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>del</w:t>
            </w:r>
            <w:r w:rsidRPr="00D30E42">
              <w:rPr>
                <w:rFonts w:ascii="14" w:hAnsi="14"/>
                <w:bCs/>
              </w:rPr>
              <w:t xml:space="preserve"> D.P.R. n. 21 del 17.07.2014, registrato alla Corte dei Conti rep. n. 2247 del 06.08.2014, con cui sono state conferite le funzioni di Direttore Generale per gli Affari Politici e di Sicurezza all’Ambasciatore Luca </w:t>
            </w:r>
            <w:proofErr w:type="spellStart"/>
            <w:r w:rsidRPr="00D30E42">
              <w:rPr>
                <w:rFonts w:ascii="14" w:hAnsi="14"/>
                <w:bCs/>
              </w:rPr>
              <w:t>Giansanti</w:t>
            </w:r>
            <w:proofErr w:type="spellEnd"/>
            <w:r w:rsidRPr="00D30E42">
              <w:rPr>
                <w:rFonts w:ascii="14" w:hAnsi="14"/>
                <w:bCs/>
              </w:rPr>
              <w:t>;</w:t>
            </w:r>
          </w:p>
          <w:p w:rsidR="00D30E42" w:rsidRPr="00E9565D" w:rsidRDefault="00D30E42" w:rsidP="00642540">
            <w:pPr>
              <w:spacing w:before="120"/>
              <w:jc w:val="both"/>
              <w:rPr>
                <w:rFonts w:ascii="14" w:hAnsi="14"/>
                <w:bCs/>
              </w:rPr>
            </w:pPr>
          </w:p>
        </w:tc>
      </w:tr>
      <w:tr w:rsidR="00D857BD" w:rsidTr="00642540">
        <w:tc>
          <w:tcPr>
            <w:tcW w:w="2093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 xml:space="preserve">PRESO ATTO </w:t>
            </w:r>
          </w:p>
          <w:p w:rsidR="00466B85" w:rsidRDefault="00466B85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466B85" w:rsidRDefault="00466B85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466B85" w:rsidRDefault="00466B85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180DC0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RICHIAMATO</w:t>
            </w:r>
          </w:p>
          <w:p w:rsidR="009F1AFE" w:rsidRDefault="009F1AFE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30E42" w:rsidRDefault="00D30E42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995CA5" w:rsidRDefault="00995CA5" w:rsidP="00642540">
            <w:pPr>
              <w:spacing w:before="120"/>
              <w:jc w:val="both"/>
              <w:rPr>
                <w:rFonts w:ascii="14" w:hAnsi="14"/>
                <w:b/>
              </w:rPr>
            </w:pPr>
            <w:r>
              <w:rPr>
                <w:rFonts w:ascii="14" w:hAnsi="14"/>
                <w:b/>
              </w:rPr>
              <w:t>VISTO</w:t>
            </w:r>
          </w:p>
          <w:p w:rsidR="00180DC0" w:rsidRDefault="00180DC0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</w:p>
        </w:tc>
        <w:tc>
          <w:tcPr>
            <w:tcW w:w="7685" w:type="dxa"/>
          </w:tcPr>
          <w:p w:rsidR="00D857BD" w:rsidRDefault="00D857BD" w:rsidP="00642540">
            <w:pPr>
              <w:jc w:val="both"/>
              <w:rPr>
                <w:rFonts w:ascii="14" w:hAnsi="14"/>
                <w:bCs/>
              </w:rPr>
            </w:pPr>
            <w:r w:rsidRPr="00263A18">
              <w:rPr>
                <w:rFonts w:ascii="14" w:hAnsi="14"/>
                <w:bCs/>
              </w:rPr>
              <w:t>che</w:t>
            </w:r>
            <w:r>
              <w:rPr>
                <w:rFonts w:ascii="14" w:hAnsi="14"/>
                <w:bCs/>
              </w:rPr>
              <w:t>,</w:t>
            </w:r>
            <w:r w:rsidRPr="00263A18">
              <w:rPr>
                <w:rFonts w:ascii="14" w:hAnsi="14"/>
                <w:bCs/>
              </w:rPr>
              <w:t xml:space="preserve"> con decreto</w:t>
            </w:r>
            <w:r w:rsidR="00E94E2C">
              <w:rPr>
                <w:rFonts w:ascii="14" w:hAnsi="14"/>
                <w:bCs/>
              </w:rPr>
              <w:t xml:space="preserve"> del Direttore Generale DGAP n°</w:t>
            </w:r>
            <w:r w:rsidRPr="00263A18">
              <w:rPr>
                <w:rFonts w:ascii="14" w:hAnsi="14"/>
                <w:bCs/>
              </w:rPr>
              <w:t>1</w:t>
            </w:r>
            <w:r w:rsidR="00E94E2C">
              <w:rPr>
                <w:rFonts w:ascii="14" w:hAnsi="14"/>
                <w:bCs/>
              </w:rPr>
              <w:t>2</w:t>
            </w:r>
            <w:r w:rsidRPr="00263A18">
              <w:rPr>
                <w:rFonts w:ascii="14" w:hAnsi="14"/>
                <w:bCs/>
              </w:rPr>
              <w:t>7</w:t>
            </w:r>
            <w:r>
              <w:rPr>
                <w:rFonts w:ascii="14" w:hAnsi="14"/>
                <w:bCs/>
              </w:rPr>
              <w:t>,</w:t>
            </w:r>
            <w:r w:rsidRPr="00263A18">
              <w:rPr>
                <w:rFonts w:ascii="14" w:hAnsi="14"/>
                <w:bCs/>
              </w:rPr>
              <w:t xml:space="preserve"> del 26 maggio 2017</w:t>
            </w:r>
            <w:r>
              <w:rPr>
                <w:rFonts w:ascii="14" w:hAnsi="14"/>
                <w:bCs/>
              </w:rPr>
              <w:t>,</w:t>
            </w:r>
            <w:r w:rsidRPr="00263A18">
              <w:rPr>
                <w:rFonts w:ascii="14" w:hAnsi="14"/>
                <w:bCs/>
              </w:rPr>
              <w:t xml:space="preserve"> è stata istituita la </w:t>
            </w:r>
            <w:r w:rsidRPr="00B1419A">
              <w:rPr>
                <w:rFonts w:ascii="14" w:hAnsi="14"/>
                <w:bCs/>
                <w:i/>
              </w:rPr>
              <w:t>Task Force per la Presidenza italiana dell’OSCE</w:t>
            </w:r>
            <w:r w:rsidRPr="00263A18">
              <w:rPr>
                <w:rFonts w:ascii="14" w:hAnsi="14"/>
                <w:bCs/>
              </w:rPr>
              <w:t xml:space="preserve"> a cui è stata affidata la preparazione e l’org</w:t>
            </w:r>
            <w:r>
              <w:rPr>
                <w:rFonts w:ascii="14" w:hAnsi="14"/>
                <w:bCs/>
              </w:rPr>
              <w:t xml:space="preserve">anizzazione dei relativi eventi </w:t>
            </w:r>
            <w:r w:rsidRPr="001A4202">
              <w:rPr>
                <w:rFonts w:ascii="14" w:hAnsi="14"/>
                <w:bCs/>
              </w:rPr>
              <w:t>connessi allo svolgimento della Presidenza italiana</w:t>
            </w:r>
            <w:r>
              <w:rPr>
                <w:rFonts w:ascii="14" w:hAnsi="14"/>
                <w:bCs/>
              </w:rPr>
              <w:t xml:space="preserve"> </w:t>
            </w:r>
            <w:r w:rsidRPr="001A4202">
              <w:rPr>
                <w:rFonts w:ascii="14" w:hAnsi="14"/>
                <w:bCs/>
              </w:rPr>
              <w:t>dell’OSCE nel 2018</w:t>
            </w:r>
            <w:r>
              <w:rPr>
                <w:rFonts w:ascii="14" w:hAnsi="14"/>
                <w:bCs/>
              </w:rPr>
              <w:t>;</w:t>
            </w:r>
          </w:p>
          <w:p w:rsidR="00466B85" w:rsidRDefault="00466B85" w:rsidP="00642540">
            <w:pPr>
              <w:jc w:val="both"/>
              <w:rPr>
                <w:rFonts w:ascii="14" w:hAnsi="14"/>
                <w:bCs/>
              </w:rPr>
            </w:pPr>
          </w:p>
          <w:p w:rsidR="00466B85" w:rsidRDefault="00466B85" w:rsidP="00642540">
            <w:pPr>
              <w:jc w:val="both"/>
              <w:rPr>
                <w:rFonts w:ascii="14" w:hAnsi="14"/>
                <w:bCs/>
              </w:rPr>
            </w:pPr>
          </w:p>
          <w:p w:rsidR="00D30E42" w:rsidRPr="00555FA5" w:rsidRDefault="00D30E42" w:rsidP="00D30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446E">
              <w:rPr>
                <w:rFonts w:ascii="Times New Roman" w:hAnsi="Times New Roman" w:cs="Times New Roman"/>
                <w:bCs/>
              </w:rPr>
              <w:t>il D.D.G. n. 2100/49 del 30 gennaio 2018, che modifica ed in</w:t>
            </w:r>
            <w:r>
              <w:rPr>
                <w:rFonts w:ascii="Times New Roman" w:hAnsi="Times New Roman" w:cs="Times New Roman"/>
                <w:bCs/>
              </w:rPr>
              <w:t xml:space="preserve">tegra il succitato decreto, con </w:t>
            </w:r>
            <w:r w:rsidRPr="0043446E">
              <w:rPr>
                <w:rFonts w:ascii="Times New Roman" w:hAnsi="Times New Roman" w:cs="Times New Roman"/>
                <w:bCs/>
              </w:rPr>
              <w:t>cui è stato nominato il Capo della Task Force e individuato il Fu</w:t>
            </w:r>
            <w:r>
              <w:rPr>
                <w:rFonts w:ascii="Times New Roman" w:hAnsi="Times New Roman" w:cs="Times New Roman"/>
                <w:bCs/>
              </w:rPr>
              <w:t xml:space="preserve">nzionario Delegato nella stessa </w:t>
            </w:r>
            <w:r w:rsidRPr="0043446E">
              <w:rPr>
                <w:rFonts w:ascii="Times New Roman" w:hAnsi="Times New Roman" w:cs="Times New Roman"/>
                <w:bCs/>
              </w:rPr>
              <w:t xml:space="preserve">persona del Min. </w:t>
            </w:r>
            <w:proofErr w:type="spellStart"/>
            <w:r w:rsidRPr="0043446E">
              <w:rPr>
                <w:rFonts w:ascii="Times New Roman" w:hAnsi="Times New Roman" w:cs="Times New Roman"/>
                <w:bCs/>
              </w:rPr>
              <w:t>Plen</w:t>
            </w:r>
            <w:proofErr w:type="spellEnd"/>
            <w:r w:rsidRPr="0043446E">
              <w:rPr>
                <w:rFonts w:ascii="Times New Roman" w:hAnsi="Times New Roman" w:cs="Times New Roman"/>
                <w:bCs/>
              </w:rPr>
              <w:t>. Iannuzzi Giovanni Battista per l</w:t>
            </w:r>
            <w:r>
              <w:rPr>
                <w:rFonts w:ascii="Times New Roman" w:hAnsi="Times New Roman" w:cs="Times New Roman"/>
                <w:bCs/>
              </w:rPr>
              <w:t xml:space="preserve">a gestione delle spese connesse </w:t>
            </w:r>
            <w:r w:rsidRPr="0043446E">
              <w:rPr>
                <w:rFonts w:ascii="Times New Roman" w:hAnsi="Times New Roman" w:cs="Times New Roman"/>
                <w:bCs/>
              </w:rPr>
              <w:t>all’organizzazione della Presidenza italiana dell’OSCE e a que</w:t>
            </w:r>
            <w:r>
              <w:rPr>
                <w:rFonts w:ascii="Times New Roman" w:hAnsi="Times New Roman" w:cs="Times New Roman"/>
                <w:bCs/>
              </w:rPr>
              <w:t xml:space="preserve">lle di funzionamento della Task </w:t>
            </w:r>
            <w:r w:rsidRPr="0043446E">
              <w:rPr>
                <w:rFonts w:ascii="Times New Roman" w:hAnsi="Times New Roman" w:cs="Times New Roman"/>
                <w:bCs/>
              </w:rPr>
              <w:t>Force OSCE;</w:t>
            </w:r>
          </w:p>
          <w:p w:rsidR="00D857BD" w:rsidRDefault="00D857BD" w:rsidP="00642540">
            <w:pPr>
              <w:jc w:val="both"/>
              <w:rPr>
                <w:rFonts w:ascii="14" w:hAnsi="14"/>
                <w:bCs/>
              </w:rPr>
            </w:pPr>
          </w:p>
          <w:p w:rsidR="00180DC0" w:rsidRPr="00EB3F21" w:rsidRDefault="00EB3F21" w:rsidP="004001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5F7D">
              <w:rPr>
                <w:rFonts w:ascii="Times New Roman" w:hAnsi="Times New Roman" w:cs="Times New Roman"/>
                <w:bCs/>
              </w:rPr>
              <w:t xml:space="preserve">il decreto direttoriale n° 2100/54 del 2 febbraio 2018  con cui è stata autorizzata l’ apertura di credito di € 1.291.142,25 a favore del funzionario delegato della Task Force OSCE; </w:t>
            </w:r>
          </w:p>
        </w:tc>
      </w:tr>
      <w:tr w:rsidR="00D857BD" w:rsidTr="00642540">
        <w:tc>
          <w:tcPr>
            <w:tcW w:w="2093" w:type="dxa"/>
          </w:tcPr>
          <w:p w:rsidR="00D857BD" w:rsidRDefault="00D857BD" w:rsidP="00642540">
            <w:pPr>
              <w:spacing w:before="120"/>
              <w:jc w:val="both"/>
              <w:rPr>
                <w:rFonts w:ascii="14" w:hAnsi="14"/>
                <w:b/>
              </w:rPr>
            </w:pPr>
            <w:r w:rsidRPr="00263A18">
              <w:rPr>
                <w:rFonts w:ascii="14" w:hAnsi="14"/>
                <w:b/>
              </w:rPr>
              <w:t>PREMESSO</w:t>
            </w:r>
          </w:p>
        </w:tc>
        <w:tc>
          <w:tcPr>
            <w:tcW w:w="7685" w:type="dxa"/>
          </w:tcPr>
          <w:p w:rsidR="000E7709" w:rsidRDefault="000E7709" w:rsidP="00D76702">
            <w:pPr>
              <w:jc w:val="both"/>
              <w:rPr>
                <w:rFonts w:ascii="14" w:hAnsi="14"/>
                <w:bCs/>
              </w:rPr>
            </w:pPr>
          </w:p>
          <w:p w:rsidR="00D76702" w:rsidRPr="00D76702" w:rsidRDefault="001C1587" w:rsidP="00D76702">
            <w:pPr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 xml:space="preserve">che, </w:t>
            </w:r>
            <w:r w:rsidR="00D76702" w:rsidRPr="00D76702">
              <w:rPr>
                <w:rFonts w:ascii="14" w:hAnsi="14"/>
                <w:bCs/>
              </w:rPr>
              <w:t xml:space="preserve"> </w:t>
            </w:r>
            <w:r>
              <w:rPr>
                <w:rFonts w:ascii="14" w:hAnsi="14"/>
                <w:bCs/>
              </w:rPr>
              <w:t>nel corrente a</w:t>
            </w:r>
            <w:r w:rsidR="00C2149B">
              <w:rPr>
                <w:rFonts w:ascii="14" w:hAnsi="14"/>
                <w:bCs/>
              </w:rPr>
              <w:t xml:space="preserve">nno 2018 </w:t>
            </w:r>
            <w:r w:rsidR="00D76702" w:rsidRPr="00D76702">
              <w:rPr>
                <w:rFonts w:ascii="14" w:hAnsi="14"/>
                <w:bCs/>
              </w:rPr>
              <w:t xml:space="preserve"> l’Italia </w:t>
            </w:r>
            <w:r>
              <w:rPr>
                <w:rFonts w:ascii="14" w:hAnsi="14"/>
                <w:bCs/>
              </w:rPr>
              <w:t xml:space="preserve">ha assunto l’esercizio della Presidenza Italiana dell’OSCE </w:t>
            </w:r>
            <w:r w:rsidR="00C2149B">
              <w:rPr>
                <w:rFonts w:ascii="14" w:hAnsi="14"/>
                <w:bCs/>
              </w:rPr>
              <w:t>e dovrà coordinare le attività prioritarie del programma OSCE</w:t>
            </w:r>
            <w:r w:rsidR="0007102F">
              <w:rPr>
                <w:rFonts w:ascii="14" w:hAnsi="14"/>
                <w:bCs/>
              </w:rPr>
              <w:t>,</w:t>
            </w:r>
            <w:r w:rsidR="00C2149B">
              <w:rPr>
                <w:rFonts w:ascii="14" w:hAnsi="14"/>
                <w:bCs/>
              </w:rPr>
              <w:t xml:space="preserve"> dando corso alla organizzazione di una serie di eventi ;</w:t>
            </w:r>
          </w:p>
          <w:p w:rsidR="00D76702" w:rsidRPr="00D76702" w:rsidRDefault="00D76702" w:rsidP="00D76702">
            <w:pPr>
              <w:jc w:val="both"/>
              <w:rPr>
                <w:rFonts w:ascii="14" w:hAnsi="14"/>
                <w:bCs/>
              </w:rPr>
            </w:pPr>
          </w:p>
          <w:p w:rsidR="00D857BD" w:rsidRPr="00E9565D" w:rsidRDefault="00D857BD" w:rsidP="0094171A">
            <w:pPr>
              <w:jc w:val="both"/>
              <w:rPr>
                <w:rFonts w:ascii="14" w:hAnsi="14"/>
                <w:bCs/>
              </w:rPr>
            </w:pPr>
          </w:p>
        </w:tc>
      </w:tr>
      <w:tr w:rsidR="00B9003B" w:rsidTr="00642540">
        <w:tc>
          <w:tcPr>
            <w:tcW w:w="2093" w:type="dxa"/>
          </w:tcPr>
          <w:p w:rsidR="00D857BD" w:rsidRPr="00263A18" w:rsidRDefault="00D857BD" w:rsidP="00642540">
            <w:pPr>
              <w:jc w:val="both"/>
              <w:rPr>
                <w:rFonts w:ascii="14" w:hAnsi="14"/>
                <w:b/>
                <w:bCs/>
              </w:rPr>
            </w:pPr>
            <w:r w:rsidRPr="00263A18">
              <w:rPr>
                <w:rFonts w:ascii="14" w:hAnsi="14"/>
                <w:b/>
                <w:bCs/>
              </w:rPr>
              <w:t>CONSIDERATO</w:t>
            </w:r>
          </w:p>
          <w:p w:rsidR="00B9003B" w:rsidRDefault="00B9003B" w:rsidP="00642540">
            <w:pPr>
              <w:jc w:val="both"/>
            </w:pPr>
          </w:p>
        </w:tc>
        <w:tc>
          <w:tcPr>
            <w:tcW w:w="7685" w:type="dxa"/>
          </w:tcPr>
          <w:p w:rsidR="00B9003B" w:rsidRDefault="00C2149B" w:rsidP="00CE0090">
            <w:pPr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>che, ai fini organizzativi e a seguito della numerosa partecipazione di soggetti anche stranieri  agli eventi si rende</w:t>
            </w:r>
            <w:r w:rsidR="00346F54">
              <w:rPr>
                <w:rFonts w:ascii="14" w:hAnsi="14"/>
                <w:bCs/>
              </w:rPr>
              <w:t>rebbe</w:t>
            </w:r>
            <w:r>
              <w:rPr>
                <w:rFonts w:ascii="14" w:hAnsi="14"/>
                <w:bCs/>
              </w:rPr>
              <w:t xml:space="preserve"> necessaria  la gestione dell</w:t>
            </w:r>
            <w:r w:rsidR="0007102F">
              <w:rPr>
                <w:rFonts w:ascii="14" w:hAnsi="14"/>
                <w:bCs/>
              </w:rPr>
              <w:t>’</w:t>
            </w:r>
            <w:r>
              <w:rPr>
                <w:rFonts w:ascii="14" w:hAnsi="14"/>
                <w:bCs/>
              </w:rPr>
              <w:t xml:space="preserve">accredito su piattaforma informatica </w:t>
            </w:r>
            <w:r w:rsidR="00CE0090">
              <w:rPr>
                <w:rFonts w:ascii="14" w:hAnsi="14"/>
                <w:bCs/>
              </w:rPr>
              <w:t>per acquisire in tempi rapidi i nomi dei partecipanti ed avere sempre aggiornata e in tempo reale la lista degli invitati;</w:t>
            </w:r>
            <w:r w:rsidR="00CE0090" w:rsidRPr="00920D89">
              <w:rPr>
                <w:rFonts w:ascii="14" w:hAnsi="14"/>
                <w:bCs/>
              </w:rPr>
              <w:t xml:space="preserve"> </w:t>
            </w:r>
          </w:p>
          <w:p w:rsidR="00CE0090" w:rsidRPr="00920D89" w:rsidRDefault="00CE0090" w:rsidP="00CE0090">
            <w:pPr>
              <w:jc w:val="both"/>
              <w:rPr>
                <w:rFonts w:ascii="14" w:hAnsi="14"/>
                <w:bCs/>
              </w:rPr>
            </w:pPr>
          </w:p>
        </w:tc>
      </w:tr>
      <w:tr w:rsidR="00B9003B" w:rsidTr="0094171A">
        <w:trPr>
          <w:trHeight w:val="1083"/>
        </w:trPr>
        <w:tc>
          <w:tcPr>
            <w:tcW w:w="2093" w:type="dxa"/>
          </w:tcPr>
          <w:p w:rsidR="00D857BD" w:rsidRDefault="00D857BD" w:rsidP="00642540">
            <w:pPr>
              <w:jc w:val="both"/>
              <w:rPr>
                <w:rFonts w:ascii="14" w:hAnsi="14"/>
                <w:b/>
                <w:bCs/>
              </w:rPr>
            </w:pPr>
            <w:r w:rsidRPr="00263A18">
              <w:rPr>
                <w:rFonts w:ascii="14" w:hAnsi="14"/>
                <w:b/>
                <w:bCs/>
              </w:rPr>
              <w:t>TENUTO CONTO</w:t>
            </w:r>
          </w:p>
          <w:p w:rsidR="00B9003B" w:rsidRDefault="00B9003B" w:rsidP="00642540">
            <w:pPr>
              <w:jc w:val="both"/>
            </w:pPr>
          </w:p>
        </w:tc>
        <w:tc>
          <w:tcPr>
            <w:tcW w:w="7685" w:type="dxa"/>
          </w:tcPr>
          <w:p w:rsidR="00D857BD" w:rsidRPr="00263A18" w:rsidRDefault="00D857BD" w:rsidP="00642540">
            <w:pPr>
              <w:jc w:val="both"/>
              <w:rPr>
                <w:rFonts w:ascii="14" w:hAnsi="14"/>
                <w:bCs/>
              </w:rPr>
            </w:pPr>
            <w:r w:rsidRPr="00263A18">
              <w:rPr>
                <w:rFonts w:ascii="14" w:hAnsi="14"/>
                <w:bCs/>
              </w:rPr>
              <w:t xml:space="preserve">che </w:t>
            </w:r>
            <w:r w:rsidR="00CE0090">
              <w:rPr>
                <w:rFonts w:ascii="14" w:hAnsi="14"/>
                <w:bCs/>
              </w:rPr>
              <w:t xml:space="preserve">la realizzazione degli eventi manifesta un </w:t>
            </w:r>
            <w:r w:rsidRPr="00263A18">
              <w:rPr>
                <w:rFonts w:ascii="14" w:hAnsi="14"/>
                <w:bCs/>
              </w:rPr>
              <w:t xml:space="preserve"> grande riflesso internazionale, </w:t>
            </w:r>
            <w:r w:rsidR="00CE0090">
              <w:rPr>
                <w:rFonts w:ascii="14" w:hAnsi="14"/>
                <w:bCs/>
              </w:rPr>
              <w:t xml:space="preserve">e ciò </w:t>
            </w:r>
            <w:r w:rsidRPr="00263A18">
              <w:rPr>
                <w:rFonts w:ascii="14" w:hAnsi="14"/>
                <w:bCs/>
              </w:rPr>
              <w:t>richiederebbe la massima attenzione nella scelta di operatori economici c</w:t>
            </w:r>
            <w:r>
              <w:rPr>
                <w:rFonts w:ascii="14" w:hAnsi="14"/>
                <w:bCs/>
              </w:rPr>
              <w:t xml:space="preserve">apaci di </w:t>
            </w:r>
            <w:r w:rsidRPr="00263A18">
              <w:rPr>
                <w:rFonts w:ascii="14" w:hAnsi="14"/>
                <w:bCs/>
              </w:rPr>
              <w:t xml:space="preserve">garantire </w:t>
            </w:r>
            <w:r w:rsidR="00920D89">
              <w:rPr>
                <w:rFonts w:ascii="14" w:hAnsi="14"/>
                <w:bCs/>
              </w:rPr>
              <w:t xml:space="preserve">elevata qualità del servizio </w:t>
            </w:r>
            <w:r w:rsidRPr="00263A18">
              <w:rPr>
                <w:rFonts w:ascii="14" w:hAnsi="14"/>
                <w:bCs/>
              </w:rPr>
              <w:t xml:space="preserve"> per gli ospiti </w:t>
            </w:r>
            <w:r>
              <w:rPr>
                <w:rFonts w:ascii="14" w:hAnsi="14"/>
                <w:bCs/>
              </w:rPr>
              <w:t>di grande rilievo istituzionale</w:t>
            </w:r>
            <w:r w:rsidRPr="00263A18">
              <w:rPr>
                <w:rFonts w:ascii="14" w:hAnsi="14"/>
                <w:bCs/>
              </w:rPr>
              <w:t xml:space="preserve"> che ne prenderanno parte;</w:t>
            </w:r>
          </w:p>
          <w:p w:rsidR="00B9003B" w:rsidRDefault="00B9003B" w:rsidP="00642540">
            <w:pPr>
              <w:jc w:val="both"/>
            </w:pPr>
          </w:p>
        </w:tc>
      </w:tr>
      <w:tr w:rsidR="00B9003B" w:rsidTr="00642540">
        <w:tc>
          <w:tcPr>
            <w:tcW w:w="2093" w:type="dxa"/>
          </w:tcPr>
          <w:p w:rsidR="00466B85" w:rsidRPr="00466B85" w:rsidRDefault="00466B85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B9003B" w:rsidRPr="00466B85" w:rsidRDefault="00CE0090" w:rsidP="00DF7E52">
            <w:pPr>
              <w:jc w:val="both"/>
            </w:pPr>
            <w:r>
              <w:rPr>
                <w:rFonts w:ascii="14" w:hAnsi="14"/>
                <w:b/>
                <w:bCs/>
              </w:rPr>
              <w:t xml:space="preserve">RAVVISATA </w:t>
            </w:r>
          </w:p>
        </w:tc>
        <w:tc>
          <w:tcPr>
            <w:tcW w:w="7685" w:type="dxa"/>
          </w:tcPr>
          <w:p w:rsidR="00466B85" w:rsidRPr="00466B85" w:rsidRDefault="00466B85" w:rsidP="00642540">
            <w:pPr>
              <w:jc w:val="both"/>
              <w:rPr>
                <w:rFonts w:ascii="14" w:hAnsi="14"/>
                <w:bCs/>
              </w:rPr>
            </w:pPr>
          </w:p>
          <w:p w:rsidR="00B9003B" w:rsidRPr="00466B85" w:rsidRDefault="00DF7E52" w:rsidP="00FE754C">
            <w:pPr>
              <w:jc w:val="both"/>
            </w:pPr>
            <w:r>
              <w:rPr>
                <w:rFonts w:ascii="14" w:hAnsi="14"/>
                <w:bCs/>
              </w:rPr>
              <w:t xml:space="preserve">la necessità </w:t>
            </w:r>
            <w:r w:rsidR="00174C26">
              <w:rPr>
                <w:rFonts w:ascii="14" w:hAnsi="14"/>
                <w:bCs/>
              </w:rPr>
              <w:t xml:space="preserve">di </w:t>
            </w:r>
            <w:r w:rsidR="00FE754C">
              <w:rPr>
                <w:rFonts w:ascii="14" w:hAnsi="14"/>
                <w:bCs/>
              </w:rPr>
              <w:t xml:space="preserve">dover richiedere </w:t>
            </w:r>
            <w:r w:rsidR="0094583F" w:rsidRPr="00466B85">
              <w:rPr>
                <w:rFonts w:ascii="14" w:hAnsi="14"/>
                <w:bCs/>
              </w:rPr>
              <w:t xml:space="preserve">il servizio di </w:t>
            </w:r>
            <w:r w:rsidR="003E7185" w:rsidRPr="00466B85">
              <w:rPr>
                <w:rFonts w:ascii="14" w:hAnsi="14"/>
                <w:bCs/>
              </w:rPr>
              <w:t xml:space="preserve"> </w:t>
            </w:r>
            <w:r w:rsidR="0021214B">
              <w:rPr>
                <w:rFonts w:ascii="14" w:hAnsi="14"/>
                <w:bCs/>
              </w:rPr>
              <w:t>gestione accrediti,</w:t>
            </w:r>
            <w:r w:rsidR="0094171A" w:rsidRPr="0094171A">
              <w:rPr>
                <w:rFonts w:ascii="14" w:hAnsi="14"/>
                <w:bCs/>
              </w:rPr>
              <w:t xml:space="preserve"> </w:t>
            </w:r>
            <w:r w:rsidR="00FE754C">
              <w:rPr>
                <w:rFonts w:ascii="14" w:hAnsi="14"/>
                <w:bCs/>
              </w:rPr>
              <w:t xml:space="preserve">effettuando un sistema di </w:t>
            </w:r>
            <w:r w:rsidR="00FE754C" w:rsidRPr="00FE754C">
              <w:rPr>
                <w:rFonts w:ascii="14" w:hAnsi="14"/>
                <w:bCs/>
                <w:i/>
              </w:rPr>
              <w:t>registrazione on line</w:t>
            </w:r>
            <w:r w:rsidR="00FE754C">
              <w:rPr>
                <w:rFonts w:ascii="14" w:hAnsi="14"/>
                <w:bCs/>
              </w:rPr>
              <w:t xml:space="preserve"> </w:t>
            </w:r>
            <w:r w:rsidR="0094171A" w:rsidRPr="0094171A">
              <w:rPr>
                <w:rFonts w:ascii="14" w:hAnsi="14"/>
                <w:bCs/>
              </w:rPr>
              <w:t xml:space="preserve"> attraverso l’utilizzo di </w:t>
            </w:r>
            <w:r w:rsidR="00FE754C">
              <w:rPr>
                <w:rFonts w:ascii="14" w:hAnsi="14"/>
                <w:bCs/>
              </w:rPr>
              <w:t xml:space="preserve">un software per </w:t>
            </w:r>
            <w:r w:rsidR="00BA05C1" w:rsidRPr="00BA05C1">
              <w:rPr>
                <w:rFonts w:ascii="14" w:hAnsi="14"/>
                <w:bCs/>
              </w:rPr>
              <w:t xml:space="preserve">la durata di </w:t>
            </w:r>
            <w:r w:rsidR="00B96BFF" w:rsidRPr="00B96BFF">
              <w:rPr>
                <w:rFonts w:ascii="14" w:hAnsi="14"/>
                <w:bCs/>
              </w:rPr>
              <w:t xml:space="preserve">mesi </w:t>
            </w:r>
            <w:r w:rsidR="00B96BFF">
              <w:rPr>
                <w:rFonts w:ascii="14" w:hAnsi="14"/>
                <w:bCs/>
              </w:rPr>
              <w:t>8 (otto</w:t>
            </w:r>
            <w:r w:rsidR="00FE754C" w:rsidRPr="00BA05C1">
              <w:rPr>
                <w:rFonts w:ascii="14" w:hAnsi="14"/>
                <w:bCs/>
              </w:rPr>
              <w:t>)</w:t>
            </w:r>
            <w:r w:rsidR="0021214B" w:rsidRPr="00BA05C1">
              <w:rPr>
                <w:rFonts w:ascii="14" w:hAnsi="14"/>
                <w:bCs/>
              </w:rPr>
              <w:t xml:space="preserve"> con </w:t>
            </w:r>
            <w:r w:rsidR="00272846">
              <w:rPr>
                <w:rFonts w:ascii="14" w:hAnsi="14"/>
                <w:bCs/>
              </w:rPr>
              <w:t xml:space="preserve">coordinamento </w:t>
            </w:r>
            <w:r w:rsidR="009335AF">
              <w:rPr>
                <w:rFonts w:ascii="14" w:hAnsi="14"/>
                <w:bCs/>
              </w:rPr>
              <w:t xml:space="preserve">e </w:t>
            </w:r>
            <w:r w:rsidR="0021214B" w:rsidRPr="00BA05C1">
              <w:rPr>
                <w:rFonts w:ascii="14" w:hAnsi="14"/>
                <w:bCs/>
              </w:rPr>
              <w:t>assistenza da remoto</w:t>
            </w:r>
            <w:r w:rsidR="003E7185" w:rsidRPr="00BA05C1">
              <w:rPr>
                <w:rFonts w:ascii="14" w:hAnsi="14"/>
                <w:bCs/>
              </w:rPr>
              <w:t>;</w:t>
            </w:r>
            <w:r w:rsidR="00CE0090">
              <w:rPr>
                <w:rFonts w:cs="Arial"/>
                <w:color w:val="6F6F6F"/>
              </w:rPr>
              <w:t xml:space="preserve"> </w:t>
            </w:r>
          </w:p>
        </w:tc>
      </w:tr>
      <w:tr w:rsidR="00B9003B" w:rsidTr="0078241D">
        <w:trPr>
          <w:trHeight w:val="6938"/>
        </w:trPr>
        <w:tc>
          <w:tcPr>
            <w:tcW w:w="2093" w:type="dxa"/>
          </w:tcPr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VISTO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CONSIDERATO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PRESO ATTO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F8009E" w:rsidRDefault="00F8009E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VISTO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VISTE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CONSIDERATO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VISTO</w:t>
            </w:r>
          </w:p>
          <w:p w:rsidR="0078241D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</w:p>
          <w:p w:rsidR="0078241D" w:rsidRPr="00263A18" w:rsidRDefault="0078241D" w:rsidP="00642540">
            <w:pPr>
              <w:jc w:val="both"/>
              <w:rPr>
                <w:rFonts w:ascii="14" w:hAnsi="14"/>
                <w:b/>
                <w:bCs/>
              </w:rPr>
            </w:pPr>
            <w:r>
              <w:rPr>
                <w:rFonts w:ascii="14" w:hAnsi="14"/>
                <w:b/>
                <w:bCs/>
              </w:rPr>
              <w:t>RAVVISATA</w:t>
            </w:r>
          </w:p>
          <w:p w:rsidR="00B9003B" w:rsidRDefault="00B9003B" w:rsidP="00642540">
            <w:pPr>
              <w:jc w:val="both"/>
            </w:pPr>
          </w:p>
        </w:tc>
        <w:tc>
          <w:tcPr>
            <w:tcW w:w="7685" w:type="dxa"/>
          </w:tcPr>
          <w:p w:rsidR="000A50B1" w:rsidRDefault="000A50B1" w:rsidP="00642540">
            <w:pPr>
              <w:jc w:val="both"/>
              <w:rPr>
                <w:rFonts w:ascii="14" w:hAnsi="14"/>
                <w:bCs/>
              </w:rPr>
            </w:pPr>
          </w:p>
          <w:p w:rsidR="000A50B1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l’art. 30 comma 1 del </w:t>
            </w:r>
            <w:proofErr w:type="spellStart"/>
            <w:r w:rsidRPr="000A50B1">
              <w:rPr>
                <w:rFonts w:ascii="14" w:hAnsi="14"/>
                <w:bCs/>
              </w:rPr>
              <w:t>D.Lgs.</w:t>
            </w:r>
            <w:proofErr w:type="spellEnd"/>
            <w:r w:rsidRPr="000A50B1">
              <w:rPr>
                <w:rFonts w:ascii="14" w:hAnsi="14"/>
                <w:bCs/>
              </w:rPr>
              <w:t xml:space="preserve"> n. 50/2016; </w:t>
            </w:r>
          </w:p>
          <w:p w:rsidR="0078241D" w:rsidRPr="000A50B1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0A50B1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che si è proceduto – in ottemperanza agli obblighi di legge di cui all’art. 1 comma 449 della Legge n. 296/2006 – alla consultazione delle convenzioni-quadro attive pubblicate sul sito di </w:t>
            </w:r>
            <w:proofErr w:type="spellStart"/>
            <w:r w:rsidRPr="000A50B1">
              <w:rPr>
                <w:rFonts w:ascii="14" w:hAnsi="14"/>
                <w:bCs/>
              </w:rPr>
              <w:t>Consip</w:t>
            </w:r>
            <w:proofErr w:type="spellEnd"/>
            <w:r w:rsidRPr="000A50B1">
              <w:rPr>
                <w:rFonts w:ascii="14" w:hAnsi="14"/>
                <w:bCs/>
              </w:rPr>
              <w:t xml:space="preserve"> S.p.A. e, come risulta dalla documentazione agli atti dell’Amministrazione, non si rinvengono nelle Convenzioni attive prodotti comparabili con quelli oggetto della presente procedura; </w:t>
            </w:r>
          </w:p>
          <w:p w:rsidR="0078241D" w:rsidRPr="000A50B1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F8009E" w:rsidRDefault="00BE725E" w:rsidP="000A50B1">
            <w:pPr>
              <w:jc w:val="both"/>
            </w:pPr>
            <w:r>
              <w:rPr>
                <w:rFonts w:ascii="14" w:hAnsi="14"/>
                <w:bCs/>
              </w:rPr>
              <w:t>che</w:t>
            </w:r>
            <w:r w:rsidR="000A50B1" w:rsidRPr="000A50B1">
              <w:rPr>
                <w:rFonts w:ascii="14" w:hAnsi="14"/>
                <w:bCs/>
              </w:rPr>
              <w:t xml:space="preserve"> i</w:t>
            </w:r>
            <w:r>
              <w:rPr>
                <w:rFonts w:ascii="14" w:hAnsi="14"/>
                <w:bCs/>
              </w:rPr>
              <w:t>l</w:t>
            </w:r>
            <w:r w:rsidR="000A50B1" w:rsidRPr="000A50B1">
              <w:rPr>
                <w:rFonts w:ascii="14" w:hAnsi="14"/>
                <w:bCs/>
              </w:rPr>
              <w:t xml:space="preserve"> servizi</w:t>
            </w:r>
            <w:r>
              <w:rPr>
                <w:rFonts w:ascii="14" w:hAnsi="14"/>
                <w:bCs/>
              </w:rPr>
              <w:t>o rispondente</w:t>
            </w:r>
            <w:r w:rsidR="000A50B1" w:rsidRPr="000A50B1">
              <w:rPr>
                <w:rFonts w:ascii="14" w:hAnsi="14"/>
                <w:bCs/>
              </w:rPr>
              <w:t xml:space="preserve"> alle esigenze tecniche di </w:t>
            </w:r>
            <w:r>
              <w:rPr>
                <w:rFonts w:ascii="14" w:hAnsi="14"/>
                <w:bCs/>
              </w:rPr>
              <w:t>questa Amministrazione risulta essere presente</w:t>
            </w:r>
            <w:r w:rsidR="00F8009E">
              <w:rPr>
                <w:rFonts w:ascii="14" w:hAnsi="14"/>
                <w:bCs/>
              </w:rPr>
              <w:t xml:space="preserve"> sul</w:t>
            </w:r>
            <w:r w:rsidR="000A50B1" w:rsidRPr="000A50B1">
              <w:rPr>
                <w:rFonts w:ascii="14" w:hAnsi="14"/>
                <w:bCs/>
              </w:rPr>
              <w:t xml:space="preserve"> MEPA, a</w:t>
            </w:r>
            <w:r w:rsidR="001B11B4">
              <w:rPr>
                <w:rFonts w:ascii="14" w:hAnsi="14"/>
                <w:bCs/>
              </w:rPr>
              <w:t>ll’interno del bando</w:t>
            </w:r>
            <w:r w:rsidR="00F8009E">
              <w:rPr>
                <w:rFonts w:ascii="14" w:hAnsi="14"/>
                <w:bCs/>
              </w:rPr>
              <w:t xml:space="preserve"> “</w:t>
            </w:r>
            <w:r w:rsidR="00F8009E" w:rsidRPr="00346F54">
              <w:rPr>
                <w:rFonts w:ascii="14" w:hAnsi="14"/>
                <w:bCs/>
                <w:i/>
              </w:rPr>
              <w:t>Servizi</w:t>
            </w:r>
            <w:r w:rsidR="00E04979" w:rsidRPr="00346F54">
              <w:rPr>
                <w:rFonts w:ascii="14" w:hAnsi="14"/>
                <w:bCs/>
                <w:i/>
              </w:rPr>
              <w:t xml:space="preserve"> organizzazione e gestione integrata degli </w:t>
            </w:r>
            <w:r w:rsidR="00CD7E78" w:rsidRPr="00346F54">
              <w:rPr>
                <w:rFonts w:ascii="14" w:hAnsi="14"/>
                <w:bCs/>
                <w:i/>
              </w:rPr>
              <w:t xml:space="preserve"> eventi</w:t>
            </w:r>
            <w:r w:rsidR="001B11B4" w:rsidRPr="00346F54">
              <w:rPr>
                <w:rFonts w:ascii="14" w:hAnsi="14"/>
                <w:bCs/>
              </w:rPr>
              <w:t>”</w:t>
            </w:r>
            <w:r w:rsidR="001B11B4" w:rsidRPr="00346F54">
              <w:t xml:space="preserve"> </w:t>
            </w:r>
            <w:r w:rsidR="00F8009E" w:rsidRPr="00346F54">
              <w:t>;</w:t>
            </w:r>
            <w:r w:rsidR="00F8009E">
              <w:t xml:space="preserve"> </w:t>
            </w:r>
          </w:p>
          <w:p w:rsidR="00F8009E" w:rsidRDefault="00F8009E" w:rsidP="000A50B1">
            <w:pPr>
              <w:jc w:val="both"/>
            </w:pPr>
          </w:p>
          <w:p w:rsidR="0078241D" w:rsidRPr="000A50B1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0A50B1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>l’art. 36, comma 2, lettera a) del D.lgs. n. 50/2016;</w:t>
            </w:r>
          </w:p>
          <w:p w:rsidR="0078241D" w:rsidRPr="000A50B1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0A50B1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le Linee Guida n. 4, di attuazione del </w:t>
            </w:r>
            <w:proofErr w:type="spellStart"/>
            <w:r w:rsidRPr="000A50B1">
              <w:rPr>
                <w:rFonts w:ascii="14" w:hAnsi="14"/>
                <w:bCs/>
              </w:rPr>
              <w:t>D.Lgs.</w:t>
            </w:r>
            <w:proofErr w:type="spellEnd"/>
            <w:r w:rsidRPr="000A50B1">
              <w:rPr>
                <w:rFonts w:ascii="14" w:hAnsi="14"/>
                <w:bCs/>
              </w:rPr>
              <w:t xml:space="preserve"> 50/2016;</w:t>
            </w:r>
          </w:p>
          <w:p w:rsidR="0078241D" w:rsidRPr="000A50B1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78241D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che </w:t>
            </w:r>
            <w:r w:rsidR="00FE754C">
              <w:rPr>
                <w:rFonts w:ascii="14" w:hAnsi="14"/>
                <w:bCs/>
              </w:rPr>
              <w:t xml:space="preserve">da una stima dei costi </w:t>
            </w:r>
            <w:r w:rsidR="00E04979">
              <w:rPr>
                <w:rFonts w:ascii="14" w:hAnsi="14"/>
                <w:bCs/>
              </w:rPr>
              <w:t xml:space="preserve">la presente procedura ammonterebbe a una somma  pari a  </w:t>
            </w:r>
            <w:r w:rsidR="00583E4D">
              <w:rPr>
                <w:rFonts w:ascii="14" w:hAnsi="14"/>
                <w:b/>
                <w:bCs/>
              </w:rPr>
              <w:t>€ 33.0</w:t>
            </w:r>
            <w:r w:rsidR="00583E4D" w:rsidRPr="009335AF">
              <w:rPr>
                <w:rFonts w:ascii="14" w:hAnsi="14"/>
                <w:b/>
                <w:bCs/>
              </w:rPr>
              <w:t>00,00 ( trenta</w:t>
            </w:r>
            <w:r w:rsidR="00583E4D">
              <w:rPr>
                <w:rFonts w:ascii="14" w:hAnsi="14"/>
                <w:b/>
                <w:bCs/>
              </w:rPr>
              <w:t>tremila/</w:t>
            </w:r>
            <w:r w:rsidR="00583E4D" w:rsidRPr="009335AF">
              <w:rPr>
                <w:rFonts w:ascii="14" w:hAnsi="14"/>
                <w:b/>
                <w:bCs/>
              </w:rPr>
              <w:t xml:space="preserve">00) </w:t>
            </w:r>
            <w:r w:rsidR="00821903">
              <w:rPr>
                <w:rFonts w:ascii="14" w:hAnsi="14"/>
                <w:bCs/>
              </w:rPr>
              <w:t>+IVA</w:t>
            </w:r>
            <w:r w:rsidR="0078241D">
              <w:rPr>
                <w:rFonts w:ascii="14" w:hAnsi="14"/>
                <w:bCs/>
              </w:rPr>
              <w:t>;</w:t>
            </w:r>
          </w:p>
          <w:p w:rsidR="0078241D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0A50B1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l’art. 101 comma 1 del </w:t>
            </w:r>
            <w:proofErr w:type="spellStart"/>
            <w:r w:rsidRPr="000A50B1">
              <w:rPr>
                <w:rFonts w:ascii="14" w:hAnsi="14"/>
                <w:bCs/>
              </w:rPr>
              <w:t>D.Lgs.</w:t>
            </w:r>
            <w:proofErr w:type="spellEnd"/>
            <w:r w:rsidRPr="000A50B1">
              <w:rPr>
                <w:rFonts w:ascii="14" w:hAnsi="14"/>
                <w:bCs/>
              </w:rPr>
              <w:t xml:space="preserve"> n. 50/2016; </w:t>
            </w:r>
          </w:p>
          <w:p w:rsidR="0078241D" w:rsidRDefault="0078241D" w:rsidP="000A50B1">
            <w:pPr>
              <w:jc w:val="both"/>
              <w:rPr>
                <w:rFonts w:ascii="14" w:hAnsi="14"/>
                <w:bCs/>
              </w:rPr>
            </w:pPr>
          </w:p>
          <w:p w:rsidR="000A50B1" w:rsidRPr="00263A18" w:rsidRDefault="000A50B1" w:rsidP="000A50B1">
            <w:pPr>
              <w:jc w:val="both"/>
              <w:rPr>
                <w:rFonts w:ascii="14" w:hAnsi="14"/>
                <w:bCs/>
              </w:rPr>
            </w:pPr>
            <w:r w:rsidRPr="000A50B1">
              <w:rPr>
                <w:rFonts w:ascii="14" w:hAnsi="14"/>
                <w:bCs/>
              </w:rPr>
              <w:t xml:space="preserve">pertanto l’opportunità di procedere ad un affidamento diretto per </w:t>
            </w:r>
            <w:r w:rsidR="00C5352F" w:rsidRPr="00466B85">
              <w:rPr>
                <w:rFonts w:ascii="14" w:hAnsi="14"/>
                <w:bCs/>
              </w:rPr>
              <w:t xml:space="preserve">il servizio di  </w:t>
            </w:r>
            <w:r w:rsidR="00C5352F" w:rsidRPr="0094171A">
              <w:rPr>
                <w:rFonts w:ascii="14" w:hAnsi="14"/>
                <w:bCs/>
              </w:rPr>
              <w:t xml:space="preserve">gestione accrediti  da effettuare </w:t>
            </w:r>
            <w:r w:rsidR="00561748">
              <w:rPr>
                <w:rFonts w:ascii="14" w:hAnsi="14"/>
                <w:bCs/>
              </w:rPr>
              <w:t xml:space="preserve">con il  sistema di </w:t>
            </w:r>
            <w:r w:rsidR="00561748" w:rsidRPr="00FE754C">
              <w:rPr>
                <w:rFonts w:ascii="14" w:hAnsi="14"/>
                <w:bCs/>
                <w:i/>
              </w:rPr>
              <w:t>registrazione on line</w:t>
            </w:r>
            <w:r w:rsidR="00561748">
              <w:rPr>
                <w:rFonts w:ascii="14" w:hAnsi="14"/>
                <w:bCs/>
              </w:rPr>
              <w:t xml:space="preserve"> </w:t>
            </w:r>
            <w:r w:rsidR="00561748" w:rsidRPr="0094171A">
              <w:rPr>
                <w:rFonts w:ascii="14" w:hAnsi="14"/>
                <w:bCs/>
              </w:rPr>
              <w:t xml:space="preserve"> attraverso l’utilizzo di </w:t>
            </w:r>
            <w:r w:rsidR="00561748">
              <w:rPr>
                <w:rFonts w:ascii="14" w:hAnsi="14"/>
                <w:bCs/>
              </w:rPr>
              <w:t xml:space="preserve">un software per </w:t>
            </w:r>
            <w:r w:rsidR="00561748" w:rsidRPr="00BA05C1">
              <w:rPr>
                <w:rFonts w:ascii="14" w:hAnsi="14"/>
                <w:bCs/>
              </w:rPr>
              <w:t xml:space="preserve">la durata di </w:t>
            </w:r>
            <w:r w:rsidR="00B96BFF" w:rsidRPr="00B96BFF">
              <w:rPr>
                <w:rFonts w:ascii="14" w:hAnsi="14"/>
                <w:bCs/>
              </w:rPr>
              <w:t xml:space="preserve">mesi </w:t>
            </w:r>
            <w:r w:rsidR="00B96BFF">
              <w:rPr>
                <w:rFonts w:ascii="14" w:hAnsi="14"/>
                <w:bCs/>
              </w:rPr>
              <w:t>8 (otto</w:t>
            </w:r>
            <w:r w:rsidR="00561748" w:rsidRPr="00BA05C1">
              <w:rPr>
                <w:rFonts w:ascii="14" w:hAnsi="14"/>
                <w:bCs/>
              </w:rPr>
              <w:t xml:space="preserve">) con </w:t>
            </w:r>
            <w:r w:rsidR="00561748">
              <w:rPr>
                <w:rFonts w:ascii="14" w:hAnsi="14"/>
                <w:bCs/>
              </w:rPr>
              <w:t xml:space="preserve">coordinamento e </w:t>
            </w:r>
            <w:r w:rsidR="000F4FC7">
              <w:rPr>
                <w:rFonts w:ascii="14" w:hAnsi="14"/>
                <w:bCs/>
              </w:rPr>
              <w:t>assistenza da remoto</w:t>
            </w:r>
            <w:r w:rsidR="00561748">
              <w:rPr>
                <w:rFonts w:cs="Arial"/>
                <w:color w:val="6F6F6F"/>
              </w:rPr>
              <w:t xml:space="preserve"> </w:t>
            </w:r>
            <w:r w:rsidR="00C5352F">
              <w:rPr>
                <w:rFonts w:ascii="14" w:hAnsi="14"/>
                <w:bCs/>
              </w:rPr>
              <w:t xml:space="preserve">mediante </w:t>
            </w:r>
            <w:r w:rsidRPr="000A50B1">
              <w:rPr>
                <w:rFonts w:ascii="14" w:hAnsi="14"/>
                <w:bCs/>
              </w:rPr>
              <w:t xml:space="preserve"> trattativa dirett</w:t>
            </w:r>
            <w:r w:rsidR="00821903">
              <w:rPr>
                <w:rFonts w:ascii="14" w:hAnsi="14"/>
                <w:bCs/>
              </w:rPr>
              <w:t>a sul MEPA con la s</w:t>
            </w:r>
            <w:r w:rsidR="00F5024B">
              <w:rPr>
                <w:rFonts w:ascii="14" w:hAnsi="14"/>
                <w:bCs/>
              </w:rPr>
              <w:t xml:space="preserve">ocietà </w:t>
            </w:r>
            <w:proofErr w:type="spellStart"/>
            <w:r w:rsidR="00C5352F">
              <w:rPr>
                <w:rFonts w:ascii="14" w:hAnsi="14"/>
                <w:bCs/>
              </w:rPr>
              <w:t>After</w:t>
            </w:r>
            <w:proofErr w:type="spellEnd"/>
            <w:r w:rsidR="00C5352F">
              <w:rPr>
                <w:rFonts w:ascii="14" w:hAnsi="14"/>
                <w:bCs/>
              </w:rPr>
              <w:t xml:space="preserve"> </w:t>
            </w:r>
            <w:proofErr w:type="spellStart"/>
            <w:r w:rsidR="00C5352F">
              <w:rPr>
                <w:rFonts w:ascii="14" w:hAnsi="14"/>
                <w:bCs/>
              </w:rPr>
              <w:t>s</w:t>
            </w:r>
            <w:r w:rsidR="00D75DDD">
              <w:rPr>
                <w:rFonts w:ascii="14" w:hAnsi="14"/>
                <w:bCs/>
              </w:rPr>
              <w:t>rl</w:t>
            </w:r>
            <w:proofErr w:type="spellEnd"/>
            <w:r w:rsidR="00821903">
              <w:rPr>
                <w:rFonts w:ascii="14" w:hAnsi="14"/>
                <w:bCs/>
              </w:rPr>
              <w:t>;</w:t>
            </w:r>
          </w:p>
          <w:p w:rsidR="00B9003B" w:rsidRDefault="00B9003B" w:rsidP="00642540">
            <w:pPr>
              <w:jc w:val="both"/>
            </w:pPr>
          </w:p>
        </w:tc>
      </w:tr>
      <w:tr w:rsidR="00B9003B" w:rsidTr="00642540">
        <w:tc>
          <w:tcPr>
            <w:tcW w:w="2093" w:type="dxa"/>
          </w:tcPr>
          <w:p w:rsidR="00B9003B" w:rsidRDefault="00B9003B" w:rsidP="00642540">
            <w:pPr>
              <w:jc w:val="both"/>
            </w:pPr>
          </w:p>
        </w:tc>
        <w:tc>
          <w:tcPr>
            <w:tcW w:w="7685" w:type="dxa"/>
          </w:tcPr>
          <w:p w:rsidR="00B9003B" w:rsidRDefault="00B9003B" w:rsidP="00642540">
            <w:pPr>
              <w:jc w:val="both"/>
            </w:pPr>
          </w:p>
        </w:tc>
      </w:tr>
      <w:tr w:rsidR="00B9003B" w:rsidTr="00642540">
        <w:tc>
          <w:tcPr>
            <w:tcW w:w="2093" w:type="dxa"/>
          </w:tcPr>
          <w:p w:rsidR="00B9003B" w:rsidRPr="00642540" w:rsidRDefault="00642540" w:rsidP="00642540">
            <w:pPr>
              <w:jc w:val="both"/>
              <w:rPr>
                <w:b/>
              </w:rPr>
            </w:pPr>
            <w:r w:rsidRPr="00642540">
              <w:rPr>
                <w:rFonts w:ascii="14" w:hAnsi="14"/>
                <w:b/>
                <w:bCs/>
              </w:rPr>
              <w:t xml:space="preserve">ACQUISITO      </w:t>
            </w:r>
          </w:p>
        </w:tc>
        <w:tc>
          <w:tcPr>
            <w:tcW w:w="7685" w:type="dxa"/>
          </w:tcPr>
          <w:p w:rsidR="00642540" w:rsidRDefault="004368AA" w:rsidP="000F4FC7">
            <w:pPr>
              <w:jc w:val="both"/>
            </w:pPr>
            <w:r>
              <w:rPr>
                <w:rFonts w:ascii="14" w:hAnsi="14"/>
                <w:bCs/>
              </w:rPr>
              <w:t xml:space="preserve">Presso </w:t>
            </w:r>
            <w:r w:rsidR="00642540" w:rsidRPr="00F3174D">
              <w:rPr>
                <w:rFonts w:ascii="14" w:hAnsi="14"/>
                <w:bCs/>
              </w:rPr>
              <w:t>l’ANAC</w:t>
            </w:r>
            <w:r w:rsidR="00642540">
              <w:rPr>
                <w:rFonts w:ascii="14" w:hAnsi="14"/>
                <w:bCs/>
              </w:rPr>
              <w:t xml:space="preserve"> il seguente </w:t>
            </w:r>
            <w:r>
              <w:rPr>
                <w:rFonts w:ascii="14" w:hAnsi="14"/>
                <w:bCs/>
              </w:rPr>
              <w:t xml:space="preserve"> </w:t>
            </w:r>
            <w:proofErr w:type="spellStart"/>
            <w:r>
              <w:rPr>
                <w:rFonts w:ascii="14" w:hAnsi="14"/>
                <w:bCs/>
              </w:rPr>
              <w:t>smart</w:t>
            </w:r>
            <w:proofErr w:type="spellEnd"/>
            <w:r>
              <w:rPr>
                <w:rFonts w:ascii="14" w:hAnsi="14"/>
                <w:bCs/>
              </w:rPr>
              <w:t xml:space="preserve"> </w:t>
            </w:r>
            <w:r w:rsidR="00F5024B">
              <w:rPr>
                <w:rFonts w:ascii="14" w:hAnsi="14"/>
                <w:bCs/>
              </w:rPr>
              <w:t xml:space="preserve"> </w:t>
            </w:r>
            <w:r w:rsidR="00642540" w:rsidRPr="00194FAF">
              <w:rPr>
                <w:rFonts w:ascii="14" w:hAnsi="14"/>
                <w:bCs/>
              </w:rPr>
              <w:t>CIG</w:t>
            </w:r>
            <w:r w:rsidR="00642540" w:rsidRPr="000F4FC7">
              <w:rPr>
                <w:rFonts w:ascii="14" w:hAnsi="14"/>
                <w:bCs/>
              </w:rPr>
              <w:t xml:space="preserve"> </w:t>
            </w:r>
            <w:r w:rsidR="00C5352F" w:rsidRPr="000F4FC7">
              <w:rPr>
                <w:rFonts w:ascii="14" w:hAnsi="14"/>
                <w:bCs/>
              </w:rPr>
              <w:t xml:space="preserve"> </w:t>
            </w:r>
            <w:r w:rsidR="000F4FC7" w:rsidRPr="000F4FC7">
              <w:rPr>
                <w:rFonts w:ascii="14" w:hAnsi="14"/>
              </w:rPr>
              <w:t>ZB022FD283</w:t>
            </w:r>
          </w:p>
        </w:tc>
      </w:tr>
    </w:tbl>
    <w:p w:rsidR="00B9003B" w:rsidRDefault="00B9003B"/>
    <w:p w:rsidR="00642540" w:rsidRDefault="00642540" w:rsidP="00642540">
      <w:pPr>
        <w:spacing w:after="0" w:line="240" w:lineRule="auto"/>
        <w:jc w:val="center"/>
        <w:rPr>
          <w:rFonts w:ascii="14" w:hAnsi="14"/>
          <w:b/>
          <w:bCs/>
        </w:rPr>
      </w:pPr>
      <w:r w:rsidRPr="00642540">
        <w:rPr>
          <w:rFonts w:ascii="14" w:hAnsi="14"/>
          <w:b/>
          <w:bCs/>
        </w:rPr>
        <w:t>DETERMINA</w:t>
      </w:r>
    </w:p>
    <w:p w:rsidR="00642540" w:rsidRDefault="00642540" w:rsidP="00642540">
      <w:pPr>
        <w:spacing w:after="0" w:line="240" w:lineRule="auto"/>
        <w:jc w:val="center"/>
        <w:rPr>
          <w:rFonts w:ascii="14" w:hAnsi="14"/>
          <w:b/>
          <w:bCs/>
        </w:rPr>
      </w:pPr>
    </w:p>
    <w:p w:rsidR="00642540" w:rsidRDefault="00642540" w:rsidP="00642540">
      <w:pPr>
        <w:spacing w:after="0" w:line="240" w:lineRule="auto"/>
        <w:jc w:val="center"/>
        <w:rPr>
          <w:rFonts w:ascii="14" w:hAnsi="14"/>
          <w:b/>
          <w:bCs/>
        </w:rPr>
      </w:pPr>
    </w:p>
    <w:p w:rsidR="00642540" w:rsidRDefault="00642540" w:rsidP="00642540">
      <w:pPr>
        <w:spacing w:after="0" w:line="240" w:lineRule="auto"/>
        <w:jc w:val="center"/>
        <w:rPr>
          <w:rFonts w:ascii="14" w:hAnsi="14"/>
          <w:bCs/>
        </w:rPr>
      </w:pPr>
      <w:r>
        <w:rPr>
          <w:rFonts w:ascii="14" w:hAnsi="14"/>
          <w:bCs/>
        </w:rPr>
        <w:t>Articolo 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2540" w:rsidTr="00642540">
        <w:trPr>
          <w:trHeight w:val="2778"/>
        </w:trPr>
        <w:tc>
          <w:tcPr>
            <w:tcW w:w="9854" w:type="dxa"/>
          </w:tcPr>
          <w:tbl>
            <w:tblPr>
              <w:tblW w:w="10314" w:type="dxa"/>
              <w:tblLook w:val="01E0" w:firstRow="1" w:lastRow="1" w:firstColumn="1" w:lastColumn="1" w:noHBand="0" w:noVBand="0"/>
            </w:tblPr>
            <w:tblGrid>
              <w:gridCol w:w="10314"/>
            </w:tblGrid>
            <w:tr w:rsidR="00642540" w:rsidRPr="00263A18" w:rsidTr="004158E8">
              <w:trPr>
                <w:cantSplit/>
              </w:trPr>
              <w:tc>
                <w:tcPr>
                  <w:tcW w:w="10314" w:type="dxa"/>
                </w:tcPr>
                <w:p w:rsidR="00642540" w:rsidRPr="00263A18" w:rsidRDefault="00642540" w:rsidP="00642540">
                  <w:pPr>
                    <w:rPr>
                      <w:rFonts w:ascii="14" w:hAnsi="14"/>
                      <w:bCs/>
                    </w:rPr>
                  </w:pPr>
                </w:p>
              </w:tc>
            </w:tr>
            <w:tr w:rsidR="00642540" w:rsidRPr="00263A18" w:rsidTr="004158E8">
              <w:trPr>
                <w:cantSplit/>
              </w:trPr>
              <w:tc>
                <w:tcPr>
                  <w:tcW w:w="10314" w:type="dxa"/>
                </w:tcPr>
                <w:p w:rsidR="00642540" w:rsidRPr="00263A18" w:rsidRDefault="00642540" w:rsidP="0056174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14" w:hAnsi="14"/>
                      <w:bCs/>
                    </w:rPr>
                  </w:pPr>
                  <w:r>
                    <w:rPr>
                      <w:rFonts w:ascii="14" w:hAnsi="14"/>
                      <w:bCs/>
                    </w:rPr>
                    <w:t>E’ avviata</w:t>
                  </w:r>
                  <w:r w:rsidRPr="00263A18">
                    <w:rPr>
                      <w:rFonts w:ascii="14" w:hAnsi="14"/>
                      <w:bCs/>
                    </w:rPr>
                    <w:t xml:space="preserve"> apposita procedura </w:t>
                  </w:r>
                  <w:r w:rsidR="004368AA">
                    <w:rPr>
                      <w:rFonts w:ascii="14" w:hAnsi="14"/>
                      <w:bCs/>
                    </w:rPr>
                    <w:t xml:space="preserve">per trattativa </w:t>
                  </w:r>
                  <w:r w:rsidR="00CD7E78">
                    <w:rPr>
                      <w:rFonts w:ascii="14" w:hAnsi="14"/>
                      <w:bCs/>
                    </w:rPr>
                    <w:t>diretta ai</w:t>
                  </w:r>
                  <w:r w:rsidR="004368AA">
                    <w:rPr>
                      <w:rFonts w:ascii="14" w:hAnsi="14"/>
                      <w:bCs/>
                    </w:rPr>
                    <w:t xml:space="preserve"> sensi dell’art.</w:t>
                  </w:r>
                  <w:r w:rsidRPr="00263A18">
                    <w:rPr>
                      <w:rFonts w:ascii="14" w:hAnsi="14"/>
                      <w:bCs/>
                    </w:rPr>
                    <w:t>3</w:t>
                  </w:r>
                  <w:r w:rsidR="004368AA">
                    <w:rPr>
                      <w:rFonts w:ascii="14" w:hAnsi="14"/>
                      <w:bCs/>
                    </w:rPr>
                    <w:t>6</w:t>
                  </w:r>
                  <w:r w:rsidR="00EA464D">
                    <w:rPr>
                      <w:rFonts w:ascii="14" w:hAnsi="14"/>
                      <w:bCs/>
                    </w:rPr>
                    <w:t xml:space="preserve">, comma 2, </w:t>
                  </w:r>
                  <w:proofErr w:type="spellStart"/>
                  <w:r w:rsidR="00EA464D">
                    <w:rPr>
                      <w:rFonts w:ascii="14" w:hAnsi="14"/>
                      <w:bCs/>
                    </w:rPr>
                    <w:t>lett</w:t>
                  </w:r>
                  <w:proofErr w:type="spellEnd"/>
                  <w:r w:rsidR="00EA464D">
                    <w:rPr>
                      <w:rFonts w:ascii="14" w:hAnsi="14"/>
                      <w:bCs/>
                    </w:rPr>
                    <w:t xml:space="preserve">. a) </w:t>
                  </w:r>
                  <w:r>
                    <w:rPr>
                      <w:rFonts w:ascii="14" w:hAnsi="14"/>
                      <w:bCs/>
                    </w:rPr>
                    <w:t>del D</w:t>
                  </w:r>
                  <w:r w:rsidRPr="00263A18">
                    <w:rPr>
                      <w:rFonts w:ascii="14" w:hAnsi="14"/>
                      <w:bCs/>
                    </w:rPr>
                    <w:t xml:space="preserve">. </w:t>
                  </w:r>
                  <w:proofErr w:type="spellStart"/>
                  <w:r w:rsidRPr="00263A18">
                    <w:rPr>
                      <w:rFonts w:ascii="14" w:hAnsi="14"/>
                      <w:bCs/>
                    </w:rPr>
                    <w:t>lgs</w:t>
                  </w:r>
                  <w:proofErr w:type="spellEnd"/>
                  <w:r w:rsidRPr="00263A18">
                    <w:rPr>
                      <w:rFonts w:ascii="14" w:hAnsi="14"/>
                      <w:bCs/>
                    </w:rPr>
                    <w:t>. 50/2016</w:t>
                  </w:r>
                  <w:r>
                    <w:rPr>
                      <w:rFonts w:ascii="14" w:hAnsi="14"/>
                      <w:bCs/>
                    </w:rPr>
                    <w:t xml:space="preserve">, con </w:t>
                  </w:r>
                  <w:r w:rsidR="004368AA">
                    <w:rPr>
                      <w:rFonts w:ascii="14" w:hAnsi="14"/>
                      <w:bCs/>
                    </w:rPr>
                    <w:t>la società</w:t>
                  </w:r>
                  <w:r w:rsidR="00403BD7">
                    <w:rPr>
                      <w:rFonts w:ascii="14" w:hAnsi="14"/>
                      <w:bCs/>
                    </w:rPr>
                    <w:t xml:space="preserve"> </w:t>
                  </w:r>
                  <w:proofErr w:type="spellStart"/>
                  <w:r w:rsidR="00C5352F">
                    <w:rPr>
                      <w:rFonts w:ascii="14" w:hAnsi="14"/>
                      <w:bCs/>
                    </w:rPr>
                    <w:t>After</w:t>
                  </w:r>
                  <w:proofErr w:type="spellEnd"/>
                  <w:r w:rsidR="00C5352F">
                    <w:rPr>
                      <w:rFonts w:ascii="14" w:hAnsi="14"/>
                      <w:bCs/>
                    </w:rPr>
                    <w:t xml:space="preserve"> </w:t>
                  </w:r>
                  <w:proofErr w:type="spellStart"/>
                  <w:r w:rsidR="00C5352F">
                    <w:rPr>
                      <w:rFonts w:ascii="14" w:hAnsi="14"/>
                      <w:bCs/>
                    </w:rPr>
                    <w:t>srl</w:t>
                  </w:r>
                  <w:proofErr w:type="spellEnd"/>
                  <w:r w:rsidR="00C5352F">
                    <w:rPr>
                      <w:rFonts w:ascii="14" w:hAnsi="14"/>
                      <w:bCs/>
                    </w:rPr>
                    <w:t xml:space="preserve"> </w:t>
                  </w:r>
                  <w:r w:rsidR="004368AA">
                    <w:rPr>
                      <w:rFonts w:ascii="14" w:hAnsi="14"/>
                      <w:bCs/>
                    </w:rPr>
                    <w:t xml:space="preserve"> </w:t>
                  </w:r>
                  <w:r w:rsidR="00C5352F" w:rsidRPr="000A50B1">
                    <w:rPr>
                      <w:rFonts w:ascii="14" w:hAnsi="14"/>
                      <w:bCs/>
                    </w:rPr>
                    <w:t xml:space="preserve">per </w:t>
                  </w:r>
                  <w:r w:rsidR="00C5352F" w:rsidRPr="00466B85">
                    <w:rPr>
                      <w:rFonts w:ascii="14" w:hAnsi="14"/>
                      <w:bCs/>
                    </w:rPr>
                    <w:t xml:space="preserve">il servizio di  </w:t>
                  </w:r>
                  <w:r w:rsidR="00C5352F" w:rsidRPr="0094171A">
                    <w:rPr>
                      <w:rFonts w:ascii="14" w:hAnsi="14"/>
                      <w:bCs/>
                    </w:rPr>
                    <w:t xml:space="preserve">gestione accrediti </w:t>
                  </w:r>
                  <w:r w:rsidR="0016124D">
                    <w:rPr>
                      <w:rFonts w:ascii="14" w:hAnsi="14"/>
                      <w:bCs/>
                    </w:rPr>
                    <w:t>,</w:t>
                  </w:r>
                  <w:r w:rsidR="00C5352F" w:rsidRPr="0094171A">
                    <w:rPr>
                      <w:rFonts w:ascii="14" w:hAnsi="14"/>
                      <w:bCs/>
                    </w:rPr>
                    <w:t xml:space="preserve"> </w:t>
                  </w:r>
                  <w:r w:rsidR="00561748">
                    <w:rPr>
                      <w:rFonts w:ascii="14" w:hAnsi="14"/>
                      <w:bCs/>
                    </w:rPr>
                    <w:t xml:space="preserve">da effettuare con il sistema di </w:t>
                  </w:r>
                  <w:r w:rsidR="00561748" w:rsidRPr="00FE754C">
                    <w:rPr>
                      <w:rFonts w:ascii="14" w:hAnsi="14"/>
                      <w:bCs/>
                      <w:i/>
                    </w:rPr>
                    <w:t>registrazione on line</w:t>
                  </w:r>
                  <w:r w:rsidR="00561748">
                    <w:rPr>
                      <w:rFonts w:ascii="14" w:hAnsi="14"/>
                      <w:bCs/>
                    </w:rPr>
                    <w:t xml:space="preserve"> </w:t>
                  </w:r>
                  <w:r w:rsidR="00561748" w:rsidRPr="0094171A">
                    <w:rPr>
                      <w:rFonts w:ascii="14" w:hAnsi="14"/>
                      <w:bCs/>
                    </w:rPr>
                    <w:t xml:space="preserve"> attraverso l’utilizzo di </w:t>
                  </w:r>
                  <w:r w:rsidR="00561748">
                    <w:rPr>
                      <w:rFonts w:ascii="14" w:hAnsi="14"/>
                      <w:bCs/>
                    </w:rPr>
                    <w:t xml:space="preserve">un software per </w:t>
                  </w:r>
                  <w:r w:rsidR="00561748" w:rsidRPr="00BA05C1">
                    <w:rPr>
                      <w:rFonts w:ascii="14" w:hAnsi="14"/>
                      <w:bCs/>
                    </w:rPr>
                    <w:t xml:space="preserve">la durata di </w:t>
                  </w:r>
                  <w:r w:rsidR="00B96BFF" w:rsidRPr="00B96BFF">
                    <w:rPr>
                      <w:rFonts w:ascii="14" w:hAnsi="14"/>
                      <w:bCs/>
                    </w:rPr>
                    <w:t>mesi 8</w:t>
                  </w:r>
                  <w:r w:rsidR="00B96BFF">
                    <w:rPr>
                      <w:rFonts w:ascii="14" w:hAnsi="14"/>
                      <w:bCs/>
                    </w:rPr>
                    <w:t xml:space="preserve"> (otto</w:t>
                  </w:r>
                  <w:r w:rsidR="00561748" w:rsidRPr="00BA05C1">
                    <w:rPr>
                      <w:rFonts w:ascii="14" w:hAnsi="14"/>
                      <w:bCs/>
                    </w:rPr>
                    <w:t xml:space="preserve">) con </w:t>
                  </w:r>
                  <w:r w:rsidR="00561748">
                    <w:rPr>
                      <w:rFonts w:ascii="14" w:hAnsi="14"/>
                      <w:bCs/>
                    </w:rPr>
                    <w:t xml:space="preserve">coordinamento e </w:t>
                  </w:r>
                  <w:r w:rsidR="00561748" w:rsidRPr="00BA05C1">
                    <w:rPr>
                      <w:rFonts w:ascii="14" w:hAnsi="14"/>
                      <w:bCs/>
                    </w:rPr>
                    <w:t>assistenza da remoto</w:t>
                  </w:r>
                  <w:r w:rsidR="00561748">
                    <w:rPr>
                      <w:rFonts w:ascii="14" w:hAnsi="14"/>
                      <w:bCs/>
                    </w:rPr>
                    <w:t xml:space="preserve"> </w:t>
                  </w:r>
                  <w:r w:rsidR="00BA05C1">
                    <w:rPr>
                      <w:rFonts w:ascii="14" w:hAnsi="14"/>
                      <w:bCs/>
                    </w:rPr>
                    <w:t>per gli eventi 2018.</w:t>
                  </w:r>
                </w:p>
              </w:tc>
            </w:tr>
          </w:tbl>
          <w:p w:rsidR="00DD70F7" w:rsidRDefault="00DD70F7" w:rsidP="00DD70F7">
            <w:pPr>
              <w:jc w:val="center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>Articolo 2</w:t>
            </w:r>
          </w:p>
          <w:p w:rsidR="00DD70F7" w:rsidRDefault="00DD70F7" w:rsidP="00DD70F7">
            <w:pPr>
              <w:jc w:val="center"/>
              <w:rPr>
                <w:rFonts w:ascii="14" w:hAnsi="14"/>
                <w:bCs/>
              </w:rPr>
            </w:pPr>
          </w:p>
          <w:p w:rsidR="00DD70F7" w:rsidRPr="00DD70F7" w:rsidRDefault="00DD70F7" w:rsidP="00DD70F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14" w:hAnsi="14"/>
                <w:bCs/>
              </w:rPr>
            </w:pPr>
            <w:r w:rsidRPr="00DD70F7">
              <w:rPr>
                <w:rFonts w:ascii="14" w:hAnsi="14"/>
                <w:bCs/>
              </w:rPr>
              <w:t>La spesa non potrà ess</w:t>
            </w:r>
            <w:r w:rsidR="003132FB">
              <w:rPr>
                <w:rFonts w:ascii="14" w:hAnsi="14"/>
                <w:bCs/>
              </w:rPr>
              <w:t xml:space="preserve">ere superiore a </w:t>
            </w:r>
            <w:r w:rsidR="00583E4D">
              <w:rPr>
                <w:rFonts w:ascii="14" w:hAnsi="14"/>
                <w:b/>
                <w:bCs/>
              </w:rPr>
              <w:t>€ 33.0</w:t>
            </w:r>
            <w:r w:rsidR="00BA05C1" w:rsidRPr="009335AF">
              <w:rPr>
                <w:rFonts w:ascii="14" w:hAnsi="14"/>
                <w:b/>
                <w:bCs/>
              </w:rPr>
              <w:t>00,00 ( trenta</w:t>
            </w:r>
            <w:r w:rsidR="00583E4D">
              <w:rPr>
                <w:rFonts w:ascii="14" w:hAnsi="14"/>
                <w:b/>
                <w:bCs/>
              </w:rPr>
              <w:t>tremila/</w:t>
            </w:r>
            <w:r w:rsidR="00BA05C1" w:rsidRPr="009335AF">
              <w:rPr>
                <w:rFonts w:ascii="14" w:hAnsi="14"/>
                <w:b/>
                <w:bCs/>
              </w:rPr>
              <w:t xml:space="preserve">00) </w:t>
            </w:r>
            <w:r w:rsidRPr="009335AF">
              <w:rPr>
                <w:rFonts w:ascii="14" w:hAnsi="14"/>
                <w:b/>
                <w:bCs/>
              </w:rPr>
              <w:t>+ IVA</w:t>
            </w:r>
            <w:r w:rsidRPr="00DD70F7">
              <w:rPr>
                <w:rFonts w:ascii="14" w:hAnsi="14"/>
                <w:bCs/>
              </w:rPr>
              <w:t xml:space="preserve"> e troverà copertura fi</w:t>
            </w:r>
            <w:r w:rsidR="003132FB">
              <w:rPr>
                <w:rFonts w:ascii="14" w:hAnsi="14"/>
                <w:bCs/>
              </w:rPr>
              <w:t xml:space="preserve">nanziaria al  capitolo 3415, </w:t>
            </w:r>
            <w:proofErr w:type="spellStart"/>
            <w:r w:rsidR="003132FB">
              <w:rPr>
                <w:rFonts w:ascii="14" w:hAnsi="14"/>
                <w:bCs/>
              </w:rPr>
              <w:t>pg</w:t>
            </w:r>
            <w:proofErr w:type="spellEnd"/>
            <w:r w:rsidR="003132FB">
              <w:rPr>
                <w:rFonts w:ascii="14" w:hAnsi="14"/>
                <w:bCs/>
              </w:rPr>
              <w:t xml:space="preserve"> 22</w:t>
            </w:r>
            <w:r w:rsidR="00BA05C1">
              <w:rPr>
                <w:rFonts w:ascii="14" w:hAnsi="14"/>
                <w:bCs/>
              </w:rPr>
              <w:t xml:space="preserve"> -  Esercizio Finanziario 2018</w:t>
            </w:r>
            <w:r w:rsidRPr="00DD70F7">
              <w:rPr>
                <w:rFonts w:ascii="14" w:hAnsi="14"/>
                <w:bCs/>
              </w:rPr>
              <w:t xml:space="preserve"> . </w:t>
            </w:r>
          </w:p>
          <w:p w:rsidR="00642540" w:rsidRPr="00263A18" w:rsidRDefault="00642540" w:rsidP="004368AA">
            <w:pPr>
              <w:jc w:val="both"/>
              <w:rPr>
                <w:rFonts w:ascii="14" w:hAnsi="14"/>
                <w:bCs/>
              </w:rPr>
            </w:pPr>
          </w:p>
        </w:tc>
      </w:tr>
    </w:tbl>
    <w:p w:rsidR="00DD70F7" w:rsidRDefault="00DD70F7" w:rsidP="00883AF9">
      <w:pPr>
        <w:spacing w:after="0" w:line="240" w:lineRule="auto"/>
        <w:rPr>
          <w:rFonts w:ascii="14" w:hAnsi="14"/>
          <w:bCs/>
        </w:rPr>
      </w:pPr>
    </w:p>
    <w:p w:rsidR="00642540" w:rsidRDefault="00DD70F7" w:rsidP="00642540">
      <w:pPr>
        <w:spacing w:after="0" w:line="240" w:lineRule="auto"/>
        <w:jc w:val="both"/>
        <w:rPr>
          <w:rFonts w:ascii="14" w:hAnsi="14"/>
          <w:bCs/>
        </w:rPr>
      </w:pPr>
      <w:r>
        <w:rPr>
          <w:rFonts w:ascii="14" w:hAnsi="14"/>
        </w:rPr>
        <w:t xml:space="preserve">ROMA,  </w:t>
      </w:r>
      <w:r w:rsidR="00BA05C1">
        <w:rPr>
          <w:rFonts w:ascii="14" w:hAnsi="14"/>
        </w:rPr>
        <w:t>29 marzo</w:t>
      </w:r>
      <w:r w:rsidR="003132FB">
        <w:rPr>
          <w:rFonts w:ascii="14" w:hAnsi="14"/>
        </w:rPr>
        <w:t xml:space="preserve"> </w:t>
      </w:r>
      <w:r w:rsidR="00BA05C1">
        <w:rPr>
          <w:rFonts w:ascii="14" w:hAnsi="14"/>
        </w:rPr>
        <w:t>2018</w:t>
      </w:r>
      <w:r>
        <w:rPr>
          <w:rFonts w:ascii="14" w:hAnsi="14"/>
        </w:rPr>
        <w:t xml:space="preserve">            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42540" w:rsidTr="00642540">
        <w:tc>
          <w:tcPr>
            <w:tcW w:w="9778" w:type="dxa"/>
          </w:tcPr>
          <w:p w:rsidR="00642540" w:rsidRDefault="00DD70F7" w:rsidP="00DD70F7">
            <w:pPr>
              <w:ind w:left="720"/>
              <w:jc w:val="both"/>
              <w:rPr>
                <w:rFonts w:ascii="14" w:hAnsi="14"/>
                <w:bCs/>
              </w:rPr>
            </w:pPr>
            <w:r>
              <w:rPr>
                <w:rFonts w:ascii="14" w:hAnsi="14"/>
                <w:bCs/>
              </w:rPr>
              <w:t xml:space="preserve">                                                        </w:t>
            </w:r>
            <w:r w:rsidR="00883AF9">
              <w:rPr>
                <w:rFonts w:ascii="14" w:hAnsi="14"/>
                <w:bCs/>
              </w:rPr>
              <w:t xml:space="preserve">                         </w:t>
            </w:r>
            <w:r>
              <w:rPr>
                <w:rFonts w:ascii="14" w:hAnsi="14"/>
                <w:bCs/>
              </w:rPr>
              <w:t xml:space="preserve">Il Funzionario Delegato Task Force </w:t>
            </w:r>
            <w:proofErr w:type="spellStart"/>
            <w:r>
              <w:rPr>
                <w:rFonts w:ascii="14" w:hAnsi="14"/>
                <w:bCs/>
              </w:rPr>
              <w:t>Osce</w:t>
            </w:r>
            <w:proofErr w:type="spellEnd"/>
          </w:p>
        </w:tc>
      </w:tr>
    </w:tbl>
    <w:p w:rsidR="00642540" w:rsidRPr="00642540" w:rsidRDefault="00DD70F7" w:rsidP="00DD70F7">
      <w:pPr>
        <w:ind w:left="4956"/>
        <w:rPr>
          <w:rFonts w:ascii="14" w:hAnsi="14"/>
          <w:bCs/>
        </w:rPr>
      </w:pPr>
      <w:r>
        <w:rPr>
          <w:rFonts w:ascii="14" w:hAnsi="14"/>
        </w:rPr>
        <w:t xml:space="preserve">         </w:t>
      </w:r>
      <w:r w:rsidR="00BA05C1">
        <w:rPr>
          <w:rFonts w:ascii="14" w:hAnsi="14"/>
        </w:rPr>
        <w:t xml:space="preserve">    </w:t>
      </w:r>
      <w:r w:rsidR="00BA05C1">
        <w:rPr>
          <w:rFonts w:ascii="14" w:hAnsi="14"/>
          <w:b/>
          <w:bCs/>
        </w:rPr>
        <w:t xml:space="preserve">Min. </w:t>
      </w:r>
      <w:proofErr w:type="spellStart"/>
      <w:r w:rsidR="00BA05C1">
        <w:rPr>
          <w:rFonts w:ascii="14" w:hAnsi="14"/>
          <w:b/>
          <w:bCs/>
        </w:rPr>
        <w:t>Plen</w:t>
      </w:r>
      <w:proofErr w:type="spellEnd"/>
      <w:r w:rsidR="00BA05C1">
        <w:rPr>
          <w:rFonts w:ascii="14" w:hAnsi="14"/>
          <w:b/>
          <w:bCs/>
        </w:rPr>
        <w:t>. Giovanni Battista Iannuzzi</w:t>
      </w:r>
    </w:p>
    <w:sectPr w:rsidR="00642540" w:rsidRPr="00642540" w:rsidSect="00B900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EFF"/>
    <w:multiLevelType w:val="hybridMultilevel"/>
    <w:tmpl w:val="628AD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664F"/>
    <w:multiLevelType w:val="hybridMultilevel"/>
    <w:tmpl w:val="48821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7434"/>
    <w:multiLevelType w:val="hybridMultilevel"/>
    <w:tmpl w:val="C066A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B"/>
    <w:rsid w:val="00001222"/>
    <w:rsid w:val="00055FBE"/>
    <w:rsid w:val="000625C4"/>
    <w:rsid w:val="0007102F"/>
    <w:rsid w:val="000A118D"/>
    <w:rsid w:val="000A50B1"/>
    <w:rsid w:val="000D4ADB"/>
    <w:rsid w:val="000E7709"/>
    <w:rsid w:val="000F4FC7"/>
    <w:rsid w:val="0016124D"/>
    <w:rsid w:val="00174C26"/>
    <w:rsid w:val="00180DC0"/>
    <w:rsid w:val="001835FF"/>
    <w:rsid w:val="00194FAF"/>
    <w:rsid w:val="001B11B4"/>
    <w:rsid w:val="001C1587"/>
    <w:rsid w:val="0021214B"/>
    <w:rsid w:val="00272846"/>
    <w:rsid w:val="003132FB"/>
    <w:rsid w:val="00341658"/>
    <w:rsid w:val="00346F54"/>
    <w:rsid w:val="003E7185"/>
    <w:rsid w:val="0040013F"/>
    <w:rsid w:val="00403BD7"/>
    <w:rsid w:val="004368AA"/>
    <w:rsid w:val="00466B85"/>
    <w:rsid w:val="004C6FCF"/>
    <w:rsid w:val="00561748"/>
    <w:rsid w:val="00583E4D"/>
    <w:rsid w:val="005B4075"/>
    <w:rsid w:val="00642540"/>
    <w:rsid w:val="0078241D"/>
    <w:rsid w:val="00783DF6"/>
    <w:rsid w:val="0081274E"/>
    <w:rsid w:val="00821903"/>
    <w:rsid w:val="00883AF9"/>
    <w:rsid w:val="008A3E31"/>
    <w:rsid w:val="008F2F63"/>
    <w:rsid w:val="00920D89"/>
    <w:rsid w:val="009335AF"/>
    <w:rsid w:val="0094171A"/>
    <w:rsid w:val="0094583F"/>
    <w:rsid w:val="00995CA5"/>
    <w:rsid w:val="009E1EAC"/>
    <w:rsid w:val="009F1AFE"/>
    <w:rsid w:val="00A708F1"/>
    <w:rsid w:val="00AC19CB"/>
    <w:rsid w:val="00AC1B2F"/>
    <w:rsid w:val="00B6097D"/>
    <w:rsid w:val="00B9003B"/>
    <w:rsid w:val="00B96BFF"/>
    <w:rsid w:val="00BA05C1"/>
    <w:rsid w:val="00BE725E"/>
    <w:rsid w:val="00C2149B"/>
    <w:rsid w:val="00C5352F"/>
    <w:rsid w:val="00C578E1"/>
    <w:rsid w:val="00CD7E78"/>
    <w:rsid w:val="00CE0090"/>
    <w:rsid w:val="00D26345"/>
    <w:rsid w:val="00D30E42"/>
    <w:rsid w:val="00D75DDD"/>
    <w:rsid w:val="00D76702"/>
    <w:rsid w:val="00D81A07"/>
    <w:rsid w:val="00D857BD"/>
    <w:rsid w:val="00DA59AF"/>
    <w:rsid w:val="00DC5617"/>
    <w:rsid w:val="00DD2713"/>
    <w:rsid w:val="00DD70F7"/>
    <w:rsid w:val="00DF7E52"/>
    <w:rsid w:val="00E04979"/>
    <w:rsid w:val="00E33D16"/>
    <w:rsid w:val="00E577EF"/>
    <w:rsid w:val="00E80968"/>
    <w:rsid w:val="00E860FC"/>
    <w:rsid w:val="00E94E2C"/>
    <w:rsid w:val="00EA464D"/>
    <w:rsid w:val="00EB3F21"/>
    <w:rsid w:val="00F5024B"/>
    <w:rsid w:val="00F8009E"/>
    <w:rsid w:val="00FC098D"/>
    <w:rsid w:val="00FC10EC"/>
    <w:rsid w:val="00FD3062"/>
    <w:rsid w:val="00FE4D2D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900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900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0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0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70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F4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900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900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0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0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70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F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Flora Paola</cp:lastModifiedBy>
  <cp:revision>34</cp:revision>
  <cp:lastPrinted>2018-03-30T07:35:00Z</cp:lastPrinted>
  <dcterms:created xsi:type="dcterms:W3CDTF">2017-12-07T09:10:00Z</dcterms:created>
  <dcterms:modified xsi:type="dcterms:W3CDTF">2018-03-30T07:35:00Z</dcterms:modified>
</cp:coreProperties>
</file>