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F1" w:rsidRDefault="005F00F1" w:rsidP="005F00F1">
      <w:pPr>
        <w:spacing w:after="120" w:line="240" w:lineRule="auto"/>
        <w:jc w:val="center"/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</w:pPr>
      <w:r w:rsidRPr="00262B03"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  <w:t xml:space="preserve">MESSAGGI PRINCIPALI </w:t>
      </w:r>
    </w:p>
    <w:p w:rsidR="005F00F1" w:rsidRPr="00262B03" w:rsidRDefault="005F00F1" w:rsidP="005F00F1">
      <w:pPr>
        <w:spacing w:after="120" w:line="240" w:lineRule="auto"/>
        <w:jc w:val="center"/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</w:pPr>
      <w:r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  <w:t xml:space="preserve"> INCONTRO CON RAPPRESENTANTI STAMPA ITALIANA </w:t>
      </w:r>
    </w:p>
    <w:p w:rsidR="005F00F1" w:rsidRPr="00262B03" w:rsidRDefault="00EF7CD0" w:rsidP="005F00F1">
      <w:pPr>
        <w:spacing w:after="0" w:line="240" w:lineRule="auto"/>
        <w:jc w:val="center"/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</w:pPr>
      <w:r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  <w:t>Pechino</w:t>
      </w:r>
      <w:r w:rsidR="005F00F1"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  <w:t xml:space="preserve">, </w:t>
      </w:r>
      <w:r>
        <w:rPr>
          <w:rFonts w:ascii="Cambria" w:eastAsia="Times New Roman" w:hAnsi="Cambria"/>
          <w:b/>
          <w:bCs/>
          <w:color w:val="365F91"/>
          <w:kern w:val="36"/>
          <w:sz w:val="36"/>
          <w:szCs w:val="36"/>
        </w:rPr>
        <w:t>18 dicembre 2018</w:t>
      </w:r>
    </w:p>
    <w:p w:rsidR="00D45399" w:rsidRDefault="00D45399" w:rsidP="00D4539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F7CD0" w:rsidRPr="00EF7CD0" w:rsidRDefault="00EF7CD0" w:rsidP="00EF7CD0">
      <w:pPr>
        <w:pStyle w:val="Paragrafoelenco"/>
        <w:spacing w:after="120" w:line="360" w:lineRule="auto"/>
        <w:ind w:left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</w:p>
    <w:p w:rsidR="00557CF9" w:rsidRDefault="00EF7CD0" w:rsidP="00EF7CD0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Ringraziamento </w:t>
      </w:r>
      <w:r w:rsidR="00FC2A81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per </w:t>
      </w:r>
      <w:r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la presenza </w:t>
      </w:r>
      <w:r w:rsidR="00FC2A81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a Pechino </w:t>
      </w:r>
      <w:r>
        <w:rPr>
          <w:rFonts w:asciiTheme="minorHAnsi" w:hAnsiTheme="minorHAnsi"/>
          <w:bCs/>
          <w:i/>
          <w:iCs/>
          <w:sz w:val="36"/>
          <w:szCs w:val="36"/>
          <w:lang w:eastAsia="en-GB"/>
        </w:rPr>
        <w:t>nell’imminenza del</w:t>
      </w:r>
      <w:r w:rsidR="00FC2A81">
        <w:rPr>
          <w:rFonts w:asciiTheme="minorHAnsi" w:hAnsiTheme="minorHAnsi"/>
          <w:bCs/>
          <w:i/>
          <w:iCs/>
          <w:sz w:val="36"/>
          <w:szCs w:val="36"/>
          <w:lang w:eastAsia="en-GB"/>
        </w:rPr>
        <w:t>le Festività natalizie.</w:t>
      </w:r>
      <w:r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Appuntamento informale che segue la </w:t>
      </w:r>
      <w:r w:rsidR="00FC2A81" w:rsidRPr="00A42136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sessione di chiusura dell’ottavo Comitato Governativo Italia-Cina</w:t>
      </w:r>
      <w:r w:rsidR="00FC2A81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, co-presieduto con il </w:t>
      </w:r>
      <w:r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ministro degli Esteri </w:t>
      </w:r>
      <w:proofErr w:type="spellStart"/>
      <w:r w:rsidR="00FC2A81">
        <w:rPr>
          <w:rFonts w:asciiTheme="minorHAnsi" w:hAnsiTheme="minorHAnsi"/>
          <w:bCs/>
          <w:i/>
          <w:iCs/>
          <w:sz w:val="36"/>
          <w:szCs w:val="36"/>
          <w:lang w:eastAsia="en-GB"/>
        </w:rPr>
        <w:t>Wang</w:t>
      </w:r>
      <w:proofErr w:type="spellEnd"/>
      <w:r w:rsidR="00FC2A81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</w:t>
      </w:r>
      <w:proofErr w:type="spellStart"/>
      <w:r w:rsidR="00FC2A81">
        <w:rPr>
          <w:rFonts w:asciiTheme="minorHAnsi" w:hAnsiTheme="minorHAnsi"/>
          <w:bCs/>
          <w:i/>
          <w:iCs/>
          <w:sz w:val="36"/>
          <w:szCs w:val="36"/>
          <w:lang w:eastAsia="en-GB"/>
        </w:rPr>
        <w:t>Yi</w:t>
      </w:r>
      <w:proofErr w:type="spellEnd"/>
      <w:r w:rsidR="006B1C5D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  <w:r w:rsidR="00557CF9" w:rsidRPr="00557CF9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</w:t>
      </w:r>
    </w:p>
    <w:p w:rsidR="00EF7CD0" w:rsidRPr="00EF7CD0" w:rsidRDefault="00EF7CD0" w:rsidP="00674C13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EF7CD0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S</w:t>
      </w:r>
      <w:r w:rsidR="00FC2A81" w:rsidRPr="00EF7CD0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olidità della partnership </w:t>
      </w:r>
      <w:r w:rsidRPr="00EF7CD0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bilaterale</w:t>
      </w:r>
      <w:r w:rsidR="00FC2A81" w:rsidRPr="00EF7CD0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  <w:r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</w:t>
      </w:r>
      <w:r w:rsidR="00FC2A81" w:rsidRPr="00EF7CD0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Le relazioni sono </w:t>
      </w:r>
      <w:r w:rsidR="00FC2A81" w:rsidRPr="00EF7CD0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intense, articolate e caratterizzate da accresciuta frequenza di incontri a livello politico</w:t>
      </w:r>
      <w:r w:rsidR="00FC2A81" w:rsidRPr="00EF7CD0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. </w:t>
      </w:r>
    </w:p>
    <w:p w:rsidR="00FC2A81" w:rsidRPr="00EF7CD0" w:rsidRDefault="00674C13" w:rsidP="00674C13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EF7CD0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Centrale è il </w:t>
      </w:r>
      <w:r w:rsidR="00FC2A81" w:rsidRPr="00EF7CD0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Piano d’Azione</w:t>
      </w:r>
      <w:r w:rsidR="00FC2A81" w:rsidRPr="00EF7CD0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adottato dai Primi Ministri lo scorso maggio a Pechino</w:t>
      </w:r>
      <w:r w:rsidRPr="00EF7CD0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. Esso </w:t>
      </w:r>
      <w:r w:rsidR="00FC2A81" w:rsidRPr="00EF7CD0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indica le linee programmatiche della collaborazione</w:t>
      </w:r>
      <w:r w:rsidRPr="00EF7CD0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 bilaterale</w:t>
      </w:r>
      <w:r w:rsidR="00FC2A81" w:rsidRPr="00EF7CD0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, coerentemente con quanto sancito dal Partenariato strategico, </w:t>
      </w:r>
      <w:r w:rsidR="00FC2A81" w:rsidRPr="00EF7CD0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“Road-to-50” verso il 2020</w:t>
      </w:r>
      <w:r w:rsidR="00FC2A81" w:rsidRPr="00EF7CD0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, anno del </w:t>
      </w:r>
      <w:r w:rsidR="00FC2A81" w:rsidRPr="00EF7CD0">
        <w:rPr>
          <w:rFonts w:asciiTheme="minorHAnsi" w:hAnsiTheme="minorHAnsi"/>
          <w:bCs/>
          <w:i/>
          <w:iCs/>
          <w:sz w:val="36"/>
          <w:szCs w:val="36"/>
          <w:u w:val="single"/>
          <w:lang w:eastAsia="en-GB"/>
        </w:rPr>
        <w:t>50°anniversario delle relazioni diplomatiche</w:t>
      </w:r>
      <w:r w:rsidR="00FC2A81" w:rsidRPr="00EF7CD0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</w:p>
    <w:p w:rsidR="00674C13" w:rsidRPr="00674C13" w:rsidRDefault="00674C13" w:rsidP="00674C13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A42136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La cooperazione economico-commerciale resta al centro del rapporto bilaterale</w:t>
      </w:r>
      <w:r w:rsidRPr="00674C13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. </w:t>
      </w:r>
      <w:r w:rsidRPr="00A42136">
        <w:rPr>
          <w:rFonts w:asciiTheme="minorHAnsi" w:hAnsiTheme="minorHAnsi"/>
          <w:bCs/>
          <w:i/>
          <w:iCs/>
          <w:sz w:val="36"/>
          <w:szCs w:val="36"/>
          <w:u w:val="single"/>
          <w:lang w:eastAsia="en-GB"/>
        </w:rPr>
        <w:t>Riequilibrio della bilancia commerciale, attrazione di nuovi investimenti, questioni relative all’accesso al mercato e protezione della proprietà intellettuale sono prioritari</w:t>
      </w:r>
      <w:r w:rsidRPr="00674C13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</w:p>
    <w:p w:rsidR="00FC2A81" w:rsidRPr="00A42136" w:rsidRDefault="00674C13" w:rsidP="00A42136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È importante </w:t>
      </w:r>
      <w:r w:rsidRPr="00A42136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continuare a costruire sinergie e partenariati</w:t>
      </w: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</w:p>
    <w:p w:rsidR="00674C13" w:rsidRPr="00A42136" w:rsidRDefault="00EF7CD0" w:rsidP="00A42136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>
        <w:rPr>
          <w:rFonts w:asciiTheme="minorHAnsi" w:hAnsiTheme="minorHAnsi"/>
          <w:bCs/>
          <w:i/>
          <w:iCs/>
          <w:sz w:val="36"/>
          <w:szCs w:val="36"/>
          <w:lang w:eastAsia="en-GB"/>
        </w:rPr>
        <w:lastRenderedPageBreak/>
        <w:t>C</w:t>
      </w:r>
      <w:r w:rsidR="00674C13"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>onsapevol</w:t>
      </w:r>
      <w:r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ezza </w:t>
      </w:r>
      <w:r w:rsidR="00674C13"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del significato del </w:t>
      </w:r>
      <w:r w:rsidR="00674C13" w:rsidRPr="00A42136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progetto </w:t>
      </w:r>
      <w:proofErr w:type="spellStart"/>
      <w:r w:rsidR="00674C13" w:rsidRPr="00A42136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Belt</w:t>
      </w:r>
      <w:proofErr w:type="spellEnd"/>
      <w:r w:rsidR="00674C13" w:rsidRPr="00A42136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 and Road</w:t>
      </w:r>
      <w:r w:rsidR="00674C13"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e del suo potenziale economico e commerciale, nonché delle sue </w:t>
      </w:r>
      <w:r w:rsidR="00674C13" w:rsidRPr="00A42136">
        <w:rPr>
          <w:rFonts w:asciiTheme="minorHAnsi" w:hAnsiTheme="minorHAnsi"/>
          <w:bCs/>
          <w:i/>
          <w:iCs/>
          <w:sz w:val="36"/>
          <w:szCs w:val="36"/>
          <w:u w:val="single"/>
          <w:lang w:eastAsia="en-GB"/>
        </w:rPr>
        <w:t>implicazioni per lo sviluppo globale</w:t>
      </w:r>
      <w:r w:rsidR="00674C13"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. </w:t>
      </w:r>
    </w:p>
    <w:p w:rsidR="00674C13" w:rsidRPr="00A42136" w:rsidRDefault="00EF7CD0" w:rsidP="00A42136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Importanza in questo senso di </w:t>
      </w:r>
      <w:r w:rsidR="00674C13" w:rsidRPr="00A42136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una interlocuzione costante ai più alti livelli</w:t>
      </w:r>
      <w:r w:rsidR="00674C13"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, in uno spirito di </w:t>
      </w:r>
      <w:r w:rsidR="00674C13" w:rsidRPr="00A42136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partnership proficua</w:t>
      </w:r>
      <w:r w:rsidR="00674C13"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, mirato alla </w:t>
      </w:r>
      <w:r w:rsidR="00674C13" w:rsidRPr="00A42136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ricerca di soluzioni </w:t>
      </w:r>
      <w:r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reciprocamente </w:t>
      </w:r>
      <w:r w:rsidR="00674C13" w:rsidRPr="00A42136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vantaggiose</w:t>
      </w:r>
      <w:r w:rsidR="00674C13"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</w:p>
    <w:p w:rsidR="00363F81" w:rsidRPr="00A42136" w:rsidRDefault="00363F81" w:rsidP="00A42136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L’Italia ha accolto con molto favore l’impegno cinese a </w:t>
      </w:r>
      <w:r w:rsidRPr="005F2EE5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combattere il protezionismo</w:t>
      </w: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, attraverso la promozione di scambi e investimenti. </w:t>
      </w:r>
    </w:p>
    <w:p w:rsidR="00363F81" w:rsidRPr="00A42136" w:rsidRDefault="00363F81" w:rsidP="00A42136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È </w:t>
      </w:r>
      <w:r w:rsidRPr="005F2EE5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fondamentale che in Cina come in Europa siano date pari opportunità alle aziende </w:t>
      </w: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per operare sulla base delle stesse regole, </w:t>
      </w:r>
      <w:r w:rsidRPr="005F2EE5">
        <w:rPr>
          <w:rFonts w:asciiTheme="minorHAnsi" w:hAnsiTheme="minorHAnsi"/>
          <w:bCs/>
          <w:i/>
          <w:iCs/>
          <w:sz w:val="36"/>
          <w:szCs w:val="36"/>
          <w:u w:val="single"/>
          <w:lang w:eastAsia="en-GB"/>
        </w:rPr>
        <w:t>evitando pratiche distorsive che alterano le regole della libera concorrenza</w:t>
      </w: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</w:p>
    <w:p w:rsidR="00EF7CD0" w:rsidRPr="00EF7CD0" w:rsidRDefault="00EF7CD0" w:rsidP="00EF7CD0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sz w:val="36"/>
          <w:szCs w:val="36"/>
          <w:u w:val="single"/>
        </w:rPr>
      </w:pPr>
      <w:r>
        <w:rPr>
          <w:rFonts w:asciiTheme="minorHAnsi" w:hAnsiTheme="minorHAnsi"/>
          <w:bCs/>
          <w:i/>
          <w:iCs/>
          <w:sz w:val="36"/>
          <w:szCs w:val="36"/>
          <w:lang w:eastAsia="en-GB"/>
        </w:rPr>
        <w:t>I</w:t>
      </w:r>
      <w:r w:rsidR="00363F81"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mportanza </w:t>
      </w:r>
      <w:r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del </w:t>
      </w:r>
      <w:r w:rsidR="00363F81"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dialogo in tema di </w:t>
      </w:r>
      <w:r w:rsidR="00363F81" w:rsidRPr="005F2EE5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tutela della proprietà intellettuale e delle indicazioni geografiche</w:t>
      </w:r>
      <w:r w:rsidR="00363F81"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  <w:bookmarkStart w:id="0" w:name="_Toc500862420"/>
    </w:p>
    <w:bookmarkEnd w:id="0"/>
    <w:p w:rsidR="00674C13" w:rsidRDefault="00946B6F" w:rsidP="001314D9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5F2EE5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Italia e Cina condividono una ricca storia di scambi culturali, economici e personali</w:t>
      </w: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. </w:t>
      </w:r>
      <w:r w:rsidR="001314D9">
        <w:rPr>
          <w:rFonts w:asciiTheme="minorHAnsi" w:hAnsiTheme="minorHAnsi"/>
          <w:bCs/>
          <w:i/>
          <w:iCs/>
          <w:sz w:val="36"/>
          <w:szCs w:val="36"/>
          <w:lang w:eastAsia="en-GB"/>
        </w:rPr>
        <w:t>C</w:t>
      </w: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>ostruire su questa</w:t>
      </w:r>
      <w:bookmarkStart w:id="1" w:name="_GoBack"/>
      <w:bookmarkEnd w:id="1"/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preziosa eredità nuovi legami nel settore degli </w:t>
      </w:r>
      <w:r w:rsidRPr="005F2EE5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scambi turistici</w:t>
      </w:r>
      <w:r w:rsidR="001314D9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 </w:t>
      </w:r>
      <w:r w:rsidR="001314D9" w:rsidRPr="001314D9">
        <w:rPr>
          <w:rFonts w:asciiTheme="minorHAnsi" w:hAnsiTheme="minorHAnsi"/>
          <w:bCs/>
          <w:i/>
          <w:iCs/>
          <w:sz w:val="36"/>
          <w:szCs w:val="36"/>
          <w:lang w:eastAsia="en-GB"/>
        </w:rPr>
        <w:t>e</w:t>
      </w:r>
      <w:r w:rsidR="001314D9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 xml:space="preserve"> </w:t>
      </w: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delle esperienze per le comunità di </w:t>
      </w:r>
      <w:r w:rsidRPr="005F2EE5">
        <w:rPr>
          <w:rFonts w:asciiTheme="minorHAnsi" w:hAnsiTheme="minorHAnsi"/>
          <w:b/>
          <w:bCs/>
          <w:i/>
          <w:iCs/>
          <w:sz w:val="36"/>
          <w:szCs w:val="36"/>
          <w:lang w:eastAsia="en-GB"/>
        </w:rPr>
        <w:t>giovani</w:t>
      </w:r>
      <w:r w:rsidRPr="00A42136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  <w:r w:rsidR="001314D9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 </w:t>
      </w:r>
    </w:p>
    <w:p w:rsidR="001314D9" w:rsidRPr="001314D9" w:rsidRDefault="001314D9" w:rsidP="001314D9">
      <w:pPr>
        <w:pStyle w:val="Paragrafoelenco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Theme="minorHAnsi" w:hAnsiTheme="minorHAnsi"/>
          <w:bCs/>
          <w:i/>
          <w:iCs/>
          <w:sz w:val="36"/>
          <w:szCs w:val="36"/>
          <w:lang w:eastAsia="en-GB"/>
        </w:rPr>
      </w:pPr>
      <w:r w:rsidRPr="001314D9">
        <w:rPr>
          <w:rFonts w:asciiTheme="minorHAnsi" w:hAnsiTheme="minorHAnsi"/>
          <w:bCs/>
          <w:i/>
          <w:iCs/>
          <w:sz w:val="36"/>
          <w:szCs w:val="36"/>
          <w:lang w:eastAsia="en-GB"/>
        </w:rPr>
        <w:t xml:space="preserve">Panoramica dei </w:t>
      </w:r>
      <w:r w:rsidRPr="00621BBC">
        <w:rPr>
          <w:rFonts w:asciiTheme="minorHAnsi" w:hAnsiTheme="minorHAnsi"/>
          <w:bCs/>
          <w:i/>
          <w:iCs/>
          <w:sz w:val="36"/>
          <w:szCs w:val="36"/>
          <w:u w:val="single"/>
          <w:lang w:eastAsia="en-GB"/>
        </w:rPr>
        <w:t>temi internazionali</w:t>
      </w:r>
      <w:r w:rsidRPr="001314D9">
        <w:rPr>
          <w:rFonts w:asciiTheme="minorHAnsi" w:hAnsiTheme="minorHAnsi"/>
          <w:bCs/>
          <w:i/>
          <w:iCs/>
          <w:sz w:val="36"/>
          <w:szCs w:val="36"/>
          <w:lang w:eastAsia="en-GB"/>
        </w:rPr>
        <w:t>.</w:t>
      </w:r>
    </w:p>
    <w:p w:rsidR="00CA5D6B" w:rsidRPr="00D45399" w:rsidRDefault="00E25E9C" w:rsidP="001314D9">
      <w:pPr>
        <w:pStyle w:val="Paragrafoelenco"/>
        <w:spacing w:after="120" w:line="360" w:lineRule="auto"/>
        <w:ind w:left="426"/>
        <w:jc w:val="both"/>
        <w:rPr>
          <w:sz w:val="36"/>
          <w:szCs w:val="36"/>
        </w:rPr>
      </w:pPr>
      <w:r w:rsidRPr="00D45399">
        <w:rPr>
          <w:sz w:val="36"/>
          <w:szCs w:val="36"/>
        </w:rPr>
        <w:t xml:space="preserve"> </w:t>
      </w:r>
    </w:p>
    <w:sectPr w:rsidR="00CA5D6B" w:rsidRPr="00D45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A4" w:rsidRDefault="00EA4EA4" w:rsidP="006C0644">
      <w:pPr>
        <w:spacing w:after="0" w:line="240" w:lineRule="auto"/>
      </w:pPr>
      <w:r>
        <w:separator/>
      </w:r>
    </w:p>
  </w:endnote>
  <w:endnote w:type="continuationSeparator" w:id="0">
    <w:p w:rsidR="00EA4EA4" w:rsidRDefault="00EA4EA4" w:rsidP="006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A4" w:rsidRDefault="00EA4EA4" w:rsidP="006C0644">
      <w:pPr>
        <w:spacing w:after="0" w:line="240" w:lineRule="auto"/>
      </w:pPr>
      <w:r>
        <w:separator/>
      </w:r>
    </w:p>
  </w:footnote>
  <w:footnote w:type="continuationSeparator" w:id="0">
    <w:p w:rsidR="00EA4EA4" w:rsidRDefault="00EA4EA4" w:rsidP="006C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E33"/>
    <w:multiLevelType w:val="hybridMultilevel"/>
    <w:tmpl w:val="02C0E4EA"/>
    <w:lvl w:ilvl="0" w:tplc="A19429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FC4"/>
    <w:multiLevelType w:val="hybridMultilevel"/>
    <w:tmpl w:val="539626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532F5A"/>
    <w:multiLevelType w:val="hybridMultilevel"/>
    <w:tmpl w:val="B6FA2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358CF"/>
    <w:multiLevelType w:val="hybridMultilevel"/>
    <w:tmpl w:val="6CA0D7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875CC4"/>
    <w:multiLevelType w:val="hybridMultilevel"/>
    <w:tmpl w:val="21FE5DE2"/>
    <w:lvl w:ilvl="0" w:tplc="108C5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019C"/>
    <w:multiLevelType w:val="hybridMultilevel"/>
    <w:tmpl w:val="64D24A8E"/>
    <w:lvl w:ilvl="0" w:tplc="95F0C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C5171"/>
    <w:multiLevelType w:val="hybridMultilevel"/>
    <w:tmpl w:val="A350E5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114FC"/>
    <w:multiLevelType w:val="hybridMultilevel"/>
    <w:tmpl w:val="90707F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E5E4B"/>
    <w:multiLevelType w:val="hybridMultilevel"/>
    <w:tmpl w:val="5552C29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93EDC"/>
    <w:multiLevelType w:val="hybridMultilevel"/>
    <w:tmpl w:val="F7A4F3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F76D66"/>
    <w:multiLevelType w:val="hybridMultilevel"/>
    <w:tmpl w:val="5AB2E5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C506C2"/>
    <w:multiLevelType w:val="hybridMultilevel"/>
    <w:tmpl w:val="9D508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A0E0C"/>
    <w:multiLevelType w:val="hybridMultilevel"/>
    <w:tmpl w:val="1A0EF5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E78"/>
    <w:multiLevelType w:val="hybridMultilevel"/>
    <w:tmpl w:val="236AEB68"/>
    <w:lvl w:ilvl="0" w:tplc="B97E8B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36D4"/>
    <w:multiLevelType w:val="hybridMultilevel"/>
    <w:tmpl w:val="15443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D830E9"/>
    <w:multiLevelType w:val="hybridMultilevel"/>
    <w:tmpl w:val="F8962122"/>
    <w:lvl w:ilvl="0" w:tplc="A4A4C8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5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9"/>
    <w:rsid w:val="00066B0A"/>
    <w:rsid w:val="000C336C"/>
    <w:rsid w:val="00111497"/>
    <w:rsid w:val="001314D9"/>
    <w:rsid w:val="00137888"/>
    <w:rsid w:val="00153E24"/>
    <w:rsid w:val="0018310E"/>
    <w:rsid w:val="00287BD3"/>
    <w:rsid w:val="00351834"/>
    <w:rsid w:val="00363F81"/>
    <w:rsid w:val="00451F87"/>
    <w:rsid w:val="00471AFD"/>
    <w:rsid w:val="004B0192"/>
    <w:rsid w:val="004B206F"/>
    <w:rsid w:val="005126BD"/>
    <w:rsid w:val="00557CF9"/>
    <w:rsid w:val="00571CF9"/>
    <w:rsid w:val="00574AE2"/>
    <w:rsid w:val="005A08F4"/>
    <w:rsid w:val="005D2669"/>
    <w:rsid w:val="005F00F1"/>
    <w:rsid w:val="005F2EE5"/>
    <w:rsid w:val="00621BBC"/>
    <w:rsid w:val="00674C13"/>
    <w:rsid w:val="006912D0"/>
    <w:rsid w:val="006A5A3D"/>
    <w:rsid w:val="006B1C5D"/>
    <w:rsid w:val="006C0644"/>
    <w:rsid w:val="006F47F2"/>
    <w:rsid w:val="00773EE3"/>
    <w:rsid w:val="007B02ED"/>
    <w:rsid w:val="008028DA"/>
    <w:rsid w:val="008161E9"/>
    <w:rsid w:val="008618BD"/>
    <w:rsid w:val="008E0195"/>
    <w:rsid w:val="009040D1"/>
    <w:rsid w:val="00943FF7"/>
    <w:rsid w:val="00946B6F"/>
    <w:rsid w:val="009B70F5"/>
    <w:rsid w:val="00A244B7"/>
    <w:rsid w:val="00A3420C"/>
    <w:rsid w:val="00A42136"/>
    <w:rsid w:val="00A72969"/>
    <w:rsid w:val="00A84050"/>
    <w:rsid w:val="00B11348"/>
    <w:rsid w:val="00BB2700"/>
    <w:rsid w:val="00BD129E"/>
    <w:rsid w:val="00CA5D6B"/>
    <w:rsid w:val="00CD4A6C"/>
    <w:rsid w:val="00D300D3"/>
    <w:rsid w:val="00D45399"/>
    <w:rsid w:val="00D653A6"/>
    <w:rsid w:val="00E079A0"/>
    <w:rsid w:val="00E25E9C"/>
    <w:rsid w:val="00E56409"/>
    <w:rsid w:val="00E9423A"/>
    <w:rsid w:val="00E952C0"/>
    <w:rsid w:val="00EA1C82"/>
    <w:rsid w:val="00EA4EA4"/>
    <w:rsid w:val="00EF7CD0"/>
    <w:rsid w:val="00F00672"/>
    <w:rsid w:val="00F77E95"/>
    <w:rsid w:val="00FB037A"/>
    <w:rsid w:val="00FC2A81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399"/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45399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399"/>
    <w:rPr>
      <w:rFonts w:ascii="Cambria" w:hAnsi="Cambria" w:cs="Times New Roman"/>
      <w:b/>
      <w:bCs/>
      <w:color w:val="365F91"/>
      <w:kern w:val="36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9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3CxSpLast"/>
    <w:basedOn w:val="Normale"/>
    <w:uiPriority w:val="34"/>
    <w:qFormat/>
    <w:rsid w:val="00A244B7"/>
    <w:pPr>
      <w:ind w:left="720"/>
      <w:contextualSpacing/>
    </w:pPr>
    <w:rPr>
      <w:rFonts w:ascii="Arial" w:eastAsia="Calibri" w:hAnsi="Arial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Elencoacolori-Colore1Carattere">
    <w:name w:val="Elenco a colori - Colore 1 Carattere"/>
    <w:aliases w:val="Dot pt Carattere,F5 List Paragraph Carattere,List Paragraph Char Char Char Carattere,Indicator Text Carattere,Numbered Para 1 Carattere,Bullet 1 Carattere,Bullet Points Carattere,List Paragraph2 Carattere,3 Carattere"/>
    <w:link w:val="Elencoacolori-Colore1"/>
    <w:uiPriority w:val="34"/>
    <w:qFormat/>
    <w:locked/>
    <w:rsid w:val="000C336C"/>
    <w:rPr>
      <w:rFonts w:ascii="Times New Roman" w:eastAsia="Times New Roman" w:hAnsi="Times New Roman" w:cs="Times New Roman"/>
      <w:sz w:val="24"/>
      <w:szCs w:val="24"/>
    </w:rPr>
  </w:style>
  <w:style w:type="table" w:styleId="Elencoacolori-Colore1">
    <w:name w:val="Colorful List Accent 1"/>
    <w:basedOn w:val="Tabellanormale"/>
    <w:link w:val="Elencoacolori-Colore1Carattere"/>
    <w:uiPriority w:val="34"/>
    <w:rsid w:val="000C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064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06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064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06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3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53E2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3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399"/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45399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399"/>
    <w:rPr>
      <w:rFonts w:ascii="Cambria" w:hAnsi="Cambria" w:cs="Times New Roman"/>
      <w:b/>
      <w:bCs/>
      <w:color w:val="365F91"/>
      <w:kern w:val="36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9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3CxSpLast"/>
    <w:basedOn w:val="Normale"/>
    <w:uiPriority w:val="34"/>
    <w:qFormat/>
    <w:rsid w:val="00A244B7"/>
    <w:pPr>
      <w:ind w:left="720"/>
      <w:contextualSpacing/>
    </w:pPr>
    <w:rPr>
      <w:rFonts w:ascii="Arial" w:eastAsia="Calibri" w:hAnsi="Arial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Elencoacolori-Colore1Carattere">
    <w:name w:val="Elenco a colori - Colore 1 Carattere"/>
    <w:aliases w:val="Dot pt Carattere,F5 List Paragraph Carattere,List Paragraph Char Char Char Carattere,Indicator Text Carattere,Numbered Para 1 Carattere,Bullet 1 Carattere,Bullet Points Carattere,List Paragraph2 Carattere,3 Carattere"/>
    <w:link w:val="Elencoacolori-Colore1"/>
    <w:uiPriority w:val="34"/>
    <w:qFormat/>
    <w:locked/>
    <w:rsid w:val="000C336C"/>
    <w:rPr>
      <w:rFonts w:ascii="Times New Roman" w:eastAsia="Times New Roman" w:hAnsi="Times New Roman" w:cs="Times New Roman"/>
      <w:sz w:val="24"/>
      <w:szCs w:val="24"/>
    </w:rPr>
  </w:style>
  <w:style w:type="table" w:styleId="Elencoacolori-Colore1">
    <w:name w:val="Colorful List Accent 1"/>
    <w:basedOn w:val="Tabellanormale"/>
    <w:link w:val="Elencoacolori-Colore1Carattere"/>
    <w:uiPriority w:val="34"/>
    <w:rsid w:val="000C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064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06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064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06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53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53E2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Giacalone Giuseppe</dc:creator>
  <cp:lastModifiedBy>Bonissone Paolo</cp:lastModifiedBy>
  <cp:revision>4</cp:revision>
  <cp:lastPrinted>2017-10-09T13:21:00Z</cp:lastPrinted>
  <dcterms:created xsi:type="dcterms:W3CDTF">2018-02-20T16:27:00Z</dcterms:created>
  <dcterms:modified xsi:type="dcterms:W3CDTF">2018-02-20T16:28:00Z</dcterms:modified>
</cp:coreProperties>
</file>