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753" w:rsidRDefault="00EF7753" w:rsidP="00EF7753">
      <w:pPr>
        <w:rPr>
          <w:b/>
          <w:sz w:val="28"/>
          <w:szCs w:val="28"/>
          <w:lang w:val="en-US"/>
        </w:rPr>
      </w:pPr>
      <w:bookmarkStart w:id="0" w:name="_GoBack"/>
      <w:bookmarkEnd w:id="0"/>
    </w:p>
    <w:p w:rsidR="00EF7753" w:rsidRDefault="00EF7753" w:rsidP="00EF7753">
      <w:pPr>
        <w:jc w:val="center"/>
        <w:rPr>
          <w:b/>
          <w:sz w:val="28"/>
          <w:szCs w:val="28"/>
        </w:rPr>
      </w:pPr>
    </w:p>
    <w:p w:rsidR="00EF7753" w:rsidRPr="00D878DF" w:rsidRDefault="00EF7753" w:rsidP="00EF7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Linee di condotta dei Paesi</w:t>
      </w:r>
      <w:r w:rsidRPr="00D878DF">
        <w:rPr>
          <w:b/>
          <w:sz w:val="28"/>
          <w:szCs w:val="28"/>
        </w:rPr>
        <w:t xml:space="preserve"> Membri sul transito all’interno ed all’esterno dell’UE</w:t>
      </w:r>
    </w:p>
    <w:p w:rsidR="00EF7753" w:rsidRDefault="00EF7753" w:rsidP="00EF7753">
      <w:pPr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>Autorizzazione richiesta per il transito</w:t>
      </w:r>
    </w:p>
    <w:p w:rsidR="00EF7753" w:rsidRPr="003F39A3" w:rsidRDefault="00EF7753" w:rsidP="00EF7753">
      <w:pPr>
        <w:jc w:val="center"/>
        <w:rPr>
          <w:b/>
          <w:sz w:val="28"/>
          <w:szCs w:val="28"/>
          <w:lang w:val="en-US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70"/>
        <w:gridCol w:w="3569"/>
        <w:gridCol w:w="3569"/>
        <w:gridCol w:w="3569"/>
      </w:tblGrid>
      <w:tr w:rsidR="00EF7753" w:rsidRPr="004351C0" w:rsidTr="00A21EC8">
        <w:trPr>
          <w:trHeight w:val="788"/>
        </w:trPr>
        <w:tc>
          <w:tcPr>
            <w:tcW w:w="3616" w:type="dxa"/>
            <w:noWrap/>
            <w:hideMark/>
          </w:tcPr>
          <w:p w:rsidR="00EF7753" w:rsidRPr="00024985" w:rsidRDefault="00EF7753" w:rsidP="00A21EC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Paesi</w:t>
            </w:r>
          </w:p>
        </w:tc>
        <w:tc>
          <w:tcPr>
            <w:tcW w:w="3617" w:type="dxa"/>
            <w:noWrap/>
            <w:hideMark/>
          </w:tcPr>
          <w:p w:rsidR="00EF7753" w:rsidRPr="00024985" w:rsidRDefault="00EF7753" w:rsidP="00A21EC8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Verso Paesi intracomunitari</w:t>
            </w:r>
          </w:p>
        </w:tc>
        <w:tc>
          <w:tcPr>
            <w:tcW w:w="3617" w:type="dxa"/>
            <w:noWrap/>
            <w:hideMark/>
          </w:tcPr>
          <w:p w:rsidR="00EF7753" w:rsidRPr="004351C0" w:rsidRDefault="00EF7753" w:rsidP="00A21EC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>Verso Paesi extracomunitari</w:t>
            </w:r>
          </w:p>
        </w:tc>
        <w:tc>
          <w:tcPr>
            <w:tcW w:w="3617" w:type="dxa"/>
            <w:noWrap/>
            <w:hideMark/>
          </w:tcPr>
          <w:p w:rsidR="00EF7753" w:rsidRPr="004351C0" w:rsidRDefault="00EF7753" w:rsidP="00A21EC8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Autorità competente</w:t>
            </w:r>
          </w:p>
        </w:tc>
      </w:tr>
      <w:tr w:rsidR="00EF7753" w:rsidRPr="003E5382" w:rsidTr="00A21EC8">
        <w:trPr>
          <w:trHeight w:val="788"/>
        </w:trPr>
        <w:tc>
          <w:tcPr>
            <w:tcW w:w="3616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u w:val="single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u w:val="single"/>
                <w:lang w:val="en-US" w:eastAsia="it-IT"/>
              </w:rPr>
              <w:t xml:space="preserve">Austria </w:t>
            </w:r>
            <w:r w:rsidRPr="0004798E">
              <w:rPr>
                <w:rFonts w:ascii="Calibri" w:eastAsia="Times New Roman" w:hAnsi="Calibri" w:cs="Times New Roman"/>
                <w:lang w:val="en-US" w:eastAsia="it-IT"/>
              </w:rPr>
              <w:t>[</w:t>
            </w:r>
            <w:r w:rsidRPr="0004798E">
              <w:footnoteReference w:id="1"/>
            </w:r>
            <w:r w:rsidRPr="0004798E">
              <w:rPr>
                <w:rFonts w:ascii="Calibri" w:eastAsia="Times New Roman" w:hAnsi="Calibri" w:cs="Times New Roman"/>
                <w:lang w:val="en-US" w:eastAsia="it-IT"/>
              </w:rPr>
              <w:t>]</w:t>
            </w:r>
          </w:p>
        </w:tc>
        <w:tc>
          <w:tcPr>
            <w:tcW w:w="361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1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17" w:type="dxa"/>
            <w:noWrap/>
            <w:hideMark/>
          </w:tcPr>
          <w:p w:rsidR="00EF7753" w:rsidRPr="00D878DF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D878DF">
              <w:rPr>
                <w:rFonts w:ascii="Calibri" w:eastAsia="Times New Roman" w:hAnsi="Calibri" w:cs="Times New Roman"/>
                <w:lang w:eastAsia="it-IT"/>
              </w:rPr>
              <w:t>Ministero dell’Interno</w:t>
            </w:r>
          </w:p>
          <w:p w:rsidR="00EF7753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della Difesa</w:t>
            </w:r>
          </w:p>
          <w:p w:rsidR="00EF7753" w:rsidRPr="00D878DF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dell’Economia</w:t>
            </w:r>
          </w:p>
        </w:tc>
      </w:tr>
      <w:tr w:rsidR="00EF7753" w:rsidRPr="003E5382" w:rsidTr="00A21EC8">
        <w:trPr>
          <w:trHeight w:val="1099"/>
        </w:trPr>
        <w:tc>
          <w:tcPr>
            <w:tcW w:w="3616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u w:val="single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u w:val="single"/>
                <w:lang w:val="en-US" w:eastAsia="it-IT"/>
              </w:rPr>
              <w:t>Belg</w:t>
            </w:r>
            <w:r>
              <w:rPr>
                <w:rFonts w:ascii="Calibri" w:eastAsia="Times New Roman" w:hAnsi="Calibri" w:cs="Times New Roman"/>
                <w:u w:val="single"/>
                <w:lang w:val="en-US" w:eastAsia="it-IT"/>
              </w:rPr>
              <w:t>io</w:t>
            </w:r>
            <w:r w:rsidRPr="0004798E">
              <w:rPr>
                <w:rFonts w:ascii="Calibri" w:eastAsia="Times New Roman" w:hAnsi="Calibri" w:cs="Times New Roman"/>
                <w:lang w:val="en-US" w:eastAsia="it-IT"/>
              </w:rPr>
              <w:t>[</w:t>
            </w:r>
            <w:r w:rsidRPr="0004798E">
              <w:footnoteReference w:id="2"/>
            </w:r>
            <w:r w:rsidRPr="0004798E">
              <w:rPr>
                <w:rFonts w:ascii="Calibri" w:eastAsia="Times New Roman" w:hAnsi="Calibri" w:cs="Times New Roman"/>
                <w:lang w:val="en-US" w:eastAsia="it-IT"/>
              </w:rPr>
              <w:t>]</w:t>
            </w:r>
          </w:p>
        </w:tc>
        <w:tc>
          <w:tcPr>
            <w:tcW w:w="361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1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17" w:type="dxa"/>
            <w:noWrap/>
            <w:hideMark/>
          </w:tcPr>
          <w:p w:rsidR="00EF7753" w:rsidRPr="00D878DF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D878DF">
              <w:rPr>
                <w:rFonts w:ascii="Calibri" w:eastAsia="Times New Roman" w:hAnsi="Calibri" w:cs="Times New Roman"/>
                <w:lang w:eastAsia="it-IT"/>
              </w:rPr>
              <w:t>Ministero degli Affari Economici (</w:t>
            </w:r>
            <w:r>
              <w:rPr>
                <w:rFonts w:ascii="Calibri" w:eastAsia="Times New Roman" w:hAnsi="Calibri" w:cs="Times New Roman"/>
                <w:lang w:eastAsia="it-IT"/>
              </w:rPr>
              <w:t>a livello federale</w:t>
            </w:r>
            <w:r w:rsidRPr="00D878DF">
              <w:rPr>
                <w:rFonts w:ascii="Calibri" w:eastAsia="Times New Roman" w:hAnsi="Calibri" w:cs="Times New Roman"/>
                <w:lang w:eastAsia="it-IT"/>
              </w:rPr>
              <w:t>)</w:t>
            </w:r>
          </w:p>
          <w:p w:rsidR="00EF7753" w:rsidRPr="00D878DF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D878DF">
              <w:rPr>
                <w:rFonts w:ascii="Calibri" w:eastAsia="Times New Roman" w:hAnsi="Calibri" w:cs="Times New Roman"/>
                <w:lang w:eastAsia="it-IT"/>
              </w:rPr>
              <w:t>Autorità Regionali competenti (a livello regionale)</w:t>
            </w:r>
          </w:p>
        </w:tc>
      </w:tr>
      <w:tr w:rsidR="00EF7753" w:rsidRPr="00E7440D" w:rsidTr="00A21EC8">
        <w:trPr>
          <w:trHeight w:val="788"/>
        </w:trPr>
        <w:tc>
          <w:tcPr>
            <w:tcW w:w="3616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Bulgaria</w:t>
            </w:r>
          </w:p>
        </w:tc>
        <w:tc>
          <w:tcPr>
            <w:tcW w:w="361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1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1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degli Affari Esteri</w:t>
            </w:r>
          </w:p>
        </w:tc>
      </w:tr>
      <w:tr w:rsidR="00EF7753" w:rsidRPr="00E7440D" w:rsidTr="00A21EC8">
        <w:trPr>
          <w:trHeight w:val="788"/>
        </w:trPr>
        <w:tc>
          <w:tcPr>
            <w:tcW w:w="3616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u w:val="single"/>
                <w:lang w:val="en-US" w:eastAsia="it-IT"/>
              </w:rPr>
              <w:t>Cipro</w:t>
            </w:r>
            <w:r>
              <w:rPr>
                <w:rFonts w:ascii="Calibri" w:eastAsia="Times New Roman" w:hAnsi="Calibri" w:cs="Times New Roman"/>
                <w:lang w:val="en-US" w:eastAsia="it-IT"/>
              </w:rPr>
              <w:t>[3]</w:t>
            </w:r>
          </w:p>
        </w:tc>
        <w:tc>
          <w:tcPr>
            <w:tcW w:w="361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1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1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04798E">
              <w:rPr>
                <w:rFonts w:ascii="Calibri" w:eastAsia="Times New Roman" w:hAnsi="Calibri" w:cs="Times New Roman"/>
                <w:i/>
                <w:lang w:eastAsia="it-IT"/>
              </w:rPr>
              <w:t xml:space="preserve">Vedere nota </w:t>
            </w:r>
            <w:r>
              <w:rPr>
                <w:rFonts w:ascii="Calibri" w:eastAsia="Times New Roman" w:hAnsi="Calibri" w:cs="Times New Roman"/>
                <w:i/>
                <w:lang w:eastAsia="it-IT"/>
              </w:rPr>
              <w:t xml:space="preserve">n. 3 </w:t>
            </w:r>
            <w:r w:rsidRPr="0004798E">
              <w:rPr>
                <w:rFonts w:ascii="Calibri" w:eastAsia="Times New Roman" w:hAnsi="Calibri" w:cs="Times New Roman"/>
                <w:i/>
                <w:lang w:eastAsia="it-IT"/>
              </w:rPr>
              <w:t xml:space="preserve">a piè di pagina </w:t>
            </w:r>
          </w:p>
        </w:tc>
      </w:tr>
    </w:tbl>
    <w:p w:rsidR="00EF7753" w:rsidRPr="00945B38" w:rsidRDefault="00EF7753" w:rsidP="00EF7753">
      <w:pPr>
        <w:rPr>
          <w:rFonts w:ascii="Calibri" w:eastAsia="Times New Roman" w:hAnsi="Calibri" w:cs="Times New Roman"/>
          <w:u w:val="single"/>
          <w:lang w:eastAsia="it-IT"/>
        </w:rPr>
        <w:sectPr w:rsidR="00EF7753" w:rsidRPr="00945B38" w:rsidSect="00B949FD">
          <w:footerReference w:type="default" r:id="rId8"/>
          <w:pgSz w:w="16838" w:h="11906" w:orient="landscape"/>
          <w:pgMar w:top="284" w:right="1417" w:bottom="568" w:left="1134" w:header="708" w:footer="708" w:gutter="0"/>
          <w:cols w:space="708"/>
          <w:docGrid w:linePitch="360"/>
        </w:sect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3462"/>
        <w:gridCol w:w="3569"/>
        <w:gridCol w:w="3569"/>
        <w:gridCol w:w="3569"/>
      </w:tblGrid>
      <w:tr w:rsidR="00EF7753" w:rsidRPr="00E7440D" w:rsidTr="00A21EC8">
        <w:trPr>
          <w:trHeight w:val="806"/>
        </w:trPr>
        <w:tc>
          <w:tcPr>
            <w:tcW w:w="3498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lastRenderedPageBreak/>
              <w:t>Croa</w:t>
            </w:r>
            <w:r>
              <w:rPr>
                <w:rFonts w:ascii="Calibri" w:eastAsia="Times New Roman" w:hAnsi="Calibri" w:cs="Times New Roman"/>
                <w:lang w:eastAsia="it-IT"/>
              </w:rPr>
              <w:t>z</w:t>
            </w:r>
            <w:r w:rsidRPr="00E7440D">
              <w:rPr>
                <w:rFonts w:ascii="Calibri" w:eastAsia="Times New Roman" w:hAnsi="Calibri" w:cs="Times New Roman"/>
                <w:lang w:eastAsia="it-IT"/>
              </w:rPr>
              <w:t>ia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---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u w:val="single"/>
                <w:lang w:eastAsia="it-IT"/>
              </w:rPr>
            </w:pPr>
            <w:r w:rsidRPr="0004798E">
              <w:rPr>
                <w:rFonts w:ascii="Calibri" w:eastAsia="Times New Roman" w:hAnsi="Calibri" w:cs="Times New Roman"/>
                <w:u w:val="single"/>
                <w:lang w:eastAsia="it-IT"/>
              </w:rPr>
              <w:t>Danimarca</w:t>
            </w:r>
            <w:r>
              <w:rPr>
                <w:rFonts w:ascii="Calibri" w:eastAsia="Times New Roman" w:hAnsi="Calibri" w:cs="Times New Roman"/>
                <w:lang w:eastAsia="it-IT"/>
              </w:rPr>
              <w:t>[4</w:t>
            </w:r>
            <w:r w:rsidRPr="0004798E">
              <w:t>]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della Giustizia</w:t>
            </w:r>
          </w:p>
        </w:tc>
      </w:tr>
      <w:tr w:rsidR="00EF7753" w:rsidRPr="003E5382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u w:val="single"/>
                <w:lang w:eastAsia="it-IT"/>
              </w:rPr>
            </w:pPr>
            <w:r w:rsidRPr="0004798E">
              <w:rPr>
                <w:rFonts w:ascii="Calibri" w:eastAsia="Times New Roman" w:hAnsi="Calibri" w:cs="Times New Roman"/>
                <w:u w:val="single"/>
                <w:lang w:eastAsia="it-IT"/>
              </w:rPr>
              <w:footnoteReference w:customMarkFollows="1" w:id="3"/>
              <w:t>Estonia[</w:t>
            </w:r>
            <w:r>
              <w:rPr>
                <w:rFonts w:ascii="Calibri" w:eastAsia="Times New Roman" w:hAnsi="Calibri" w:cs="Times New Roman"/>
                <w:lang w:eastAsia="it-IT"/>
              </w:rPr>
              <w:t>5</w:t>
            </w:r>
            <w:r w:rsidRPr="0004798E">
              <w:rPr>
                <w:rFonts w:ascii="Calibri" w:eastAsia="Times New Roman" w:hAnsi="Calibri" w:cs="Times New Roman"/>
                <w:u w:val="single"/>
                <w:lang w:eastAsia="it-IT"/>
              </w:rPr>
              <w:t>]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6A1A51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6A1A51">
              <w:rPr>
                <w:rFonts w:ascii="Calibri" w:eastAsia="Times New Roman" w:hAnsi="Calibri" w:cs="Times New Roman"/>
                <w:lang w:eastAsia="it-IT"/>
              </w:rPr>
              <w:t>Commissione sui Beni Strategici</w:t>
            </w:r>
            <w:r>
              <w:rPr>
                <w:rFonts w:ascii="Calibri" w:eastAsia="Times New Roman" w:hAnsi="Calibri" w:cs="Times New Roman"/>
                <w:lang w:eastAsia="it-IT"/>
              </w:rPr>
              <w:t xml:space="preserve"> </w:t>
            </w:r>
            <w:r w:rsidRPr="006A1A51">
              <w:rPr>
                <w:rFonts w:ascii="Calibri" w:eastAsia="Times New Roman" w:hAnsi="Calibri" w:cs="Times New Roman"/>
                <w:lang w:eastAsia="it-IT"/>
              </w:rPr>
              <w:t>-</w:t>
            </w:r>
          </w:p>
          <w:p w:rsidR="00EF7753" w:rsidRPr="006A1A51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degli Affari Esteri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bookmarkStart w:id="1" w:name="RANGE!A10"/>
            <w:r w:rsidRPr="00E7440D">
              <w:rPr>
                <w:rFonts w:ascii="Calibri" w:eastAsia="Times New Roman" w:hAnsi="Calibri" w:cs="Times New Roman"/>
                <w:lang w:val="en-US" w:eastAsia="it-IT"/>
              </w:rPr>
              <w:t>Finland</w:t>
            </w:r>
            <w:bookmarkEnd w:id="1"/>
            <w:r>
              <w:rPr>
                <w:rFonts w:ascii="Calibri" w:eastAsia="Times New Roman" w:hAnsi="Calibri" w:cs="Times New Roman"/>
                <w:lang w:val="en-US" w:eastAsia="it-IT"/>
              </w:rPr>
              <w:t>ia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degli Affari Esteri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val="en-US" w:eastAsia="it-IT"/>
              </w:rPr>
              <w:t>Francia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degli Affari Esteri</w:t>
            </w:r>
          </w:p>
        </w:tc>
      </w:tr>
      <w:tr w:rsidR="00EF7753" w:rsidRPr="003E5382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u w:val="single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u w:val="single"/>
                <w:lang w:val="en-US" w:eastAsia="it-IT"/>
              </w:rPr>
              <w:footnoteReference w:customMarkFollows="1" w:id="4"/>
              <w:t>German</w:t>
            </w:r>
            <w:r>
              <w:rPr>
                <w:rFonts w:ascii="Calibri" w:eastAsia="Times New Roman" w:hAnsi="Calibri" w:cs="Times New Roman"/>
                <w:u w:val="single"/>
                <w:lang w:val="en-US" w:eastAsia="it-IT"/>
              </w:rPr>
              <w:t>ia</w:t>
            </w:r>
            <w:r>
              <w:rPr>
                <w:rFonts w:ascii="Calibri" w:eastAsia="Times New Roman" w:hAnsi="Calibri" w:cs="Times New Roman"/>
                <w:lang w:val="en-US" w:eastAsia="it-IT"/>
              </w:rPr>
              <w:t>[6</w:t>
            </w:r>
            <w:r w:rsidRPr="0004798E">
              <w:rPr>
                <w:rFonts w:ascii="Calibri" w:eastAsia="Times New Roman" w:hAnsi="Calibri" w:cs="Times New Roman"/>
                <w:lang w:val="en-US" w:eastAsia="it-IT"/>
              </w:rPr>
              <w:t>]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6A1A51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6A1A51">
              <w:rPr>
                <w:rFonts w:ascii="Calibri" w:eastAsia="Times New Roman" w:hAnsi="Calibri" w:cs="Times New Roman"/>
                <w:lang w:eastAsia="it-IT"/>
              </w:rPr>
              <w:t>Ministero degli Affari Economici e dell’Energ</w:t>
            </w:r>
            <w:r>
              <w:rPr>
                <w:rFonts w:ascii="Calibri" w:eastAsia="Times New Roman" w:hAnsi="Calibri" w:cs="Times New Roman"/>
                <w:lang w:eastAsia="it-IT"/>
              </w:rPr>
              <w:t>ia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u w:val="single"/>
                <w:lang w:val="en-US" w:eastAsia="it-IT"/>
              </w:rPr>
              <w:t>Grecia</w:t>
            </w:r>
            <w:r>
              <w:rPr>
                <w:rFonts w:ascii="Calibri" w:eastAsia="Times New Roman" w:hAnsi="Calibri" w:cs="Times New Roman"/>
                <w:lang w:val="en-US" w:eastAsia="it-IT"/>
              </w:rPr>
              <w:t>[7</w:t>
            </w:r>
            <w:r w:rsidRPr="00E7440D">
              <w:rPr>
                <w:rFonts w:ascii="Calibri" w:eastAsia="Times New Roman" w:hAnsi="Calibri" w:cs="Times New Roman"/>
                <w:lang w:val="en-US" w:eastAsia="it-IT"/>
              </w:rPr>
              <w:t>]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della Difesa</w:t>
            </w:r>
          </w:p>
        </w:tc>
      </w:tr>
      <w:tr w:rsidR="00EF7753" w:rsidRPr="003E5382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val="en-US" w:eastAsia="it-IT"/>
              </w:rPr>
              <w:t>Irlanda</w:t>
            </w:r>
          </w:p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</w:p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867F80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867F80">
              <w:rPr>
                <w:rFonts w:ascii="Calibri" w:eastAsia="Times New Roman" w:hAnsi="Calibri" w:cs="Times New Roman"/>
                <w:lang w:eastAsia="it-IT"/>
              </w:rPr>
              <w:t>Dipartimento per le Imprese Commerciali e l’Innovazione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u w:val="single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u w:val="single"/>
                <w:lang w:val="en-US" w:eastAsia="it-IT"/>
              </w:rPr>
              <w:t>Ital</w:t>
            </w:r>
            <w:r>
              <w:rPr>
                <w:rFonts w:ascii="Calibri" w:eastAsia="Times New Roman" w:hAnsi="Calibri" w:cs="Times New Roman"/>
                <w:u w:val="single"/>
                <w:lang w:val="en-US" w:eastAsia="it-IT"/>
              </w:rPr>
              <w:t>ia</w:t>
            </w:r>
            <w:r w:rsidRPr="003744BF">
              <w:rPr>
                <w:rFonts w:ascii="Calibri" w:eastAsia="Times New Roman" w:hAnsi="Calibri" w:cs="Times New Roman"/>
                <w:lang w:val="en-US" w:eastAsia="it-IT"/>
              </w:rPr>
              <w:t>[</w:t>
            </w:r>
            <w:r>
              <w:rPr>
                <w:rFonts w:ascii="Calibri" w:eastAsia="Times New Roman" w:hAnsi="Calibri" w:cs="Times New Roman"/>
                <w:lang w:val="en-US" w:eastAsia="it-IT"/>
              </w:rPr>
              <w:t>8</w:t>
            </w:r>
            <w:r w:rsidRPr="003744BF">
              <w:rPr>
                <w:rFonts w:ascii="Calibri" w:eastAsia="Times New Roman" w:hAnsi="Calibri" w:cs="Times New Roman"/>
                <w:lang w:val="en-US" w:eastAsia="it-IT"/>
              </w:rPr>
              <w:t>]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dell’Interno</w:t>
            </w:r>
          </w:p>
        </w:tc>
      </w:tr>
      <w:tr w:rsidR="00EF7753" w:rsidRPr="003E5382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val="en-US" w:eastAsia="it-IT"/>
              </w:rPr>
              <w:lastRenderedPageBreak/>
              <w:t>Lettonia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u w:val="single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u w:val="single"/>
                <w:lang w:eastAsia="it-IT"/>
              </w:rPr>
              <w:footnoteReference w:customMarkFollows="1" w:id="5"/>
              <w:t>No[</w:t>
            </w:r>
            <w:r>
              <w:rPr>
                <w:rFonts w:ascii="Calibri" w:eastAsia="Times New Roman" w:hAnsi="Calibri" w:cs="Times New Roman"/>
                <w:lang w:eastAsia="it-IT"/>
              </w:rPr>
              <w:t>9]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867F80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F539FD">
              <w:rPr>
                <w:rFonts w:ascii="Calibri" w:eastAsia="Times New Roman" w:hAnsi="Calibri" w:cs="Times New Roman"/>
                <w:lang w:eastAsia="it-IT"/>
              </w:rPr>
              <w:t>Divisione per il controllo sull’esportazione di beni strategici – Ministero degli Affari Esteri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val="en-US" w:eastAsia="it-IT"/>
              </w:rPr>
              <w:t>Lit</w:t>
            </w:r>
            <w:r w:rsidRPr="00E7440D">
              <w:rPr>
                <w:rFonts w:ascii="Calibri" w:eastAsia="Times New Roman" w:hAnsi="Calibri" w:cs="Times New Roman"/>
                <w:lang w:val="en-US" w:eastAsia="it-IT"/>
              </w:rPr>
              <w:t>uania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degli Affari Esteri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val="en-US" w:eastAsia="it-IT"/>
              </w:rPr>
              <w:t>Lussemburgo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dell’Economia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val="en-US" w:eastAsia="it-IT"/>
              </w:rPr>
            </w:pPr>
            <w:r w:rsidRPr="00E7440D">
              <w:rPr>
                <w:rFonts w:ascii="Calibri" w:eastAsia="Times New Roman" w:hAnsi="Calibri" w:cs="Times New Roman"/>
                <w:lang w:val="en-US" w:eastAsia="it-IT"/>
              </w:rPr>
              <w:t>Malta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degli Affari Esteri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</w:tcPr>
          <w:p w:rsidR="00EF7753" w:rsidRPr="004167EA" w:rsidRDefault="00EF7753" w:rsidP="00A21EC8">
            <w:pPr>
              <w:rPr>
                <w:rFonts w:ascii="Calibri" w:eastAsia="Times New Roman" w:hAnsi="Calibri" w:cs="Times New Roman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lang w:val="en-US" w:eastAsia="it-IT"/>
              </w:rPr>
              <w:t>Paesi Bassi</w:t>
            </w:r>
          </w:p>
        </w:tc>
        <w:tc>
          <w:tcPr>
            <w:tcW w:w="3607" w:type="dxa"/>
            <w:noWrap/>
          </w:tcPr>
          <w:p w:rsidR="00EF7753" w:rsidRPr="004167EA" w:rsidRDefault="00EF7753" w:rsidP="00A21EC8">
            <w:pPr>
              <w:rPr>
                <w:rFonts w:ascii="Calibri" w:eastAsia="Times New Roman" w:hAnsi="Calibri" w:cs="Times New Roman"/>
                <w:i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lang w:eastAsia="it-IT"/>
              </w:rPr>
              <w:t>Vedere l’infografica a pagina</w:t>
            </w:r>
            <w:r w:rsidRPr="004167EA">
              <w:rPr>
                <w:rFonts w:ascii="Calibri" w:eastAsia="Times New Roman" w:hAnsi="Calibri" w:cs="Times New Roman"/>
                <w:i/>
                <w:lang w:eastAsia="it-IT"/>
              </w:rPr>
              <w:t xml:space="preserve"> 5</w:t>
            </w:r>
          </w:p>
        </w:tc>
        <w:tc>
          <w:tcPr>
            <w:tcW w:w="3607" w:type="dxa"/>
            <w:noWrap/>
          </w:tcPr>
          <w:p w:rsidR="00EF7753" w:rsidRPr="004167EA" w:rsidRDefault="00EF7753" w:rsidP="00A21EC8">
            <w:pPr>
              <w:rPr>
                <w:rFonts w:ascii="Calibri" w:eastAsia="Times New Roman" w:hAnsi="Calibri" w:cs="Times New Roman"/>
                <w:i/>
                <w:lang w:eastAsia="it-IT"/>
              </w:rPr>
            </w:pPr>
            <w:r>
              <w:rPr>
                <w:rFonts w:ascii="Calibri" w:eastAsia="Times New Roman" w:hAnsi="Calibri" w:cs="Times New Roman"/>
                <w:i/>
                <w:lang w:eastAsia="it-IT"/>
              </w:rPr>
              <w:t>Vedere l’infografica a pagina 5</w:t>
            </w:r>
          </w:p>
        </w:tc>
        <w:tc>
          <w:tcPr>
            <w:tcW w:w="3607" w:type="dxa"/>
            <w:noWrap/>
          </w:tcPr>
          <w:p w:rsidR="00EF7753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degli Affari Esteri</w:t>
            </w:r>
          </w:p>
        </w:tc>
      </w:tr>
      <w:tr w:rsidR="00EF7753" w:rsidRPr="003E5382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val="en-US" w:eastAsia="it-IT"/>
              </w:rPr>
              <w:t>Polonia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val="en-US" w:eastAsia="it-IT"/>
              </w:rPr>
            </w:pPr>
            <w:r>
              <w:rPr>
                <w:rFonts w:ascii="Calibri" w:eastAsia="Times New Roman" w:hAnsi="Calibri" w:cs="Times New Roman"/>
                <w:lang w:val="en-US" w:eastAsia="it-IT"/>
              </w:rPr>
              <w:t>Ministero dell’Imprenditoria e dell’Economia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val="en-US" w:eastAsia="it-IT"/>
              </w:rPr>
              <w:t>Portogallo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della Difesa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u w:val="single"/>
                <w:lang w:eastAsia="it-IT"/>
              </w:rPr>
            </w:pPr>
            <w:r>
              <w:rPr>
                <w:rFonts w:ascii="Calibri" w:eastAsia="Times New Roman" w:hAnsi="Calibri" w:cs="Times New Roman"/>
                <w:u w:val="single"/>
                <w:lang w:val="en-US" w:eastAsia="it-IT"/>
              </w:rPr>
              <w:t>Regno Unito</w:t>
            </w:r>
            <w:r w:rsidRPr="00E7440D">
              <w:rPr>
                <w:rFonts w:ascii="Calibri" w:eastAsia="Times New Roman" w:hAnsi="Calibri" w:cs="Times New Roman"/>
                <w:u w:val="single"/>
                <w:lang w:val="en-US" w:eastAsia="it-IT"/>
              </w:rPr>
              <w:t>[</w:t>
            </w:r>
            <w:r>
              <w:t>10</w:t>
            </w:r>
            <w:r w:rsidR="000F7FC2" w:rsidRPr="00E7440D">
              <w:rPr>
                <w:rStyle w:val="Rimandonotaapidipagina"/>
                <w:color w:val="FFFFFF" w:themeColor="background1"/>
              </w:rPr>
              <w:footnoteReference w:id="6"/>
            </w:r>
            <w:r w:rsidR="000F7FC2" w:rsidRPr="00E7440D">
              <w:rPr>
                <w:rFonts w:ascii="Calibri" w:eastAsia="Times New Roman" w:hAnsi="Calibri" w:cs="Times New Roman"/>
                <w:u w:val="single"/>
                <w:lang w:val="en-US" w:eastAsia="it-IT"/>
              </w:rPr>
              <w:t>]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Dipartimento per il Commercio Internazionale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u w:val="single"/>
                <w:lang w:eastAsia="it-IT"/>
              </w:rPr>
            </w:pPr>
            <w:r>
              <w:rPr>
                <w:rFonts w:ascii="Calibri" w:eastAsia="Times New Roman" w:hAnsi="Calibri" w:cs="Times New Roman"/>
                <w:u w:val="single"/>
                <w:lang w:val="en-US" w:eastAsia="it-IT"/>
              </w:rPr>
              <w:t>Repubblica Ceca</w:t>
            </w:r>
            <w:r w:rsidRPr="00E7440D">
              <w:rPr>
                <w:rFonts w:ascii="Calibri" w:eastAsia="Times New Roman" w:hAnsi="Calibri" w:cs="Times New Roman"/>
                <w:u w:val="single"/>
                <w:lang w:val="en-US" w:eastAsia="it-IT"/>
              </w:rPr>
              <w:t>[</w:t>
            </w:r>
            <w:r>
              <w:rPr>
                <w:rFonts w:ascii="Calibri" w:eastAsia="Times New Roman" w:hAnsi="Calibri" w:cs="Times New Roman"/>
                <w:u w:val="single"/>
                <w:lang w:val="en-US" w:eastAsia="it-IT"/>
              </w:rPr>
              <w:t>11</w:t>
            </w:r>
            <w:r w:rsidRPr="00E7440D">
              <w:rPr>
                <w:rFonts w:ascii="Calibri" w:eastAsia="Times New Roman" w:hAnsi="Calibri" w:cs="Times New Roman"/>
                <w:u w:val="single"/>
                <w:lang w:val="en-US" w:eastAsia="it-IT"/>
              </w:rPr>
              <w:t>]</w:t>
            </w:r>
            <w:r w:rsidRPr="00E7440D">
              <w:t xml:space="preserve"> 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degli Affari Esteri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</w:tcPr>
          <w:p w:rsidR="00EF7753" w:rsidRPr="00E9251B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val="en-US" w:eastAsia="it-IT"/>
              </w:rPr>
              <w:lastRenderedPageBreak/>
              <w:t>Romania</w:t>
            </w:r>
            <w:r>
              <w:rPr>
                <w:rFonts w:ascii="Calibri" w:eastAsia="Times New Roman" w:hAnsi="Calibri" w:cs="Times New Roman"/>
                <w:lang w:val="en-US" w:eastAsia="it-IT"/>
              </w:rPr>
              <w:t xml:space="preserve"> [12]</w:t>
            </w:r>
          </w:p>
        </w:tc>
        <w:tc>
          <w:tcPr>
            <w:tcW w:w="3607" w:type="dxa"/>
            <w:noWrap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</w:tcPr>
          <w:p w:rsidR="00EF7753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</w:tcPr>
          <w:p w:rsidR="00EF7753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degli Affari Esteri</w:t>
            </w:r>
          </w:p>
          <w:p w:rsidR="00EF7753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Dipartimento controllo esportazioni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u w:val="single"/>
                <w:lang w:eastAsia="it-IT"/>
              </w:rPr>
              <w:t>Slova</w:t>
            </w:r>
            <w:r>
              <w:rPr>
                <w:rFonts w:ascii="Calibri" w:eastAsia="Times New Roman" w:hAnsi="Calibri" w:cs="Times New Roman"/>
                <w:u w:val="single"/>
                <w:lang w:eastAsia="it-IT"/>
              </w:rPr>
              <w:t>cchia</w:t>
            </w:r>
            <w:r w:rsidRPr="00E7440D">
              <w:rPr>
                <w:rFonts w:ascii="Calibri" w:eastAsia="Times New Roman" w:hAnsi="Calibri" w:cs="Times New Roman"/>
                <w:u w:val="single"/>
                <w:lang w:eastAsia="it-IT"/>
              </w:rPr>
              <w:t>[</w:t>
            </w:r>
            <w:r w:rsidRPr="00E7440D">
              <w:rPr>
                <w:rFonts w:ascii="Calibri" w:eastAsia="Times New Roman" w:hAnsi="Calibri" w:cs="Times New Roman"/>
                <w:lang w:eastAsia="it-IT"/>
              </w:rPr>
              <w:t>1</w:t>
            </w:r>
            <w:r>
              <w:rPr>
                <w:rFonts w:ascii="Calibri" w:eastAsia="Times New Roman" w:hAnsi="Calibri" w:cs="Times New Roman"/>
                <w:lang w:eastAsia="it-IT"/>
              </w:rPr>
              <w:t>3</w:t>
            </w:r>
            <w:r w:rsidRPr="00E7440D">
              <w:rPr>
                <w:rFonts w:ascii="Calibri" w:eastAsia="Times New Roman" w:hAnsi="Calibri" w:cs="Times New Roman"/>
                <w:lang w:eastAsia="it-IT"/>
              </w:rPr>
              <w:t>]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---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u w:val="single"/>
                <w:lang w:eastAsia="it-IT"/>
              </w:rPr>
            </w:pPr>
            <w:r w:rsidRPr="00046DF5">
              <w:rPr>
                <w:rFonts w:ascii="Calibri" w:eastAsia="Times New Roman" w:hAnsi="Calibri" w:cs="Times New Roman"/>
                <w:u w:val="single"/>
                <w:lang w:eastAsia="it-IT"/>
              </w:rPr>
              <w:t>Slovenia</w:t>
            </w:r>
            <w:r w:rsidRPr="00046DF5">
              <w:rPr>
                <w:u w:val="single"/>
              </w:rPr>
              <w:t>[</w:t>
            </w:r>
            <w:r w:rsidRPr="00382E06">
              <w:footnoteReference w:customMarkFollows="1" w:id="7"/>
              <w:t>1</w:t>
            </w:r>
            <w:r>
              <w:t>4]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della Difesa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val="en-US" w:eastAsia="it-IT"/>
              </w:rPr>
              <w:t>Spagna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9518D1">
              <w:rPr>
                <w:rFonts w:ascii="Calibri" w:eastAsia="Times New Roman" w:hAnsi="Calibri" w:cs="Times New Roman"/>
                <w:lang w:eastAsia="it-IT"/>
              </w:rPr>
              <w:t>Ministero degli Affari E</w:t>
            </w:r>
            <w:r>
              <w:rPr>
                <w:rFonts w:ascii="Calibri" w:eastAsia="Times New Roman" w:hAnsi="Calibri" w:cs="Times New Roman"/>
                <w:lang w:eastAsia="it-IT"/>
              </w:rPr>
              <w:t>steri</w:t>
            </w:r>
            <w:r w:rsidRPr="009518D1">
              <w:rPr>
                <w:rFonts w:ascii="Calibri" w:eastAsia="Times New Roman" w:hAnsi="Calibri" w:cs="Times New Roman"/>
                <w:lang w:eastAsia="it-IT"/>
              </w:rPr>
              <w:t xml:space="preserve"> e della Cooperazione</w:t>
            </w:r>
          </w:p>
        </w:tc>
      </w:tr>
      <w:tr w:rsidR="00EF7753" w:rsidRPr="003E5382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val="en-US" w:eastAsia="it-IT"/>
              </w:rPr>
              <w:t>Svezia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9518D1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Ispettorato dei Prodotti Strategici</w:t>
            </w:r>
          </w:p>
        </w:tc>
      </w:tr>
      <w:tr w:rsidR="00EF7753" w:rsidRPr="00E7440D" w:rsidTr="00A21EC8">
        <w:trPr>
          <w:trHeight w:val="806"/>
        </w:trPr>
        <w:tc>
          <w:tcPr>
            <w:tcW w:w="3498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u w:val="single"/>
                <w:lang w:eastAsia="it-IT"/>
              </w:rPr>
            </w:pPr>
            <w:r>
              <w:rPr>
                <w:rFonts w:ascii="Calibri" w:eastAsia="Times New Roman" w:hAnsi="Calibri" w:cs="Times New Roman"/>
                <w:u w:val="single"/>
                <w:lang w:val="en-US" w:eastAsia="it-IT"/>
              </w:rPr>
              <w:t>Ungheria</w:t>
            </w:r>
            <w:r w:rsidRPr="003744BF">
              <w:rPr>
                <w:rFonts w:ascii="Calibri" w:eastAsia="Times New Roman" w:hAnsi="Calibri" w:cs="Times New Roman"/>
                <w:lang w:val="en-US" w:eastAsia="it-IT"/>
              </w:rPr>
              <w:t>[</w:t>
            </w:r>
            <w:r>
              <w:rPr>
                <w:rFonts w:ascii="Calibri" w:eastAsia="Times New Roman" w:hAnsi="Calibri" w:cs="Times New Roman"/>
                <w:lang w:val="en-US" w:eastAsia="it-IT"/>
              </w:rPr>
              <w:t>15</w:t>
            </w:r>
            <w:r w:rsidRPr="003744BF">
              <w:rPr>
                <w:rFonts w:ascii="Calibri" w:eastAsia="Times New Roman" w:hAnsi="Calibri" w:cs="Times New Roman"/>
                <w:lang w:val="en-US" w:eastAsia="it-IT"/>
              </w:rPr>
              <w:t>]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 w:rsidRPr="00E7440D">
              <w:rPr>
                <w:rFonts w:ascii="Calibri" w:eastAsia="Times New Roman" w:hAnsi="Calibri" w:cs="Times New Roman"/>
                <w:lang w:eastAsia="it-IT"/>
              </w:rPr>
              <w:t>No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Sì</w:t>
            </w:r>
          </w:p>
        </w:tc>
        <w:tc>
          <w:tcPr>
            <w:tcW w:w="3607" w:type="dxa"/>
            <w:noWrap/>
            <w:hideMark/>
          </w:tcPr>
          <w:p w:rsidR="00EF7753" w:rsidRPr="00E7440D" w:rsidRDefault="00EF7753" w:rsidP="00A21EC8">
            <w:pPr>
              <w:rPr>
                <w:rFonts w:ascii="Calibri" w:eastAsia="Times New Roman" w:hAnsi="Calibri" w:cs="Times New Roman"/>
                <w:lang w:eastAsia="it-IT"/>
              </w:rPr>
            </w:pPr>
            <w:r>
              <w:rPr>
                <w:rFonts w:ascii="Calibri" w:eastAsia="Times New Roman" w:hAnsi="Calibri" w:cs="Times New Roman"/>
                <w:lang w:eastAsia="it-IT"/>
              </w:rPr>
              <w:t>Ministero degli Affari Esteri</w:t>
            </w:r>
          </w:p>
        </w:tc>
      </w:tr>
    </w:tbl>
    <w:p w:rsidR="00EF7753" w:rsidRPr="003E5382" w:rsidRDefault="00EF7753" w:rsidP="00EF7753"/>
    <w:p w:rsidR="00EF7753" w:rsidRPr="003E5382" w:rsidRDefault="00EF7753" w:rsidP="00EF7753">
      <w:pPr>
        <w:rPr>
          <w:b/>
          <w:sz w:val="28"/>
          <w:szCs w:val="28"/>
        </w:rPr>
      </w:pPr>
    </w:p>
    <w:p w:rsidR="00EF7753" w:rsidRPr="003E5382" w:rsidRDefault="00EF7753" w:rsidP="00EF7753">
      <w:pPr>
        <w:rPr>
          <w:b/>
          <w:sz w:val="28"/>
          <w:szCs w:val="28"/>
        </w:rPr>
      </w:pPr>
      <w:r w:rsidRPr="003E5382">
        <w:rPr>
          <w:b/>
          <w:sz w:val="28"/>
          <w:szCs w:val="28"/>
        </w:rPr>
        <w:br w:type="page"/>
      </w:r>
    </w:p>
    <w:p w:rsidR="00EF7753" w:rsidRPr="0071290B" w:rsidRDefault="00EF7753" w:rsidP="00EF7753">
      <w:pPr>
        <w:overflowPunct w:val="0"/>
        <w:autoSpaceDE w:val="0"/>
        <w:autoSpaceDN w:val="0"/>
        <w:jc w:val="center"/>
        <w:rPr>
          <w:b/>
          <w:bCs/>
          <w:i/>
          <w:iCs/>
          <w:sz w:val="52"/>
          <w:szCs w:val="52"/>
          <w:u w:val="single"/>
          <w:lang w:eastAsia="nl-NL"/>
        </w:rPr>
      </w:pPr>
      <w:r>
        <w:rPr>
          <w:rFonts w:ascii="Calibri" w:eastAsia="Times New Roman" w:hAnsi="Calibri" w:cs="Times New Roman"/>
          <w:sz w:val="52"/>
          <w:szCs w:val="52"/>
          <w:u w:val="single"/>
          <w:lang w:eastAsia="it-IT"/>
        </w:rPr>
        <w:lastRenderedPageBreak/>
        <w:t>Paesi Bassi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1870"/>
        <w:gridCol w:w="2836"/>
        <w:gridCol w:w="3024"/>
      </w:tblGrid>
      <w:tr w:rsidR="00EF7753" w:rsidTr="000F7FC2">
        <w:trPr>
          <w:trHeight w:val="940"/>
          <w:jc w:val="center"/>
        </w:trPr>
        <w:tc>
          <w:tcPr>
            <w:tcW w:w="1918" w:type="dxa"/>
            <w:tcBorders>
              <w:top w:val="nil"/>
              <w:left w:val="nil"/>
              <w:bottom w:val="single" w:sz="12" w:space="0" w:color="auto"/>
              <w:right w:val="single" w:sz="8" w:space="0" w:color="FFFFFF"/>
            </w:tcBorders>
          </w:tcPr>
          <w:p w:rsidR="00EF7753" w:rsidRDefault="00EF7753" w:rsidP="00A21EC8">
            <w:pPr>
              <w:overflowPunct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  <w:lang w:eastAsia="nl-NL"/>
              </w:rPr>
            </w:pPr>
          </w:p>
        </w:tc>
        <w:tc>
          <w:tcPr>
            <w:tcW w:w="470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BE5F1"/>
          </w:tcPr>
          <w:p w:rsidR="00EF7753" w:rsidRPr="00042249" w:rsidRDefault="00EF7753" w:rsidP="00A21EC8">
            <w:pPr>
              <w:overflowPunct w:val="0"/>
              <w:autoSpaceDE w:val="0"/>
              <w:autoSpaceDN w:val="0"/>
              <w:spacing w:before="11"/>
              <w:rPr>
                <w:rFonts w:ascii="Calibri" w:hAnsi="Calibri"/>
                <w:b/>
                <w:bCs/>
                <w:i/>
                <w:iCs/>
                <w:sz w:val="27"/>
                <w:szCs w:val="27"/>
                <w:lang w:eastAsia="nl-NL"/>
              </w:rPr>
            </w:pPr>
          </w:p>
          <w:p w:rsidR="00EF7753" w:rsidRPr="003E5382" w:rsidRDefault="00EF7753" w:rsidP="00A21EC8">
            <w:pPr>
              <w:overflowPunct w:val="0"/>
              <w:autoSpaceDE w:val="0"/>
              <w:autoSpaceDN w:val="0"/>
              <w:ind w:left="441" w:right="296"/>
              <w:jc w:val="center"/>
              <w:rPr>
                <w:rFonts w:ascii="Calibri" w:hAnsi="Calibri"/>
                <w:b/>
                <w:bCs/>
                <w:lang w:eastAsia="nl-NL"/>
              </w:rPr>
            </w:pPr>
            <w:r w:rsidRPr="00CC1582">
              <w:rPr>
                <w:b/>
                <w:bCs/>
                <w:lang w:eastAsia="nl-NL"/>
              </w:rPr>
              <w:t>Spedizione da o verso un Paese alleato</w:t>
            </w:r>
          </w:p>
        </w:tc>
        <w:tc>
          <w:tcPr>
            <w:tcW w:w="3024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FFFFFF"/>
            </w:tcBorders>
            <w:shd w:val="clear" w:color="auto" w:fill="DBE5F1"/>
            <w:hideMark/>
          </w:tcPr>
          <w:p w:rsidR="00EF7753" w:rsidRPr="003E5382" w:rsidRDefault="00EF7753" w:rsidP="00A21EC8">
            <w:pPr>
              <w:overflowPunct w:val="0"/>
              <w:autoSpaceDE w:val="0"/>
              <w:autoSpaceDN w:val="0"/>
              <w:spacing w:before="72"/>
              <w:ind w:left="271" w:right="268"/>
              <w:jc w:val="center"/>
              <w:rPr>
                <w:rFonts w:ascii="Calibri" w:hAnsi="Calibri"/>
                <w:b/>
                <w:bCs/>
                <w:lang w:eastAsia="nl-NL"/>
              </w:rPr>
            </w:pPr>
            <w:r w:rsidRPr="003E5382">
              <w:rPr>
                <w:b/>
                <w:bCs/>
                <w:lang w:eastAsia="nl-NL"/>
              </w:rPr>
              <w:t xml:space="preserve">Da un </w:t>
            </w:r>
            <w:r>
              <w:rPr>
                <w:b/>
                <w:bCs/>
                <w:lang w:eastAsia="nl-NL"/>
              </w:rPr>
              <w:t>Paese terzo ad un Paese t</w:t>
            </w:r>
            <w:r w:rsidRPr="003E5382">
              <w:rPr>
                <w:b/>
                <w:bCs/>
                <w:lang w:eastAsia="nl-NL"/>
              </w:rPr>
              <w:t>erzo</w:t>
            </w:r>
          </w:p>
          <w:p w:rsidR="00EF7753" w:rsidRDefault="00EF7753" w:rsidP="00A21EC8">
            <w:pPr>
              <w:overflowPunct w:val="0"/>
              <w:autoSpaceDE w:val="0"/>
              <w:autoSpaceDN w:val="0"/>
              <w:ind w:left="271" w:right="268"/>
              <w:jc w:val="center"/>
              <w:rPr>
                <w:rFonts w:ascii="Calibri" w:hAnsi="Calibri"/>
                <w:b/>
                <w:bCs/>
                <w:lang w:eastAsia="nl-NL"/>
              </w:rPr>
            </w:pPr>
            <w:r w:rsidRPr="003E5382">
              <w:rPr>
                <w:b/>
                <w:bCs/>
                <w:lang w:eastAsia="nl-NL"/>
              </w:rPr>
              <w:t>(nessun alleato coinvolto)</w:t>
            </w:r>
          </w:p>
        </w:tc>
      </w:tr>
      <w:tr w:rsidR="00EF7753" w:rsidTr="000F7FC2">
        <w:trPr>
          <w:trHeight w:val="940"/>
          <w:jc w:val="center"/>
        </w:trPr>
        <w:tc>
          <w:tcPr>
            <w:tcW w:w="191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000000"/>
              <w:right w:val="single" w:sz="8" w:space="0" w:color="000000"/>
            </w:tcBorders>
            <w:shd w:val="clear" w:color="auto" w:fill="C6D9F1"/>
          </w:tcPr>
          <w:p w:rsidR="00EF7753" w:rsidRPr="003E5382" w:rsidRDefault="00EF7753" w:rsidP="00A21EC8">
            <w:pPr>
              <w:overflowPunct w:val="0"/>
              <w:autoSpaceDE w:val="0"/>
              <w:autoSpaceDN w:val="0"/>
              <w:rPr>
                <w:rFonts w:ascii="Calibri" w:hAnsi="Calibri"/>
                <w:b/>
                <w:bCs/>
                <w:i/>
                <w:iCs/>
                <w:lang w:eastAsia="nl-NL"/>
              </w:rPr>
            </w:pPr>
          </w:p>
          <w:p w:rsidR="00EF7753" w:rsidRPr="003E5382" w:rsidRDefault="00EF7753" w:rsidP="00A21EC8">
            <w:pPr>
              <w:overflowPunct w:val="0"/>
              <w:autoSpaceDE w:val="0"/>
              <w:autoSpaceDN w:val="0"/>
              <w:spacing w:before="1"/>
              <w:ind w:left="91" w:right="126"/>
              <w:jc w:val="center"/>
              <w:rPr>
                <w:rFonts w:ascii="Calibri" w:hAnsi="Calibri"/>
                <w:i/>
                <w:iCs/>
                <w:lang w:eastAsia="nl-NL"/>
              </w:rPr>
            </w:pPr>
            <w:r w:rsidRPr="00CC1582">
              <w:rPr>
                <w:i/>
                <w:iCs/>
                <w:lang w:eastAsia="nl-NL"/>
              </w:rPr>
              <w:t xml:space="preserve">Trasbordo (ad esempio da una nave </w:t>
            </w:r>
            <w:r>
              <w:rPr>
                <w:i/>
                <w:iCs/>
                <w:lang w:eastAsia="nl-NL"/>
              </w:rPr>
              <w:t>all’</w:t>
            </w:r>
            <w:r w:rsidRPr="00CC1582">
              <w:rPr>
                <w:i/>
                <w:iCs/>
                <w:lang w:eastAsia="nl-NL"/>
              </w:rPr>
              <w:t>altra)</w:t>
            </w:r>
          </w:p>
        </w:tc>
        <w:tc>
          <w:tcPr>
            <w:tcW w:w="1870" w:type="dxa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hideMark/>
          </w:tcPr>
          <w:p w:rsidR="00EF7753" w:rsidRPr="003E5382" w:rsidRDefault="00EF7753" w:rsidP="00A21EC8">
            <w:pPr>
              <w:overflowPunct w:val="0"/>
              <w:autoSpaceDE w:val="0"/>
              <w:autoSpaceDN w:val="0"/>
              <w:spacing w:before="71"/>
              <w:ind w:left="158" w:right="153"/>
              <w:jc w:val="center"/>
              <w:rPr>
                <w:rFonts w:ascii="Calibri" w:hAnsi="Calibri"/>
                <w:lang w:eastAsia="nl-NL"/>
              </w:rPr>
            </w:pPr>
            <w:r>
              <w:rPr>
                <w:lang w:eastAsia="nl-NL"/>
              </w:rPr>
              <w:t>Sistemi completi</w:t>
            </w:r>
            <w:r w:rsidRPr="00CC1582">
              <w:rPr>
                <w:lang w:eastAsia="nl-NL"/>
              </w:rPr>
              <w:t>, Armi di Piccolo Calibro e Leggere (SALW</w:t>
            </w:r>
            <w:r>
              <w:rPr>
                <w:lang w:eastAsia="nl-NL"/>
              </w:rPr>
              <w:t>) e munizioni</w:t>
            </w:r>
          </w:p>
        </w:tc>
        <w:tc>
          <w:tcPr>
            <w:tcW w:w="28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7E4BD"/>
          </w:tcPr>
          <w:p w:rsidR="00EF7753" w:rsidRPr="003E5382" w:rsidRDefault="00EF7753" w:rsidP="00A21EC8">
            <w:pPr>
              <w:overflowPunct w:val="0"/>
              <w:autoSpaceDE w:val="0"/>
              <w:autoSpaceDN w:val="0"/>
              <w:spacing w:before="10"/>
              <w:ind w:left="130" w:right="154"/>
              <w:jc w:val="center"/>
              <w:rPr>
                <w:rFonts w:ascii="Calibri" w:hAnsi="Calibri"/>
                <w:b/>
                <w:bCs/>
                <w:i/>
                <w:iCs/>
                <w:sz w:val="16"/>
                <w:szCs w:val="16"/>
                <w:lang w:eastAsia="nl-NL"/>
              </w:rPr>
            </w:pPr>
          </w:p>
          <w:p w:rsidR="00EF7753" w:rsidRDefault="00EF7753" w:rsidP="00A21EC8">
            <w:pPr>
              <w:overflowPunct w:val="0"/>
              <w:autoSpaceDE w:val="0"/>
              <w:autoSpaceDN w:val="0"/>
              <w:ind w:left="130" w:right="154"/>
              <w:jc w:val="center"/>
              <w:rPr>
                <w:rFonts w:ascii="Calibri" w:hAnsi="Calibri"/>
                <w:lang w:eastAsia="nl-NL"/>
              </w:rPr>
            </w:pPr>
            <w:r>
              <w:rPr>
                <w:lang w:eastAsia="nl-NL"/>
              </w:rPr>
              <w:t>Licenza Individuale</w:t>
            </w:r>
          </w:p>
        </w:tc>
        <w:tc>
          <w:tcPr>
            <w:tcW w:w="30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000000"/>
              <w:right w:val="single" w:sz="12" w:space="0" w:color="auto"/>
            </w:tcBorders>
            <w:shd w:val="clear" w:color="auto" w:fill="D7E4BD"/>
          </w:tcPr>
          <w:p w:rsidR="00EF7753" w:rsidRDefault="00EF7753" w:rsidP="00A21EC8">
            <w:pPr>
              <w:overflowPunct w:val="0"/>
              <w:autoSpaceDE w:val="0"/>
              <w:autoSpaceDN w:val="0"/>
              <w:rPr>
                <w:rFonts w:ascii="Calibri" w:hAnsi="Calibri"/>
                <w:b/>
                <w:bCs/>
                <w:i/>
                <w:iCs/>
                <w:lang w:eastAsia="nl-NL"/>
              </w:rPr>
            </w:pPr>
          </w:p>
          <w:p w:rsidR="00EF7753" w:rsidRDefault="00EF7753" w:rsidP="00A21EC8">
            <w:pPr>
              <w:overflowPunct w:val="0"/>
              <w:autoSpaceDE w:val="0"/>
              <w:autoSpaceDN w:val="0"/>
              <w:ind w:left="123" w:right="201"/>
              <w:jc w:val="center"/>
              <w:rPr>
                <w:rFonts w:ascii="Calibri" w:hAnsi="Calibri"/>
                <w:lang w:eastAsia="nl-NL"/>
              </w:rPr>
            </w:pPr>
            <w:r>
              <w:rPr>
                <w:lang w:eastAsia="nl-NL"/>
              </w:rPr>
              <w:t>Licenza Individuale</w:t>
            </w:r>
          </w:p>
        </w:tc>
      </w:tr>
      <w:tr w:rsidR="00EF7753" w:rsidTr="000F7FC2">
        <w:trPr>
          <w:trHeight w:val="66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4" w:space="0" w:color="000000"/>
              <w:right w:val="single" w:sz="8" w:space="0" w:color="000000"/>
            </w:tcBorders>
            <w:vAlign w:val="center"/>
            <w:hideMark/>
          </w:tcPr>
          <w:p w:rsidR="00EF7753" w:rsidRDefault="00EF7753" w:rsidP="00A21EC8">
            <w:pPr>
              <w:rPr>
                <w:rFonts w:ascii="Calibri" w:hAnsi="Calibri"/>
                <w:i/>
                <w:iCs/>
                <w:lang w:val="en-US" w:eastAsia="nl-NL"/>
              </w:rPr>
            </w:pPr>
          </w:p>
        </w:tc>
        <w:tc>
          <w:tcPr>
            <w:tcW w:w="1870" w:type="dxa"/>
            <w:vMerge w:val="restart"/>
            <w:tcBorders>
              <w:top w:val="nil"/>
              <w:left w:val="nil"/>
              <w:bottom w:val="single" w:sz="24" w:space="0" w:color="000000"/>
              <w:right w:val="single" w:sz="8" w:space="0" w:color="000000"/>
            </w:tcBorders>
            <w:shd w:val="clear" w:color="auto" w:fill="C6D9F1"/>
          </w:tcPr>
          <w:p w:rsidR="00EF7753" w:rsidRDefault="00EF7753" w:rsidP="00A21EC8">
            <w:pPr>
              <w:overflowPunct w:val="0"/>
              <w:autoSpaceDE w:val="0"/>
              <w:autoSpaceDN w:val="0"/>
              <w:rPr>
                <w:rFonts w:ascii="Calibri" w:hAnsi="Calibri"/>
                <w:b/>
                <w:bCs/>
                <w:i/>
                <w:iCs/>
                <w:lang w:eastAsia="nl-NL"/>
              </w:rPr>
            </w:pPr>
          </w:p>
          <w:p w:rsidR="00EF7753" w:rsidRDefault="00EF7753" w:rsidP="00A21EC8">
            <w:pPr>
              <w:overflowPunct w:val="0"/>
              <w:autoSpaceDE w:val="0"/>
              <w:autoSpaceDN w:val="0"/>
              <w:ind w:left="132" w:right="153"/>
              <w:jc w:val="center"/>
              <w:rPr>
                <w:rFonts w:ascii="Calibri" w:hAnsi="Calibri"/>
                <w:lang w:eastAsia="nl-NL"/>
              </w:rPr>
            </w:pPr>
            <w:r>
              <w:rPr>
                <w:lang w:eastAsia="nl-NL"/>
              </w:rPr>
              <w:t>Parti e componenti</w:t>
            </w:r>
          </w:p>
        </w:tc>
        <w:tc>
          <w:tcPr>
            <w:tcW w:w="2836" w:type="dxa"/>
            <w:tcBorders>
              <w:top w:val="single" w:sz="12" w:space="0" w:color="auto"/>
              <w:left w:val="nil"/>
              <w:bottom w:val="single" w:sz="8" w:space="0" w:color="000000"/>
              <w:right w:val="single" w:sz="12" w:space="0" w:color="auto"/>
            </w:tcBorders>
            <w:shd w:val="clear" w:color="auto" w:fill="FAC090"/>
            <w:hideMark/>
          </w:tcPr>
          <w:p w:rsidR="00EF7753" w:rsidRDefault="00EF7753" w:rsidP="00A21EC8">
            <w:pPr>
              <w:pStyle w:val="Paragrafoelenco"/>
              <w:numPr>
                <w:ilvl w:val="0"/>
                <w:numId w:val="1"/>
              </w:numPr>
              <w:tabs>
                <w:tab w:val="left" w:pos="266"/>
              </w:tabs>
              <w:overflowPunct w:val="0"/>
              <w:autoSpaceDE w:val="0"/>
              <w:autoSpaceDN w:val="0"/>
              <w:spacing w:before="71"/>
              <w:ind w:left="124" w:right="148" w:firstLine="0"/>
              <w:rPr>
                <w:lang w:eastAsia="nl-NL"/>
              </w:rPr>
            </w:pPr>
            <w:r>
              <w:rPr>
                <w:lang w:eastAsia="nl-NL"/>
              </w:rPr>
              <w:t>Licenza Generale</w:t>
            </w:r>
            <w:r w:rsidRPr="00E9150C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>NL007*</w:t>
            </w:r>
          </w:p>
          <w:p w:rsidR="00EF7753" w:rsidRPr="003E5382" w:rsidRDefault="00EF7753" w:rsidP="00A21EC8">
            <w:pPr>
              <w:pStyle w:val="Paragrafoelenco"/>
              <w:numPr>
                <w:ilvl w:val="0"/>
                <w:numId w:val="1"/>
              </w:numPr>
              <w:tabs>
                <w:tab w:val="left" w:pos="272"/>
              </w:tabs>
              <w:overflowPunct w:val="0"/>
              <w:autoSpaceDE w:val="0"/>
              <w:autoSpaceDN w:val="0"/>
              <w:ind w:left="130" w:right="154" w:firstLine="0"/>
              <w:rPr>
                <w:rFonts w:ascii="Calibri" w:hAnsi="Calibri"/>
                <w:lang w:eastAsia="nl-NL"/>
              </w:rPr>
            </w:pPr>
            <w:r>
              <w:rPr>
                <w:lang w:eastAsia="nl-NL"/>
              </w:rPr>
              <w:t>Licenza Generale</w:t>
            </w:r>
            <w:r w:rsidRPr="00E9150C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>NL008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24" w:space="0" w:color="000000"/>
              <w:right w:val="single" w:sz="12" w:space="0" w:color="auto"/>
            </w:tcBorders>
            <w:vAlign w:val="center"/>
            <w:hideMark/>
          </w:tcPr>
          <w:p w:rsidR="00EF7753" w:rsidRDefault="00EF7753" w:rsidP="00A21EC8">
            <w:pPr>
              <w:rPr>
                <w:rFonts w:ascii="Calibri" w:hAnsi="Calibri"/>
                <w:lang w:eastAsia="nl-NL"/>
              </w:rPr>
            </w:pPr>
          </w:p>
        </w:tc>
      </w:tr>
      <w:tr w:rsidR="00EF7753" w:rsidRPr="00171A7E" w:rsidTr="000F7FC2">
        <w:trPr>
          <w:trHeight w:val="1480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EF7753" w:rsidRDefault="00EF7753" w:rsidP="00A21EC8">
            <w:pPr>
              <w:rPr>
                <w:rFonts w:ascii="Calibri" w:hAnsi="Calibri"/>
                <w:i/>
                <w:iCs/>
                <w:lang w:val="en-US"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EF7753" w:rsidRDefault="00EF7753" w:rsidP="00A21EC8">
            <w:pPr>
              <w:rPr>
                <w:rFonts w:ascii="Calibri" w:hAnsi="Calibri"/>
                <w:lang w:eastAsia="nl-NL"/>
              </w:rPr>
            </w:pPr>
          </w:p>
        </w:tc>
        <w:tc>
          <w:tcPr>
            <w:tcW w:w="28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7E4BD"/>
            <w:hideMark/>
          </w:tcPr>
          <w:p w:rsidR="00EF7753" w:rsidRPr="00171A7E" w:rsidRDefault="00EF7753" w:rsidP="00A21EC8">
            <w:pPr>
              <w:overflowPunct w:val="0"/>
              <w:autoSpaceDE w:val="0"/>
              <w:autoSpaceDN w:val="0"/>
              <w:spacing w:before="61"/>
              <w:ind w:left="130" w:right="154"/>
              <w:jc w:val="center"/>
              <w:rPr>
                <w:rFonts w:ascii="Calibri" w:hAnsi="Calibri"/>
                <w:i/>
                <w:iCs/>
                <w:lang w:eastAsia="nl-NL"/>
              </w:rPr>
            </w:pPr>
            <w:r w:rsidRPr="00CC1582">
              <w:rPr>
                <w:i/>
                <w:iCs/>
                <w:lang w:eastAsia="nl-NL"/>
              </w:rPr>
              <w:t>* Arabia Saudita, Emirati Arabi Uniti, Qatar, Yemen sono stati rimossi da questa Licenza Generale dal 19 luglio 2016 (</w:t>
            </w:r>
            <w:r>
              <w:rPr>
                <w:i/>
                <w:iCs/>
                <w:lang w:eastAsia="nl-NL"/>
              </w:rPr>
              <w:t>richiedono una Licenza Individuale</w:t>
            </w:r>
            <w:r w:rsidRPr="00CC1582">
              <w:rPr>
                <w:i/>
                <w:iCs/>
                <w:lang w:eastAsia="nl-NL"/>
              </w:rPr>
              <w:t>)</w:t>
            </w:r>
          </w:p>
        </w:tc>
        <w:tc>
          <w:tcPr>
            <w:tcW w:w="0" w:type="auto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F7753" w:rsidRPr="00171A7E" w:rsidRDefault="00EF7753" w:rsidP="00A21EC8">
            <w:pPr>
              <w:rPr>
                <w:rFonts w:ascii="Calibri" w:hAnsi="Calibri"/>
                <w:lang w:eastAsia="nl-NL"/>
              </w:rPr>
            </w:pPr>
          </w:p>
        </w:tc>
      </w:tr>
      <w:tr w:rsidR="00EF7753" w:rsidTr="000F7FC2">
        <w:trPr>
          <w:trHeight w:val="1200"/>
          <w:jc w:val="center"/>
        </w:trPr>
        <w:tc>
          <w:tcPr>
            <w:tcW w:w="3788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C6D9F1"/>
            <w:hideMark/>
          </w:tcPr>
          <w:p w:rsidR="00EF7753" w:rsidRPr="00CC1582" w:rsidRDefault="00EF7753" w:rsidP="00A21EC8">
            <w:pPr>
              <w:overflowPunct w:val="0"/>
              <w:autoSpaceDE w:val="0"/>
              <w:autoSpaceDN w:val="0"/>
              <w:spacing w:before="197"/>
              <w:ind w:left="178" w:right="208"/>
              <w:jc w:val="center"/>
              <w:rPr>
                <w:rFonts w:ascii="Calibri" w:hAnsi="Calibri"/>
                <w:i/>
                <w:iCs/>
                <w:lang w:eastAsia="nl-NL"/>
              </w:rPr>
            </w:pPr>
            <w:r w:rsidRPr="00CC1582">
              <w:rPr>
                <w:i/>
                <w:iCs/>
                <w:lang w:eastAsia="nl-NL"/>
              </w:rPr>
              <w:t>Transito</w:t>
            </w:r>
          </w:p>
          <w:p w:rsidR="00EF7753" w:rsidRPr="003E5382" w:rsidRDefault="00EF7753" w:rsidP="00A21EC8">
            <w:pPr>
              <w:overflowPunct w:val="0"/>
              <w:autoSpaceDE w:val="0"/>
              <w:autoSpaceDN w:val="0"/>
              <w:ind w:left="134"/>
              <w:jc w:val="center"/>
              <w:rPr>
                <w:rFonts w:ascii="Calibri" w:hAnsi="Calibri"/>
                <w:i/>
                <w:iCs/>
                <w:lang w:eastAsia="nl-NL"/>
              </w:rPr>
            </w:pPr>
            <w:r w:rsidRPr="00CC1582">
              <w:rPr>
                <w:i/>
                <w:iCs/>
                <w:lang w:eastAsia="nl-NL"/>
              </w:rPr>
              <w:t>(il carico non viene trasbordato)</w:t>
            </w:r>
          </w:p>
        </w:tc>
        <w:tc>
          <w:tcPr>
            <w:tcW w:w="283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CCC1DA"/>
            <w:hideMark/>
          </w:tcPr>
          <w:p w:rsidR="00EF7753" w:rsidRPr="00171A7E" w:rsidRDefault="00EF7753" w:rsidP="00A21EC8">
            <w:pPr>
              <w:overflowPunct w:val="0"/>
              <w:autoSpaceDE w:val="0"/>
              <w:autoSpaceDN w:val="0"/>
              <w:spacing w:before="197"/>
              <w:jc w:val="center"/>
              <w:rPr>
                <w:rFonts w:ascii="Calibri" w:hAnsi="Calibri"/>
                <w:i/>
                <w:iCs/>
                <w:lang w:eastAsia="nl-NL"/>
              </w:rPr>
            </w:pPr>
            <w:r>
              <w:rPr>
                <w:lang w:eastAsia="nl-NL"/>
              </w:rPr>
              <w:t>Requisito di n</w:t>
            </w:r>
            <w:r w:rsidRPr="00E9150C">
              <w:rPr>
                <w:lang w:eastAsia="nl-NL"/>
              </w:rPr>
              <w:t xml:space="preserve">otifica </w:t>
            </w:r>
            <w:r w:rsidRPr="00E9150C">
              <w:rPr>
                <w:i/>
                <w:iCs/>
                <w:lang w:eastAsia="nl-NL"/>
              </w:rPr>
              <w:t>(alle Dog</w:t>
            </w:r>
            <w:r>
              <w:rPr>
                <w:i/>
                <w:iCs/>
                <w:lang w:eastAsia="nl-NL"/>
              </w:rPr>
              <w:t>ane, all’Agenzia Centrale per importazioni ed esportazioni)</w:t>
            </w:r>
          </w:p>
        </w:tc>
        <w:tc>
          <w:tcPr>
            <w:tcW w:w="30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7E4BD"/>
          </w:tcPr>
          <w:p w:rsidR="00EF7753" w:rsidRPr="00171A7E" w:rsidRDefault="00EF7753" w:rsidP="00A21EC8">
            <w:pPr>
              <w:overflowPunct w:val="0"/>
              <w:autoSpaceDE w:val="0"/>
              <w:autoSpaceDN w:val="0"/>
              <w:jc w:val="center"/>
              <w:rPr>
                <w:rFonts w:ascii="Calibri" w:hAnsi="Calibri"/>
                <w:b/>
                <w:bCs/>
                <w:i/>
                <w:iCs/>
                <w:lang w:eastAsia="nl-NL"/>
              </w:rPr>
            </w:pPr>
          </w:p>
          <w:p w:rsidR="00EF7753" w:rsidRDefault="00EF7753" w:rsidP="00A21EC8">
            <w:pPr>
              <w:overflowPunct w:val="0"/>
              <w:autoSpaceDE w:val="0"/>
              <w:autoSpaceDN w:val="0"/>
              <w:spacing w:before="197"/>
              <w:ind w:left="123" w:right="201"/>
              <w:jc w:val="center"/>
              <w:rPr>
                <w:rFonts w:ascii="Calibri" w:hAnsi="Calibri"/>
                <w:lang w:eastAsia="nl-NL"/>
              </w:rPr>
            </w:pPr>
            <w:r>
              <w:rPr>
                <w:lang w:eastAsia="nl-NL"/>
              </w:rPr>
              <w:t>Licenza Individuale</w:t>
            </w:r>
          </w:p>
        </w:tc>
      </w:tr>
    </w:tbl>
    <w:p w:rsidR="007C0B57" w:rsidRDefault="007C0B57" w:rsidP="000F7FC2"/>
    <w:sectPr w:rsidR="007C0B57" w:rsidSect="00B64D9B">
      <w:footerReference w:type="default" r:id="rId9"/>
      <w:pgSz w:w="16838" w:h="11906" w:orient="landscape"/>
      <w:pgMar w:top="426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5BC9" w:rsidRDefault="00B55BC9" w:rsidP="00EF7753">
      <w:pPr>
        <w:spacing w:after="0" w:line="240" w:lineRule="auto"/>
      </w:pPr>
      <w:r>
        <w:separator/>
      </w:r>
    </w:p>
  </w:endnote>
  <w:endnote w:type="continuationSeparator" w:id="0">
    <w:p w:rsidR="00B55BC9" w:rsidRDefault="00B55BC9" w:rsidP="00EF7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2510152"/>
      <w:docPartObj>
        <w:docPartGallery w:val="Page Numbers (Bottom of Page)"/>
        <w:docPartUnique/>
      </w:docPartObj>
    </w:sdtPr>
    <w:sdtEndPr/>
    <w:sdtContent>
      <w:p w:rsidR="00EF7753" w:rsidRDefault="00EF7753" w:rsidP="005058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FAD">
          <w:rPr>
            <w:noProof/>
          </w:rPr>
          <w:t>1</w:t>
        </w:r>
        <w:r>
          <w:fldChar w:fldCharType="end"/>
        </w:r>
      </w:p>
    </w:sdtContent>
  </w:sdt>
  <w:p w:rsidR="00EF7753" w:rsidRDefault="00EF775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7784175"/>
      <w:docPartObj>
        <w:docPartGallery w:val="Page Numbers (Bottom of Page)"/>
        <w:docPartUnique/>
      </w:docPartObj>
    </w:sdtPr>
    <w:sdtEndPr/>
    <w:sdtContent>
      <w:p w:rsidR="00382E06" w:rsidRDefault="00BE03FF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FAD">
          <w:rPr>
            <w:noProof/>
          </w:rPr>
          <w:t>5</w:t>
        </w:r>
        <w:r>
          <w:fldChar w:fldCharType="end"/>
        </w:r>
      </w:p>
    </w:sdtContent>
  </w:sdt>
  <w:p w:rsidR="00382E06" w:rsidRDefault="00B55B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5BC9" w:rsidRDefault="00B55BC9" w:rsidP="00EF7753">
      <w:pPr>
        <w:spacing w:after="0" w:line="240" w:lineRule="auto"/>
      </w:pPr>
      <w:r>
        <w:separator/>
      </w:r>
    </w:p>
  </w:footnote>
  <w:footnote w:type="continuationSeparator" w:id="0">
    <w:p w:rsidR="00B55BC9" w:rsidRDefault="00B55BC9" w:rsidP="00EF7753">
      <w:pPr>
        <w:spacing w:after="0" w:line="240" w:lineRule="auto"/>
      </w:pPr>
      <w:r>
        <w:continuationSeparator/>
      </w:r>
    </w:p>
  </w:footnote>
  <w:footnote w:id="1">
    <w:p w:rsidR="00EF7753" w:rsidRPr="002B34DB" w:rsidRDefault="00EF7753" w:rsidP="00EF7753">
      <w:pPr>
        <w:pStyle w:val="Testonotaapidipagina"/>
        <w:ind w:left="142" w:hanging="142"/>
        <w:jc w:val="both"/>
        <w:rPr>
          <w:sz w:val="16"/>
          <w:szCs w:val="16"/>
        </w:rPr>
      </w:pPr>
      <w:r w:rsidRPr="00382E06">
        <w:rPr>
          <w:sz w:val="16"/>
          <w:szCs w:val="16"/>
          <w:lang w:val="en-US"/>
        </w:rPr>
        <w:footnoteRef/>
      </w:r>
      <w:r>
        <w:rPr>
          <w:sz w:val="16"/>
          <w:szCs w:val="16"/>
        </w:rPr>
        <w:t xml:space="preserve"> Secondo l’Atto sul materiale b</w:t>
      </w:r>
      <w:r w:rsidRPr="0079799F">
        <w:rPr>
          <w:sz w:val="16"/>
          <w:szCs w:val="16"/>
        </w:rPr>
        <w:t>ellico, è richiesta un’autorizzazione da parte del Ministero dell’Interno per le esportazioni, importazioni, transiti commerciali di materiale d’armamento (carri armati, obici, granate) a meno che il trasferimento non riguardi la riparazione di materiale bellico che avvenga tra</w:t>
      </w:r>
      <w:r>
        <w:rPr>
          <w:sz w:val="16"/>
          <w:szCs w:val="16"/>
        </w:rPr>
        <w:t xml:space="preserve"> Paesi dell’UE (le autorità di P</w:t>
      </w:r>
      <w:r w:rsidRPr="0079799F">
        <w:rPr>
          <w:sz w:val="16"/>
          <w:szCs w:val="16"/>
        </w:rPr>
        <w:t>olizia</w:t>
      </w:r>
      <w:r>
        <w:rPr>
          <w:sz w:val="16"/>
          <w:szCs w:val="16"/>
        </w:rPr>
        <w:t xml:space="preserve"> devono essere notificate)</w:t>
      </w:r>
      <w:r w:rsidRPr="0079799F">
        <w:rPr>
          <w:sz w:val="16"/>
          <w:szCs w:val="16"/>
        </w:rPr>
        <w:t xml:space="preserve">. </w:t>
      </w:r>
      <w:r w:rsidRPr="002B34DB">
        <w:rPr>
          <w:sz w:val="16"/>
          <w:szCs w:val="16"/>
        </w:rPr>
        <w:t xml:space="preserve">Il materiale d’armamento scortato da truppe straniere necessita </w:t>
      </w:r>
      <w:r>
        <w:rPr>
          <w:sz w:val="16"/>
          <w:szCs w:val="16"/>
        </w:rPr>
        <w:t xml:space="preserve">di </w:t>
      </w:r>
      <w:r w:rsidRPr="002B34DB">
        <w:rPr>
          <w:sz w:val="16"/>
          <w:szCs w:val="16"/>
        </w:rPr>
        <w:t>un</w:t>
      </w:r>
      <w:r>
        <w:rPr>
          <w:sz w:val="16"/>
          <w:szCs w:val="16"/>
        </w:rPr>
        <w:t>’autorizzazione</w:t>
      </w:r>
      <w:r w:rsidRPr="002B34DB">
        <w:rPr>
          <w:sz w:val="16"/>
          <w:szCs w:val="16"/>
        </w:rPr>
        <w:t xml:space="preserve"> da parte del Ministero della Difesa</w:t>
      </w:r>
      <w:r>
        <w:rPr>
          <w:sz w:val="16"/>
          <w:szCs w:val="16"/>
        </w:rPr>
        <w:t xml:space="preserve"> </w:t>
      </w:r>
      <w:r w:rsidRPr="002B34DB">
        <w:rPr>
          <w:sz w:val="16"/>
          <w:szCs w:val="16"/>
        </w:rPr>
        <w:t>(</w:t>
      </w:r>
      <w:r>
        <w:rPr>
          <w:sz w:val="16"/>
          <w:szCs w:val="16"/>
        </w:rPr>
        <w:t>nessuna licenza da parte del Ministero dell’Interno</w:t>
      </w:r>
      <w:r w:rsidRPr="002B34DB">
        <w:rPr>
          <w:sz w:val="16"/>
          <w:szCs w:val="16"/>
        </w:rPr>
        <w:t xml:space="preserve">) </w:t>
      </w:r>
      <w:r>
        <w:rPr>
          <w:sz w:val="16"/>
          <w:szCs w:val="16"/>
        </w:rPr>
        <w:t>secondo l’Atto sulle Truppe Straniere</w:t>
      </w:r>
      <w:r w:rsidRPr="002B34DB">
        <w:rPr>
          <w:sz w:val="16"/>
          <w:szCs w:val="16"/>
        </w:rPr>
        <w:t xml:space="preserve">, </w:t>
      </w:r>
      <w:r>
        <w:rPr>
          <w:sz w:val="16"/>
          <w:szCs w:val="16"/>
        </w:rPr>
        <w:t>ad esempio il transito in concomitanza di esercitazioni militari.</w:t>
      </w:r>
    </w:p>
    <w:p w:rsidR="00EF7753" w:rsidRPr="00AA4E1E" w:rsidRDefault="00EF7753" w:rsidP="00EF7753">
      <w:pPr>
        <w:pStyle w:val="Testonotaapidipagina"/>
        <w:ind w:left="142"/>
        <w:jc w:val="both"/>
        <w:rPr>
          <w:sz w:val="16"/>
          <w:szCs w:val="16"/>
        </w:rPr>
      </w:pPr>
      <w:r w:rsidRPr="008F6EA9">
        <w:rPr>
          <w:sz w:val="16"/>
          <w:szCs w:val="16"/>
        </w:rPr>
        <w:t>Gli articoli militari che non siano mate</w:t>
      </w:r>
      <w:r>
        <w:rPr>
          <w:sz w:val="16"/>
          <w:szCs w:val="16"/>
        </w:rPr>
        <w:t>riali d’armamento (fucili</w:t>
      </w:r>
      <w:r w:rsidRPr="008F6EA9">
        <w:rPr>
          <w:sz w:val="16"/>
          <w:szCs w:val="16"/>
        </w:rPr>
        <w:t>,</w:t>
      </w:r>
      <w:r>
        <w:rPr>
          <w:sz w:val="16"/>
          <w:szCs w:val="16"/>
        </w:rPr>
        <w:t xml:space="preserve"> pistole,</w:t>
      </w:r>
      <w:r w:rsidRPr="008F6EA9">
        <w:rPr>
          <w:sz w:val="16"/>
          <w:szCs w:val="16"/>
        </w:rPr>
        <w:t xml:space="preserve"> autocarri militari) potrebbero necessitare </w:t>
      </w:r>
      <w:r>
        <w:rPr>
          <w:sz w:val="16"/>
          <w:szCs w:val="16"/>
        </w:rPr>
        <w:t>di un permesso per il trasferimento, secondo l’Atto sul Commercio Estero, dal Paese intracomunitario di origine nel caso in cui il trasferimento non interessi Paesi terzi</w:t>
      </w:r>
      <w:r w:rsidRPr="008F6EA9">
        <w:rPr>
          <w:sz w:val="16"/>
          <w:szCs w:val="16"/>
        </w:rPr>
        <w:t xml:space="preserve">. </w:t>
      </w:r>
      <w:r>
        <w:rPr>
          <w:sz w:val="16"/>
          <w:szCs w:val="16"/>
        </w:rPr>
        <w:t>N</w:t>
      </w:r>
      <w:r w:rsidRPr="00AA4E1E">
        <w:rPr>
          <w:sz w:val="16"/>
          <w:szCs w:val="16"/>
        </w:rPr>
        <w:t xml:space="preserve">el caso di </w:t>
      </w:r>
      <w:r>
        <w:rPr>
          <w:sz w:val="16"/>
          <w:szCs w:val="16"/>
        </w:rPr>
        <w:t xml:space="preserve">esportazioni, importazioni e transiti di articoli </w:t>
      </w:r>
      <w:r w:rsidRPr="00AA4E1E">
        <w:rPr>
          <w:sz w:val="16"/>
          <w:szCs w:val="16"/>
        </w:rPr>
        <w:t>si deve ottenere una licenza da pa</w:t>
      </w:r>
      <w:r>
        <w:rPr>
          <w:sz w:val="16"/>
          <w:szCs w:val="16"/>
        </w:rPr>
        <w:t>rte del Ministero dell’Economia, secondo l’Atto sul Commercio Estero.</w:t>
      </w:r>
    </w:p>
  </w:footnote>
  <w:footnote w:id="2">
    <w:p w:rsidR="00EF7753" w:rsidRPr="00014CB2" w:rsidRDefault="00EF7753" w:rsidP="00EF7753">
      <w:pPr>
        <w:pStyle w:val="Testonotaapidipagina"/>
        <w:jc w:val="both"/>
        <w:rPr>
          <w:sz w:val="16"/>
          <w:szCs w:val="16"/>
        </w:rPr>
      </w:pPr>
      <w:r w:rsidRPr="00382E06">
        <w:rPr>
          <w:sz w:val="16"/>
          <w:szCs w:val="16"/>
          <w:lang w:val="en-US"/>
        </w:rPr>
        <w:footnoteRef/>
      </w:r>
      <w:r w:rsidRPr="00014CB2">
        <w:rPr>
          <w:sz w:val="16"/>
          <w:szCs w:val="16"/>
        </w:rPr>
        <w:t xml:space="preserve"> </w:t>
      </w:r>
      <w:r>
        <w:rPr>
          <w:sz w:val="16"/>
          <w:szCs w:val="16"/>
        </w:rPr>
        <w:t>L’autorizzazione è possibile</w:t>
      </w:r>
      <w:r w:rsidRPr="00014CB2">
        <w:rPr>
          <w:sz w:val="16"/>
          <w:szCs w:val="16"/>
        </w:rPr>
        <w:t xml:space="preserve">, all’interno dell’UE, in caso di violazione dei divieti inclusi nell’art. 6 </w:t>
      </w:r>
      <w:r>
        <w:rPr>
          <w:sz w:val="16"/>
          <w:szCs w:val="16"/>
        </w:rPr>
        <w:t>del Trattato sul Commercio delle Armi (Arms Trade Treaty).</w:t>
      </w:r>
    </w:p>
    <w:p w:rsidR="00EF7753" w:rsidRDefault="00EF7753" w:rsidP="00EF7753">
      <w:pPr>
        <w:pStyle w:val="Testonotaapidipagina"/>
        <w:ind w:left="142"/>
        <w:jc w:val="both"/>
        <w:rPr>
          <w:sz w:val="16"/>
          <w:szCs w:val="16"/>
        </w:rPr>
      </w:pPr>
      <w:r w:rsidRPr="00F015BC">
        <w:rPr>
          <w:sz w:val="16"/>
          <w:szCs w:val="16"/>
        </w:rPr>
        <w:t xml:space="preserve">Le licenze di transito sono più sistematiche nel caso di transito includente trasbordo (sebbene alcuni Paesi beneficino di alcune esoneri), </w:t>
      </w:r>
      <w:r>
        <w:rPr>
          <w:sz w:val="16"/>
          <w:szCs w:val="16"/>
        </w:rPr>
        <w:t>per il transito senza trasbordo la possibilità di applicare requisiti di licenza si basa su una sospetta violazione dei divieti inclusi nell’art. 6 del Trattato sul Commercio delle Armi</w:t>
      </w:r>
      <w:r w:rsidRPr="00F015BC">
        <w:rPr>
          <w:sz w:val="16"/>
          <w:szCs w:val="16"/>
        </w:rPr>
        <w:t>.</w:t>
      </w:r>
    </w:p>
    <w:p w:rsidR="00EF7753" w:rsidRDefault="00EF7753" w:rsidP="00EF7753">
      <w:pPr>
        <w:pStyle w:val="Testonotaapidipagina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3</w:t>
      </w:r>
      <w:r w:rsidRPr="0011130A">
        <w:rPr>
          <w:sz w:val="16"/>
          <w:szCs w:val="16"/>
        </w:rPr>
        <w:t xml:space="preserve"> </w:t>
      </w:r>
      <w:r>
        <w:rPr>
          <w:sz w:val="16"/>
          <w:szCs w:val="16"/>
        </w:rPr>
        <w:t>Un’ulteriore licenza di esportazione non è necessaria per il transito tramite Cipro di armi convenzionali originanti da uno dei Paesi Membri e destinate ad un altro dei Paesi Membri o Paese terzo, qualora una licenza di esportazione sia stata emessa dal Paese Membro di origine. Il Ministero delle Finanze (Agenzia delle Dogane) è l’Autorità competente nel caso in cui una licenza non sia stata emessa ed una licenza di esportazione sia richiesta.</w:t>
      </w:r>
    </w:p>
    <w:p w:rsidR="00EF7753" w:rsidRPr="00F015BC" w:rsidRDefault="00EF7753" w:rsidP="00EF7753">
      <w:pPr>
        <w:pStyle w:val="Testonotaapidipagina"/>
        <w:ind w:left="142"/>
        <w:jc w:val="both"/>
        <w:rPr>
          <w:sz w:val="16"/>
          <w:szCs w:val="16"/>
        </w:rPr>
      </w:pPr>
    </w:p>
    <w:p w:rsidR="00EF7753" w:rsidRPr="00F015BC" w:rsidRDefault="00EF7753" w:rsidP="00EF7753">
      <w:pPr>
        <w:pStyle w:val="Testonotaapidipagina"/>
        <w:jc w:val="both"/>
      </w:pPr>
    </w:p>
  </w:footnote>
  <w:footnote w:id="3">
    <w:p w:rsidR="00EF7753" w:rsidRDefault="00EF7753" w:rsidP="00EF7753">
      <w:pPr>
        <w:pStyle w:val="Testonotaapidipagina"/>
        <w:jc w:val="both"/>
        <w:rPr>
          <w:sz w:val="16"/>
          <w:szCs w:val="16"/>
        </w:rPr>
      </w:pPr>
      <w:r>
        <w:rPr>
          <w:sz w:val="16"/>
          <w:szCs w:val="16"/>
        </w:rPr>
        <w:t>4 Eccezioni p</w:t>
      </w:r>
      <w:r w:rsidRPr="0011130A">
        <w:rPr>
          <w:sz w:val="16"/>
          <w:szCs w:val="16"/>
        </w:rPr>
        <w:t xml:space="preserve">er </w:t>
      </w:r>
      <w:r>
        <w:rPr>
          <w:sz w:val="16"/>
          <w:szCs w:val="16"/>
        </w:rPr>
        <w:t>alcune</w:t>
      </w:r>
      <w:r w:rsidRPr="0011130A">
        <w:rPr>
          <w:sz w:val="16"/>
          <w:szCs w:val="16"/>
        </w:rPr>
        <w:t xml:space="preserve"> categorie ML.</w:t>
      </w:r>
    </w:p>
    <w:p w:rsidR="00EF7753" w:rsidRPr="0011130A" w:rsidRDefault="00EF7753" w:rsidP="00EF7753">
      <w:pPr>
        <w:pStyle w:val="Testonotaapidipagina"/>
        <w:jc w:val="both"/>
        <w:rPr>
          <w:sz w:val="16"/>
          <w:szCs w:val="16"/>
        </w:rPr>
      </w:pPr>
      <w:r>
        <w:rPr>
          <w:sz w:val="16"/>
          <w:szCs w:val="16"/>
        </w:rPr>
        <w:t>5</w:t>
      </w:r>
      <w:r w:rsidRPr="0011130A">
        <w:rPr>
          <w:sz w:val="16"/>
          <w:szCs w:val="16"/>
        </w:rPr>
        <w:t xml:space="preserve"> Scorta della Polizia in alcuni casi.</w:t>
      </w:r>
    </w:p>
    <w:p w:rsidR="00EF7753" w:rsidRPr="0011130A" w:rsidRDefault="00EF7753" w:rsidP="00EF7753">
      <w:pPr>
        <w:pStyle w:val="Testonotaapidipagina"/>
        <w:ind w:left="142" w:hanging="142"/>
        <w:jc w:val="both"/>
        <w:rPr>
          <w:sz w:val="16"/>
          <w:szCs w:val="16"/>
        </w:rPr>
      </w:pPr>
      <w:r>
        <w:rPr>
          <w:sz w:val="16"/>
          <w:szCs w:val="16"/>
        </w:rPr>
        <w:t>6</w:t>
      </w:r>
      <w:r w:rsidRPr="0011130A">
        <w:rPr>
          <w:sz w:val="16"/>
          <w:szCs w:val="16"/>
        </w:rPr>
        <w:t xml:space="preserve"> Il </w:t>
      </w:r>
      <w:r>
        <w:rPr>
          <w:sz w:val="16"/>
          <w:szCs w:val="16"/>
        </w:rPr>
        <w:t>requisito</w:t>
      </w:r>
      <w:r w:rsidRPr="0011130A">
        <w:rPr>
          <w:sz w:val="16"/>
          <w:szCs w:val="16"/>
        </w:rPr>
        <w:t xml:space="preserve"> di una </w:t>
      </w:r>
      <w:r>
        <w:rPr>
          <w:sz w:val="16"/>
          <w:szCs w:val="16"/>
        </w:rPr>
        <w:t>licenza g</w:t>
      </w:r>
      <w:r w:rsidRPr="0011130A">
        <w:rPr>
          <w:sz w:val="16"/>
          <w:szCs w:val="16"/>
        </w:rPr>
        <w:t xml:space="preserve">enerale si applica al transito di </w:t>
      </w:r>
      <w:r>
        <w:rPr>
          <w:sz w:val="16"/>
          <w:szCs w:val="16"/>
        </w:rPr>
        <w:t>armi belliche</w:t>
      </w:r>
      <w:r w:rsidRPr="0011130A">
        <w:rPr>
          <w:sz w:val="16"/>
          <w:szCs w:val="16"/>
        </w:rPr>
        <w:t xml:space="preserve">. Le </w:t>
      </w:r>
      <w:r>
        <w:rPr>
          <w:sz w:val="16"/>
          <w:szCs w:val="16"/>
        </w:rPr>
        <w:t>l</w:t>
      </w:r>
      <w:r w:rsidRPr="0011130A">
        <w:rPr>
          <w:sz w:val="16"/>
          <w:szCs w:val="16"/>
        </w:rPr>
        <w:t xml:space="preserve">icenze </w:t>
      </w:r>
      <w:r>
        <w:rPr>
          <w:sz w:val="16"/>
          <w:szCs w:val="16"/>
        </w:rPr>
        <w:t>g</w:t>
      </w:r>
      <w:r w:rsidRPr="0011130A">
        <w:rPr>
          <w:sz w:val="16"/>
          <w:szCs w:val="16"/>
        </w:rPr>
        <w:t>enerali sono in vigore per la maggior parte dei trasferimenti intracomunitari e per alcuni trasferimenti extracomunitari di materiali d’armamento. È richiesto un atto autorizzativo da parte d</w:t>
      </w:r>
      <w:r>
        <w:rPr>
          <w:sz w:val="16"/>
          <w:szCs w:val="16"/>
        </w:rPr>
        <w:t>el Paese</w:t>
      </w:r>
      <w:r w:rsidRPr="0011130A">
        <w:rPr>
          <w:sz w:val="16"/>
          <w:szCs w:val="16"/>
        </w:rPr>
        <w:t xml:space="preserve"> Membro da cui ha origine il materiale bellico ed è consigliabile allegare una copia di questo atto au</w:t>
      </w:r>
      <w:r>
        <w:rPr>
          <w:sz w:val="16"/>
          <w:szCs w:val="16"/>
        </w:rPr>
        <w:t>torizzativo ai documenti</w:t>
      </w:r>
      <w:r w:rsidRPr="0011130A">
        <w:rPr>
          <w:sz w:val="16"/>
          <w:szCs w:val="16"/>
        </w:rPr>
        <w:t xml:space="preserve"> di spedizione</w:t>
      </w:r>
      <w:r>
        <w:rPr>
          <w:sz w:val="16"/>
          <w:szCs w:val="16"/>
        </w:rPr>
        <w:t xml:space="preserve"> normalmente in uso</w:t>
      </w:r>
      <w:r w:rsidRPr="0011130A">
        <w:rPr>
          <w:sz w:val="16"/>
          <w:szCs w:val="16"/>
        </w:rPr>
        <w:t>.</w:t>
      </w:r>
    </w:p>
    <w:p w:rsidR="00EF7753" w:rsidRDefault="00EF7753" w:rsidP="00EF7753">
      <w:pPr>
        <w:pStyle w:val="Testonotaapidipagina"/>
        <w:jc w:val="both"/>
        <w:rPr>
          <w:sz w:val="16"/>
          <w:szCs w:val="16"/>
        </w:rPr>
      </w:pPr>
      <w:r>
        <w:rPr>
          <w:sz w:val="16"/>
          <w:szCs w:val="16"/>
        </w:rPr>
        <w:t>7 Per fucili</w:t>
      </w:r>
      <w:r w:rsidRPr="0011130A">
        <w:rPr>
          <w:sz w:val="16"/>
          <w:szCs w:val="16"/>
        </w:rPr>
        <w:t>.</w:t>
      </w:r>
    </w:p>
    <w:p w:rsidR="00EF7753" w:rsidRPr="00867F80" w:rsidRDefault="00EF7753" w:rsidP="00EF7753">
      <w:pPr>
        <w:pStyle w:val="Testonotaapidipagina"/>
        <w:jc w:val="both"/>
        <w:rPr>
          <w:sz w:val="16"/>
          <w:szCs w:val="16"/>
        </w:rPr>
      </w:pPr>
      <w:r>
        <w:rPr>
          <w:sz w:val="16"/>
          <w:szCs w:val="16"/>
        </w:rPr>
        <w:t>8</w:t>
      </w:r>
      <w:r w:rsidRPr="00867F80">
        <w:rPr>
          <w:sz w:val="16"/>
          <w:szCs w:val="16"/>
        </w:rPr>
        <w:t xml:space="preserve"> È richiesta la notifica da parte dello spedizioniere doganale alla Prefettura locale.</w:t>
      </w:r>
    </w:p>
    <w:p w:rsidR="00EF7753" w:rsidRPr="0011130A" w:rsidRDefault="00EF7753" w:rsidP="00EF7753">
      <w:pPr>
        <w:pStyle w:val="Testonotaapidipagina"/>
        <w:jc w:val="both"/>
        <w:rPr>
          <w:sz w:val="16"/>
          <w:szCs w:val="16"/>
        </w:rPr>
      </w:pPr>
    </w:p>
    <w:p w:rsidR="00EF7753" w:rsidRPr="00292EAA" w:rsidRDefault="00EF7753" w:rsidP="00EF7753">
      <w:pPr>
        <w:jc w:val="both"/>
      </w:pPr>
    </w:p>
  </w:footnote>
  <w:footnote w:id="4">
    <w:p w:rsidR="00EF7753" w:rsidRPr="00292EAA" w:rsidRDefault="00EF7753" w:rsidP="00EF7753"/>
  </w:footnote>
  <w:footnote w:id="5">
    <w:p w:rsidR="00EF7753" w:rsidRDefault="00EF7753" w:rsidP="00EF7753">
      <w:pPr>
        <w:pStyle w:val="Testonotaapidipagina"/>
        <w:jc w:val="both"/>
        <w:rPr>
          <w:sz w:val="16"/>
          <w:szCs w:val="16"/>
        </w:rPr>
      </w:pPr>
      <w:r>
        <w:rPr>
          <w:sz w:val="16"/>
          <w:szCs w:val="16"/>
        </w:rPr>
        <w:t>9</w:t>
      </w:r>
      <w:r w:rsidRPr="00867F80">
        <w:rPr>
          <w:sz w:val="16"/>
          <w:szCs w:val="16"/>
        </w:rPr>
        <w:t xml:space="preserve"> Deve essere fornita una copia della licenza di esportazione dal Paese esportante o </w:t>
      </w:r>
      <w:r>
        <w:rPr>
          <w:sz w:val="16"/>
          <w:szCs w:val="16"/>
        </w:rPr>
        <w:t>l’assenso</w:t>
      </w:r>
      <w:r w:rsidRPr="00867F80">
        <w:rPr>
          <w:sz w:val="16"/>
          <w:szCs w:val="16"/>
        </w:rPr>
        <w:t xml:space="preserve"> che </w:t>
      </w:r>
      <w:r>
        <w:rPr>
          <w:sz w:val="16"/>
          <w:szCs w:val="16"/>
        </w:rPr>
        <w:t>i</w:t>
      </w:r>
      <w:r w:rsidRPr="00867F80">
        <w:rPr>
          <w:sz w:val="16"/>
          <w:szCs w:val="16"/>
        </w:rPr>
        <w:t xml:space="preserve"> beni s</w:t>
      </w:r>
      <w:r>
        <w:rPr>
          <w:sz w:val="16"/>
          <w:szCs w:val="16"/>
        </w:rPr>
        <w:t>iano spediti in osservanza della Direttiva 2009/43.</w:t>
      </w:r>
    </w:p>
    <w:p w:rsidR="00EF7753" w:rsidRDefault="00EF7753" w:rsidP="00EF7753">
      <w:pPr>
        <w:pStyle w:val="Testonotaapidipagina"/>
        <w:jc w:val="both"/>
        <w:rPr>
          <w:sz w:val="16"/>
          <w:szCs w:val="16"/>
        </w:rPr>
      </w:pPr>
      <w:r>
        <w:rPr>
          <w:sz w:val="16"/>
          <w:szCs w:val="16"/>
        </w:rPr>
        <w:t>10 Per i Paesi</w:t>
      </w:r>
      <w:r w:rsidRPr="009518D1">
        <w:rPr>
          <w:sz w:val="16"/>
          <w:szCs w:val="16"/>
        </w:rPr>
        <w:t xml:space="preserve"> Membri dell’UE, solo in caso di mine antiuomo e munizioni a grappolo; </w:t>
      </w:r>
      <w:r>
        <w:rPr>
          <w:sz w:val="16"/>
          <w:szCs w:val="16"/>
        </w:rPr>
        <w:t>per Paesi non dell’UE, alcune categorie di ML e destinazioni.</w:t>
      </w:r>
    </w:p>
    <w:p w:rsidR="00EF7753" w:rsidRDefault="00EF7753" w:rsidP="00EF7753">
      <w:pPr>
        <w:spacing w:after="0" w:line="240" w:lineRule="auto"/>
        <w:ind w:left="142" w:hanging="142"/>
        <w:rPr>
          <w:sz w:val="16"/>
          <w:szCs w:val="16"/>
        </w:rPr>
      </w:pPr>
      <w:r>
        <w:rPr>
          <w:sz w:val="16"/>
          <w:szCs w:val="16"/>
        </w:rPr>
        <w:t>11</w:t>
      </w:r>
      <w:r w:rsidRPr="006A1A51">
        <w:rPr>
          <w:sz w:val="16"/>
          <w:szCs w:val="16"/>
        </w:rPr>
        <w:t xml:space="preserve"> Per </w:t>
      </w:r>
      <w:r>
        <w:rPr>
          <w:sz w:val="16"/>
          <w:szCs w:val="16"/>
        </w:rPr>
        <w:t xml:space="preserve">le categorie </w:t>
      </w:r>
      <w:r w:rsidRPr="006A1A51">
        <w:rPr>
          <w:sz w:val="16"/>
          <w:szCs w:val="16"/>
        </w:rPr>
        <w:t>ML1 a-c), ML2 a-b), ML3, ML4, ML7 a-f), h), i) all’interno dell’UE.</w:t>
      </w:r>
      <w:r>
        <w:rPr>
          <w:sz w:val="16"/>
          <w:szCs w:val="16"/>
        </w:rPr>
        <w:t xml:space="preserve"> Per</w:t>
      </w:r>
      <w:r w:rsidRPr="006A1A5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la categoria </w:t>
      </w:r>
      <w:r w:rsidRPr="006A1A51">
        <w:rPr>
          <w:sz w:val="16"/>
          <w:szCs w:val="16"/>
        </w:rPr>
        <w:t xml:space="preserve">ML8 se una delle parti </w:t>
      </w:r>
      <w:r>
        <w:rPr>
          <w:sz w:val="16"/>
          <w:szCs w:val="16"/>
        </w:rPr>
        <w:t>coinvolte</w:t>
      </w:r>
      <w:r w:rsidRPr="006A1A51">
        <w:rPr>
          <w:sz w:val="16"/>
          <w:szCs w:val="16"/>
        </w:rPr>
        <w:t xml:space="preserve"> nella transazione (co</w:t>
      </w:r>
      <w:r>
        <w:rPr>
          <w:sz w:val="16"/>
          <w:szCs w:val="16"/>
        </w:rPr>
        <w:t>mmittente o consegnatario</w:t>
      </w:r>
      <w:r w:rsidRPr="006A1A51">
        <w:rPr>
          <w:sz w:val="16"/>
          <w:szCs w:val="16"/>
        </w:rPr>
        <w:t xml:space="preserve">) </w:t>
      </w:r>
      <w:r>
        <w:rPr>
          <w:sz w:val="16"/>
          <w:szCs w:val="16"/>
        </w:rPr>
        <w:t>è un Paese Membro dello Spazio Economico Europeo (SEE), Svizzera, U</w:t>
      </w:r>
      <w:r w:rsidRPr="006A1A51">
        <w:rPr>
          <w:sz w:val="16"/>
          <w:szCs w:val="16"/>
        </w:rPr>
        <w:t>SA, Australia, N</w:t>
      </w:r>
      <w:r>
        <w:rPr>
          <w:sz w:val="16"/>
          <w:szCs w:val="16"/>
        </w:rPr>
        <w:t>uova Zelanda, Giappone o</w:t>
      </w:r>
      <w:r w:rsidRPr="006A1A51">
        <w:rPr>
          <w:sz w:val="16"/>
          <w:szCs w:val="16"/>
        </w:rPr>
        <w:t xml:space="preserve"> Canada.</w:t>
      </w:r>
    </w:p>
    <w:p w:rsidR="00EF7753" w:rsidRPr="009518D1" w:rsidRDefault="00EF7753" w:rsidP="00EF7753">
      <w:pPr>
        <w:pStyle w:val="Testonotaapidipagina"/>
        <w:jc w:val="both"/>
        <w:rPr>
          <w:sz w:val="16"/>
          <w:szCs w:val="16"/>
        </w:rPr>
      </w:pPr>
    </w:p>
    <w:p w:rsidR="00EF7753" w:rsidRPr="00867F80" w:rsidRDefault="00EF7753" w:rsidP="00EF7753">
      <w:pPr>
        <w:pStyle w:val="Testonotaapidipagina"/>
        <w:jc w:val="both"/>
        <w:rPr>
          <w:sz w:val="16"/>
          <w:szCs w:val="16"/>
        </w:rPr>
      </w:pPr>
    </w:p>
    <w:p w:rsidR="00EF7753" w:rsidRPr="00867F80" w:rsidRDefault="00EF7753" w:rsidP="00EF7753">
      <w:pPr>
        <w:pStyle w:val="Testonotaapidipagina"/>
        <w:spacing w:line="240" w:lineRule="atLeast"/>
      </w:pPr>
    </w:p>
    <w:p w:rsidR="00EF7753" w:rsidRPr="00867F80" w:rsidRDefault="00EF7753" w:rsidP="00EF7753"/>
  </w:footnote>
  <w:footnote w:id="6">
    <w:p w:rsidR="000F7FC2" w:rsidRPr="0071290B" w:rsidRDefault="000F7FC2" w:rsidP="00EF7753">
      <w:pPr>
        <w:pStyle w:val="Testonotaapidipagina"/>
      </w:pPr>
    </w:p>
  </w:footnote>
  <w:footnote w:id="7">
    <w:p w:rsidR="00EF7753" w:rsidRDefault="00EF7753" w:rsidP="00EF7753">
      <w:pPr>
        <w:pStyle w:val="Testonotaapidipagina"/>
        <w:jc w:val="both"/>
        <w:rPr>
          <w:sz w:val="16"/>
          <w:szCs w:val="16"/>
        </w:rPr>
      </w:pPr>
      <w:r>
        <w:rPr>
          <w:sz w:val="16"/>
          <w:szCs w:val="16"/>
        </w:rPr>
        <w:t>12 Per il trasporto di taluni materiali di armamento in territorio romeno è prevista la scorta dalla Gendarmeria romena.</w:t>
      </w:r>
    </w:p>
    <w:p w:rsidR="00EF7753" w:rsidRPr="009518D1" w:rsidRDefault="00EF7753" w:rsidP="00EF7753">
      <w:pPr>
        <w:pStyle w:val="Testonotaapidipagina"/>
        <w:jc w:val="both"/>
        <w:rPr>
          <w:sz w:val="16"/>
          <w:szCs w:val="16"/>
        </w:rPr>
      </w:pPr>
      <w:r w:rsidRPr="009518D1">
        <w:rPr>
          <w:sz w:val="16"/>
          <w:szCs w:val="16"/>
        </w:rPr>
        <w:t>1</w:t>
      </w:r>
      <w:r>
        <w:rPr>
          <w:sz w:val="16"/>
          <w:szCs w:val="16"/>
        </w:rPr>
        <w:t>3 Le Autorità l</w:t>
      </w:r>
      <w:r w:rsidRPr="009518D1">
        <w:rPr>
          <w:sz w:val="16"/>
          <w:szCs w:val="16"/>
        </w:rPr>
        <w:t>ocali devono essere notificate in caso di trasporto speciale.</w:t>
      </w:r>
    </w:p>
    <w:p w:rsidR="00EF7753" w:rsidRDefault="00EF7753" w:rsidP="00EF7753">
      <w:pPr>
        <w:pStyle w:val="Testonotaapidipagina"/>
        <w:jc w:val="both"/>
        <w:rPr>
          <w:sz w:val="16"/>
          <w:szCs w:val="16"/>
        </w:rPr>
      </w:pPr>
      <w:r>
        <w:rPr>
          <w:sz w:val="16"/>
          <w:szCs w:val="16"/>
        </w:rPr>
        <w:t>14</w:t>
      </w:r>
      <w:r w:rsidRPr="009518D1">
        <w:rPr>
          <w:sz w:val="16"/>
          <w:szCs w:val="16"/>
        </w:rPr>
        <w:t xml:space="preserve"> </w:t>
      </w:r>
      <w:r>
        <w:rPr>
          <w:sz w:val="16"/>
          <w:szCs w:val="16"/>
        </w:rPr>
        <w:t>È necessaria un’autorizzazione se un Paese t</w:t>
      </w:r>
      <w:r w:rsidRPr="009518D1">
        <w:rPr>
          <w:sz w:val="16"/>
          <w:szCs w:val="16"/>
        </w:rPr>
        <w:t xml:space="preserve">erzo (non dell’UE) </w:t>
      </w:r>
      <w:r w:rsidRPr="00F539FD">
        <w:rPr>
          <w:sz w:val="16"/>
          <w:szCs w:val="16"/>
        </w:rPr>
        <w:t>esporta tramite la</w:t>
      </w:r>
      <w:r>
        <w:rPr>
          <w:sz w:val="16"/>
          <w:szCs w:val="16"/>
        </w:rPr>
        <w:t xml:space="preserve"> Slovenia verso un altro Paese t</w:t>
      </w:r>
      <w:r w:rsidRPr="00F539FD">
        <w:rPr>
          <w:sz w:val="16"/>
          <w:szCs w:val="16"/>
        </w:rPr>
        <w:t>erzo (non dell’UE).</w:t>
      </w:r>
    </w:p>
    <w:p w:rsidR="00EF7753" w:rsidRDefault="00EF7753" w:rsidP="00EF7753">
      <w:pPr>
        <w:pStyle w:val="Testonotaapidipagina"/>
        <w:jc w:val="both"/>
        <w:rPr>
          <w:sz w:val="16"/>
          <w:szCs w:val="16"/>
        </w:rPr>
      </w:pPr>
      <w:r>
        <w:rPr>
          <w:sz w:val="16"/>
          <w:szCs w:val="16"/>
        </w:rPr>
        <w:t>15</w:t>
      </w:r>
      <w:r w:rsidRPr="0011130A">
        <w:rPr>
          <w:sz w:val="16"/>
          <w:szCs w:val="16"/>
        </w:rPr>
        <w:t xml:space="preserve"> Per </w:t>
      </w:r>
      <w:r>
        <w:rPr>
          <w:sz w:val="16"/>
          <w:szCs w:val="16"/>
        </w:rPr>
        <w:t xml:space="preserve">le categorie </w:t>
      </w:r>
      <w:r w:rsidRPr="0011130A">
        <w:rPr>
          <w:sz w:val="16"/>
          <w:szCs w:val="16"/>
        </w:rPr>
        <w:t xml:space="preserve">ML 1a-c), ML2 a-b), ML3, ML4, ML7 a-f) h) i) e </w:t>
      </w:r>
      <w:r>
        <w:rPr>
          <w:sz w:val="16"/>
          <w:szCs w:val="16"/>
        </w:rPr>
        <w:t>ML8</w:t>
      </w:r>
      <w:r w:rsidRPr="0011130A">
        <w:rPr>
          <w:sz w:val="16"/>
          <w:szCs w:val="16"/>
        </w:rPr>
        <w:t>.</w:t>
      </w:r>
    </w:p>
    <w:p w:rsidR="00EF7753" w:rsidRPr="009518D1" w:rsidRDefault="00EF7753" w:rsidP="00EF7753">
      <w:pPr>
        <w:pStyle w:val="Testonotaapidipagina"/>
        <w:jc w:val="both"/>
        <w:rPr>
          <w:sz w:val="16"/>
          <w:szCs w:val="16"/>
        </w:rPr>
      </w:pPr>
    </w:p>
    <w:p w:rsidR="00EF7753" w:rsidRPr="009518D1" w:rsidRDefault="00EF7753" w:rsidP="00EF7753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4C81"/>
    <w:multiLevelType w:val="hybridMultilevel"/>
    <w:tmpl w:val="2F345A06"/>
    <w:lvl w:ilvl="0" w:tplc="6C36E992">
      <w:start w:val="8"/>
      <w:numFmt w:val="bullet"/>
      <w:lvlText w:val="-"/>
      <w:lvlJc w:val="left"/>
      <w:pPr>
        <w:ind w:left="632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53"/>
    <w:rsid w:val="000F7FC2"/>
    <w:rsid w:val="00640000"/>
    <w:rsid w:val="007C0B57"/>
    <w:rsid w:val="00B55BC9"/>
    <w:rsid w:val="00BE03FF"/>
    <w:rsid w:val="00DE2A7F"/>
    <w:rsid w:val="00EF7753"/>
    <w:rsid w:val="00F82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333241-C222-472B-8603-F7F9FA53D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F775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F7753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F7753"/>
    <w:rPr>
      <w:sz w:val="20"/>
      <w:szCs w:val="20"/>
    </w:rPr>
  </w:style>
  <w:style w:type="table" w:styleId="Grigliatabella">
    <w:name w:val="Table Grid"/>
    <w:basedOn w:val="Tabellanormale"/>
    <w:uiPriority w:val="59"/>
    <w:rsid w:val="00EF7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dichiusura">
    <w:name w:val="endnote text"/>
    <w:basedOn w:val="Normale"/>
    <w:link w:val="TestonotadichiusuraCarattere"/>
    <w:uiPriority w:val="99"/>
    <w:unhideWhenUsed/>
    <w:rsid w:val="00EF7753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EF7753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F7753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EF77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7753"/>
  </w:style>
  <w:style w:type="paragraph" w:styleId="Paragrafoelenco">
    <w:name w:val="List Paragraph"/>
    <w:basedOn w:val="Normale"/>
    <w:uiPriority w:val="34"/>
    <w:qFormat/>
    <w:rsid w:val="00EF7753"/>
    <w:pPr>
      <w:ind w:left="720"/>
      <w:contextualSpacing/>
    </w:pPr>
  </w:style>
  <w:style w:type="character" w:styleId="Rimandonotaapidipagina">
    <w:name w:val="footnote reference"/>
    <w:basedOn w:val="Carpredefinitoparagrafo"/>
    <w:uiPriority w:val="99"/>
    <w:semiHidden/>
    <w:unhideWhenUsed/>
    <w:rsid w:val="000F7F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D07CA-2D61-4475-B2CB-48861750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Calligaro Laura</dc:creator>
  <cp:lastModifiedBy>Calligaro Laura</cp:lastModifiedBy>
  <cp:revision>2</cp:revision>
  <dcterms:created xsi:type="dcterms:W3CDTF">2019-01-17T14:52:00Z</dcterms:created>
  <dcterms:modified xsi:type="dcterms:W3CDTF">2019-01-17T14:52:00Z</dcterms:modified>
</cp:coreProperties>
</file>