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F8" w:rsidRDefault="00272FF8" w:rsidP="00272FF8">
      <w:pPr>
        <w:spacing w:after="150"/>
        <w:jc w:val="both"/>
        <w:rPr>
          <w:rFonts w:ascii="Titillium Web" w:hAnsi="Titillium Web"/>
          <w:b/>
          <w:bCs/>
          <w:color w:val="0070C0"/>
          <w:sz w:val="21"/>
          <w:szCs w:val="21"/>
          <w:lang w:eastAsia="it-IT"/>
        </w:rPr>
      </w:pPr>
      <w:bookmarkStart w:id="0" w:name="_GoBack"/>
      <w:bookmarkEnd w:id="0"/>
      <w:r>
        <w:rPr>
          <w:rFonts w:ascii="Titillium Web" w:hAnsi="Titillium Web"/>
          <w:b/>
          <w:bCs/>
          <w:noProof/>
          <w:color w:val="0070C0"/>
          <w:sz w:val="21"/>
          <w:szCs w:val="21"/>
          <w:lang w:eastAsia="it-IT"/>
        </w:rPr>
        <w:drawing>
          <wp:inline distT="0" distB="0" distL="0" distR="0">
            <wp:extent cx="6057900" cy="1819275"/>
            <wp:effectExtent l="0" t="0" r="0" b="9525"/>
            <wp:docPr id="1" name="Immagine 1" descr="cid:image001.png@01D56999.E27FD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id:image001.png@01D56999.E27FD9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F8" w:rsidRDefault="00272FF8" w:rsidP="00272FF8">
      <w:pPr>
        <w:spacing w:after="150"/>
        <w:jc w:val="both"/>
        <w:rPr>
          <w:rFonts w:ascii="Titillium Web" w:hAnsi="Titillium Web"/>
          <w:b/>
          <w:bCs/>
          <w:color w:val="0070C0"/>
          <w:sz w:val="21"/>
          <w:szCs w:val="21"/>
          <w:lang w:eastAsia="it-IT"/>
        </w:rPr>
      </w:pPr>
    </w:p>
    <w:p w:rsidR="00272FF8" w:rsidRDefault="00272FF8" w:rsidP="00272FF8">
      <w:pPr>
        <w:spacing w:after="150"/>
        <w:jc w:val="both"/>
        <w:rPr>
          <w:rFonts w:ascii="Titillium Web" w:hAnsi="Titillium Web"/>
          <w:b/>
          <w:bCs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b/>
          <w:bCs/>
          <w:color w:val="002060"/>
          <w:sz w:val="21"/>
          <w:szCs w:val="21"/>
          <w:lang w:eastAsia="it-IT"/>
        </w:rPr>
        <w:t>Presentazione Nuova CIE</w:t>
      </w:r>
    </w:p>
    <w:p w:rsidR="00272FF8" w:rsidRDefault="00272FF8" w:rsidP="00272FF8">
      <w:pPr>
        <w:spacing w:after="150"/>
        <w:jc w:val="both"/>
        <w:rPr>
          <w:rFonts w:ascii="Titillium Web" w:hAnsi="Titillium Web"/>
          <w:b/>
          <w:bCs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b/>
          <w:bCs/>
          <w:color w:val="002060"/>
          <w:sz w:val="21"/>
          <w:szCs w:val="21"/>
          <w:lang w:eastAsia="it-IT"/>
        </w:rPr>
        <w:t>Il documento.</w:t>
      </w:r>
    </w:p>
    <w:p w:rsidR="00272FF8" w:rsidRDefault="00272FF8" w:rsidP="00272FF8">
      <w:pPr>
        <w:spacing w:after="150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>La Carta di identità elettronica (CIE) è l’evoluzione del documento di identità in versione cartacea. Ha le dimensioni di una carta di credito ed è caratterizzata da:</w:t>
      </w:r>
    </w:p>
    <w:p w:rsidR="00272FF8" w:rsidRDefault="00272FF8" w:rsidP="00272FF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 xml:space="preserve">Un supporto in policarbonato personalizzato </w:t>
      </w:r>
      <w:r>
        <w:rPr>
          <w:rFonts w:ascii="Titillium Web" w:hAnsi="Titillium Web"/>
          <w:b/>
          <w:bCs/>
          <w:color w:val="002060"/>
          <w:sz w:val="21"/>
          <w:szCs w:val="21"/>
        </w:rPr>
        <w:t>che garantisce in modo certo l’identità fisica e digitale del suo titolare utilizzando i più evoluti standard di sicurezza e anticontraffazione</w:t>
      </w:r>
    </w:p>
    <w:p w:rsidR="00272FF8" w:rsidRDefault="00272FF8" w:rsidP="00272FF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 xml:space="preserve">Un </w:t>
      </w:r>
      <w:hyperlink r:id="rId7" w:history="1">
        <w:r>
          <w:rPr>
            <w:rStyle w:val="Collegamentoipertestuale"/>
            <w:rFonts w:ascii="Titillium Web" w:hAnsi="Titillium Web"/>
            <w:color w:val="002060"/>
            <w:sz w:val="21"/>
            <w:szCs w:val="21"/>
            <w:u w:val="none"/>
            <w:lang w:eastAsia="it-IT"/>
          </w:rPr>
          <w:t>microprocessore</w:t>
        </w:r>
      </w:hyperlink>
      <w:r>
        <w:rPr>
          <w:rFonts w:ascii="Titillium Web" w:hAnsi="Titillium Web"/>
          <w:color w:val="002060"/>
          <w:sz w:val="21"/>
          <w:szCs w:val="21"/>
          <w:lang w:eastAsia="it-IT"/>
        </w:rPr>
        <w:t xml:space="preserve"> a radio frequenza </w:t>
      </w:r>
      <w:r>
        <w:rPr>
          <w:rFonts w:ascii="Titillium Web" w:hAnsi="Titillium Web"/>
          <w:color w:val="002060"/>
          <w:sz w:val="21"/>
          <w:szCs w:val="21"/>
        </w:rPr>
        <w:t xml:space="preserve">di tipo </w:t>
      </w:r>
      <w:proofErr w:type="spellStart"/>
      <w:r>
        <w:rPr>
          <w:rFonts w:ascii="Titillium Web" w:hAnsi="Titillium Web"/>
          <w:i/>
          <w:iCs/>
          <w:color w:val="002060"/>
          <w:sz w:val="21"/>
          <w:szCs w:val="21"/>
        </w:rPr>
        <w:t>contactless</w:t>
      </w:r>
      <w:proofErr w:type="spellEnd"/>
      <w:r>
        <w:rPr>
          <w:rFonts w:ascii="Titillium Web" w:hAnsi="Titillium Web"/>
          <w:color w:val="002060"/>
          <w:sz w:val="21"/>
          <w:szCs w:val="21"/>
        </w:rPr>
        <w:t xml:space="preserve"> </w:t>
      </w:r>
      <w:r>
        <w:rPr>
          <w:rFonts w:ascii="Titillium Web" w:hAnsi="Titillium Web"/>
          <w:color w:val="002060"/>
          <w:sz w:val="21"/>
          <w:szCs w:val="21"/>
          <w:lang w:eastAsia="it-IT"/>
        </w:rPr>
        <w:t xml:space="preserve">che costituisce: </w:t>
      </w:r>
    </w:p>
    <w:p w:rsidR="00272FF8" w:rsidRDefault="00272FF8" w:rsidP="00272FF8">
      <w:pPr>
        <w:numPr>
          <w:ilvl w:val="1"/>
          <w:numId w:val="2"/>
        </w:numPr>
        <w:spacing w:before="100" w:beforeAutospacing="1" w:after="100" w:afterAutospacing="1"/>
        <w:ind w:left="1215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>una componente elettronica di protezione dei dati anagrafici, della foto e delle impronte del titolare da contraffazione;</w:t>
      </w:r>
    </w:p>
    <w:p w:rsidR="00272FF8" w:rsidRDefault="00272FF8" w:rsidP="00272FF8">
      <w:pPr>
        <w:numPr>
          <w:ilvl w:val="1"/>
          <w:numId w:val="2"/>
        </w:numPr>
        <w:spacing w:before="100" w:beforeAutospacing="1" w:after="100" w:afterAutospacing="1"/>
        <w:ind w:left="1215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>uno strumento predisposto per consentire l’autenticazione in rete da parte del cittadino, finalizzata alla fruizione dei servizi erogati dalle PP.AA.;</w:t>
      </w:r>
    </w:p>
    <w:p w:rsidR="00272FF8" w:rsidRDefault="00272FF8" w:rsidP="00272FF8">
      <w:pPr>
        <w:numPr>
          <w:ilvl w:val="1"/>
          <w:numId w:val="2"/>
        </w:numPr>
        <w:spacing w:before="100" w:beforeAutospacing="1" w:after="100" w:afterAutospacing="1"/>
        <w:ind w:left="1215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 xml:space="preserve">un fattore abilitante ai fini dell’acquisizione di identità digitale </w:t>
      </w:r>
      <w:r>
        <w:rPr>
          <w:rFonts w:ascii="Titillium Web" w:hAnsi="Titillium Web"/>
          <w:color w:val="002060"/>
          <w:sz w:val="21"/>
          <w:szCs w:val="21"/>
        </w:rPr>
        <w:t>presso uno degli Identity provider accreditati presso il Sistema Pubblico di Identità Digitale (SPID).</w:t>
      </w:r>
    </w:p>
    <w:p w:rsidR="00272FF8" w:rsidRDefault="00272FF8" w:rsidP="00272FF8">
      <w:pPr>
        <w:numPr>
          <w:ilvl w:val="1"/>
          <w:numId w:val="2"/>
        </w:numPr>
        <w:spacing w:before="100" w:beforeAutospacing="1" w:after="100" w:afterAutospacing="1"/>
        <w:ind w:left="1215"/>
        <w:jc w:val="both"/>
        <w:rPr>
          <w:rFonts w:ascii="Titillium Web" w:hAnsi="Titillium Web"/>
          <w:color w:val="002060"/>
          <w:sz w:val="21"/>
          <w:szCs w:val="21"/>
          <w:lang w:eastAsia="it-IT"/>
        </w:rPr>
      </w:pPr>
      <w:r>
        <w:rPr>
          <w:rFonts w:ascii="Titillium Web" w:hAnsi="Titillium Web"/>
          <w:color w:val="002060"/>
          <w:sz w:val="21"/>
          <w:szCs w:val="21"/>
          <w:lang w:eastAsia="it-IT"/>
        </w:rPr>
        <w:t>un fattore abilitante per la fruizione di ulteriori servizi a valore aggiunto, in Italia e in Europa.</w:t>
      </w:r>
    </w:p>
    <w:p w:rsidR="00272FF8" w:rsidRDefault="00272FF8" w:rsidP="00272FF8">
      <w:pPr>
        <w:pStyle w:val="NormaleWeb"/>
        <w:jc w:val="both"/>
        <w:rPr>
          <w:rFonts w:ascii="Titillium Web" w:hAnsi="Titillium Web"/>
          <w:b/>
          <w:bCs/>
          <w:color w:val="002060"/>
          <w:sz w:val="21"/>
          <w:szCs w:val="21"/>
        </w:rPr>
      </w:pPr>
      <w:r>
        <w:rPr>
          <w:rFonts w:ascii="Titillium Web" w:hAnsi="Titillium Web"/>
          <w:b/>
          <w:bCs/>
          <w:color w:val="002060"/>
          <w:sz w:val="21"/>
          <w:szCs w:val="21"/>
        </w:rPr>
        <w:t>I numeri.</w:t>
      </w:r>
    </w:p>
    <w:p w:rsidR="00272FF8" w:rsidRDefault="00272FF8" w:rsidP="00272FF8">
      <w:pPr>
        <w:pStyle w:val="NormaleWeb"/>
        <w:numPr>
          <w:ilvl w:val="0"/>
          <w:numId w:val="3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>Oltre 11 milioni di CIE già emesse in Italia dall’avvio del progetto.</w:t>
      </w:r>
    </w:p>
    <w:p w:rsidR="00272FF8" w:rsidRDefault="00272FF8" w:rsidP="00272FF8">
      <w:pPr>
        <w:pStyle w:val="NormaleWeb"/>
        <w:numPr>
          <w:ilvl w:val="0"/>
          <w:numId w:val="3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 xml:space="preserve">Per emissione all’estero saranno coinvolti 52 uffici consolari in 32 Paesi, </w:t>
      </w:r>
      <w:r>
        <w:rPr>
          <w:rFonts w:ascii="Titillium Web" w:hAnsi="Titillium Web"/>
          <w:b/>
          <w:bCs/>
          <w:color w:val="002060"/>
          <w:sz w:val="21"/>
          <w:szCs w:val="21"/>
        </w:rPr>
        <w:t>dopo la fase sperimentale</w:t>
      </w:r>
      <w:r>
        <w:rPr>
          <w:rFonts w:ascii="Titillium Web" w:hAnsi="Titillium Web"/>
          <w:color w:val="002060"/>
          <w:sz w:val="21"/>
          <w:szCs w:val="21"/>
        </w:rPr>
        <w:t xml:space="preserve"> che coinvolge gli uffici di Atene, Nizza e Vienna</w:t>
      </w:r>
    </w:p>
    <w:p w:rsidR="00272FF8" w:rsidRDefault="00272FF8" w:rsidP="00272FF8">
      <w:pPr>
        <w:pStyle w:val="NormaleWeb"/>
        <w:numPr>
          <w:ilvl w:val="0"/>
          <w:numId w:val="3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>Oltre 70.000 carte di identità cartacee rilasciate dagli Uffici consolari nel 2018.</w:t>
      </w:r>
    </w:p>
    <w:p w:rsidR="00272FF8" w:rsidRDefault="00272FF8" w:rsidP="00272FF8">
      <w:pPr>
        <w:pStyle w:val="NormaleWeb"/>
        <w:jc w:val="both"/>
        <w:rPr>
          <w:rFonts w:ascii="Titillium Web" w:hAnsi="Titillium Web"/>
          <w:b/>
          <w:bCs/>
          <w:color w:val="002060"/>
          <w:sz w:val="21"/>
          <w:szCs w:val="21"/>
        </w:rPr>
      </w:pPr>
      <w:r>
        <w:rPr>
          <w:rFonts w:ascii="Titillium Web" w:hAnsi="Titillium Web"/>
          <w:b/>
          <w:bCs/>
          <w:color w:val="002060"/>
          <w:sz w:val="21"/>
          <w:szCs w:val="21"/>
        </w:rPr>
        <w:t>L’emissione.</w:t>
      </w:r>
    </w:p>
    <w:p w:rsidR="00272FF8" w:rsidRDefault="00272FF8" w:rsidP="00272FF8">
      <w:pPr>
        <w:pStyle w:val="NormaleWeb"/>
        <w:numPr>
          <w:ilvl w:val="0"/>
          <w:numId w:val="4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 xml:space="preserve">il connazionale regolarmente iscritto all’AIRE </w:t>
      </w:r>
      <w:r>
        <w:rPr>
          <w:rFonts w:ascii="Titillium Web" w:hAnsi="Titillium Web"/>
          <w:b/>
          <w:bCs/>
          <w:color w:val="002060"/>
          <w:sz w:val="21"/>
          <w:szCs w:val="21"/>
        </w:rPr>
        <w:t>fa richiesta</w:t>
      </w:r>
      <w:r>
        <w:rPr>
          <w:rFonts w:ascii="Titillium Web" w:hAnsi="Titillium Web"/>
          <w:color w:val="002060"/>
          <w:sz w:val="21"/>
          <w:szCs w:val="21"/>
        </w:rPr>
        <w:t> allo sportello consolare, utilizzando un sistema di prenotazione dell’appuntamento online;</w:t>
      </w:r>
    </w:p>
    <w:p w:rsidR="00272FF8" w:rsidRDefault="00272FF8" w:rsidP="00272FF8">
      <w:pPr>
        <w:pStyle w:val="NormaleWeb"/>
        <w:numPr>
          <w:ilvl w:val="0"/>
          <w:numId w:val="4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 xml:space="preserve">il Consolato </w:t>
      </w:r>
      <w:r>
        <w:rPr>
          <w:rFonts w:ascii="Titillium Web" w:hAnsi="Titillium Web"/>
          <w:b/>
          <w:bCs/>
          <w:color w:val="002060"/>
          <w:sz w:val="21"/>
          <w:szCs w:val="21"/>
        </w:rPr>
        <w:t>acquisisce e trasmette i dati</w:t>
      </w:r>
      <w:r>
        <w:rPr>
          <w:rFonts w:ascii="Titillium Web" w:hAnsi="Titillium Web"/>
          <w:color w:val="002060"/>
          <w:sz w:val="21"/>
          <w:szCs w:val="21"/>
        </w:rPr>
        <w:t> al centro di produzione nazionale dell’Istituto Poligrafico e Zecca dello Stato che realizza le carte;</w:t>
      </w:r>
    </w:p>
    <w:p w:rsidR="00272FF8" w:rsidRDefault="00272FF8" w:rsidP="00272FF8">
      <w:pPr>
        <w:pStyle w:val="NormaleWeb"/>
        <w:numPr>
          <w:ilvl w:val="0"/>
          <w:numId w:val="4"/>
        </w:numPr>
        <w:jc w:val="both"/>
        <w:rPr>
          <w:rFonts w:ascii="Titillium Web" w:hAnsi="Titillium Web"/>
          <w:color w:val="002060"/>
          <w:sz w:val="21"/>
          <w:szCs w:val="21"/>
        </w:rPr>
      </w:pPr>
      <w:r>
        <w:rPr>
          <w:rFonts w:ascii="Titillium Web" w:hAnsi="Titillium Web"/>
          <w:color w:val="002060"/>
          <w:sz w:val="21"/>
          <w:szCs w:val="21"/>
        </w:rPr>
        <w:t>L’Istituto Poligrafico e Zecca dello Stato</w:t>
      </w:r>
      <w:r>
        <w:rPr>
          <w:rFonts w:ascii="Titillium Web" w:hAnsi="Titillium Web"/>
          <w:b/>
          <w:bCs/>
          <w:color w:val="002060"/>
          <w:sz w:val="21"/>
          <w:szCs w:val="21"/>
        </w:rPr>
        <w:t xml:space="preserve"> spedisce la carta</w:t>
      </w:r>
      <w:r>
        <w:rPr>
          <w:rFonts w:ascii="Titillium Web" w:hAnsi="Titillium Web"/>
          <w:color w:val="002060"/>
          <w:sz w:val="21"/>
          <w:szCs w:val="21"/>
        </w:rPr>
        <w:t> all’indirizzo indicato dal connazionale entro 15 giorni dalla rilevazione dei dati biometrici.</w:t>
      </w:r>
    </w:p>
    <w:p w:rsidR="00272FF8" w:rsidRDefault="00272FF8" w:rsidP="00272FF8">
      <w:pPr>
        <w:pStyle w:val="NormaleWeb"/>
        <w:numPr>
          <w:ilvl w:val="0"/>
          <w:numId w:val="5"/>
        </w:numPr>
        <w:jc w:val="both"/>
        <w:rPr>
          <w:color w:val="002060"/>
        </w:rPr>
      </w:pPr>
      <w:r>
        <w:rPr>
          <w:rFonts w:ascii="Titillium Web" w:hAnsi="Titillium Web"/>
          <w:color w:val="002060"/>
          <w:sz w:val="21"/>
          <w:szCs w:val="21"/>
        </w:rPr>
        <w:t>La produzione centralizzata delle carte permette di adottare macchinari all’avanguardia che implementano le più avanzate tecniche anticontraffazione.</w:t>
      </w:r>
    </w:p>
    <w:p w:rsidR="00272FF8" w:rsidRDefault="00272FF8" w:rsidP="00272FF8">
      <w:pPr>
        <w:rPr>
          <w:rFonts w:ascii="Calibri Light" w:hAnsi="Calibri Light" w:cs="Calibri Light"/>
          <w:color w:val="002060"/>
          <w:sz w:val="24"/>
          <w:szCs w:val="24"/>
        </w:rPr>
      </w:pPr>
    </w:p>
    <w:p w:rsidR="00030302" w:rsidRDefault="00030302"/>
    <w:sectPr w:rsidR="00030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110"/>
    <w:multiLevelType w:val="multilevel"/>
    <w:tmpl w:val="4F74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9373E"/>
    <w:multiLevelType w:val="multilevel"/>
    <w:tmpl w:val="0F3CE3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249C4"/>
    <w:multiLevelType w:val="hybridMultilevel"/>
    <w:tmpl w:val="2C40E2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32CB"/>
    <w:multiLevelType w:val="multilevel"/>
    <w:tmpl w:val="A5227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529F5"/>
    <w:multiLevelType w:val="hybridMultilevel"/>
    <w:tmpl w:val="9E9AF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8"/>
    <w:rsid w:val="00030302"/>
    <w:rsid w:val="00272FF8"/>
    <w:rsid w:val="0064006B"/>
    <w:rsid w:val="00C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53DA"/>
  <w15:chartTrackingRefBased/>
  <w15:docId w15:val="{0F9549BA-255D-45EB-A286-F175CBE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FF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2FF8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272FF8"/>
    <w:pPr>
      <w:spacing w:after="150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taidentita.interno.gov.it/il-microprocess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6999.E27FD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Sapienza Silvia Maria</dc:creator>
  <cp:keywords/>
  <dc:description/>
  <cp:lastModifiedBy>Sapienza Silvia Maria</cp:lastModifiedBy>
  <cp:revision>2</cp:revision>
  <dcterms:created xsi:type="dcterms:W3CDTF">2019-09-17T12:16:00Z</dcterms:created>
  <dcterms:modified xsi:type="dcterms:W3CDTF">2019-09-17T12:17:00Z</dcterms:modified>
</cp:coreProperties>
</file>