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0A" w:rsidRPr="00100314" w:rsidRDefault="0072340A" w:rsidP="0072340A">
      <w:pPr>
        <w:autoSpaceDE w:val="0"/>
        <w:autoSpaceDN w:val="0"/>
        <w:adjustRightInd w:val="0"/>
        <w:spacing w:before="40" w:after="40" w:line="240" w:lineRule="auto"/>
        <w:jc w:val="both"/>
        <w:rPr>
          <w:rFonts w:cs="Calibri"/>
          <w:b/>
          <w:bCs/>
          <w:lang w:val="it-IT"/>
        </w:rPr>
      </w:pPr>
      <w:r w:rsidRPr="00100314">
        <w:rPr>
          <w:rFonts w:cs="Calibri"/>
          <w:b/>
          <w:bCs/>
          <w:lang w:val="it-IT"/>
        </w:rPr>
        <w:t>AUSTRALIA</w:t>
      </w:r>
    </w:p>
    <w:p w:rsidR="0072340A" w:rsidRDefault="0072340A" w:rsidP="0072340A">
      <w:pPr>
        <w:autoSpaceDE w:val="0"/>
        <w:autoSpaceDN w:val="0"/>
        <w:adjustRightInd w:val="0"/>
        <w:spacing w:after="128" w:line="264" w:lineRule="auto"/>
        <w:jc w:val="both"/>
        <w:rPr>
          <w:rFonts w:cs="Calibri"/>
          <w:lang w:val="it-IT"/>
        </w:rPr>
      </w:pPr>
    </w:p>
    <w:p w:rsidR="0072340A" w:rsidRPr="00100314" w:rsidRDefault="0072340A" w:rsidP="0072340A">
      <w:pPr>
        <w:autoSpaceDE w:val="0"/>
        <w:autoSpaceDN w:val="0"/>
        <w:adjustRightInd w:val="0"/>
        <w:spacing w:after="128" w:line="264" w:lineRule="auto"/>
        <w:jc w:val="both"/>
        <w:rPr>
          <w:rFonts w:cs="Calibri"/>
          <w:lang w:val="it-IT"/>
        </w:rPr>
      </w:pPr>
      <w:r w:rsidRPr="00100314">
        <w:rPr>
          <w:rFonts w:cs="Calibri"/>
          <w:lang w:val="it-IT"/>
        </w:rPr>
        <w:t xml:space="preserve">INFORMAZIONI GENERALI </w:t>
      </w:r>
    </w:p>
    <w:p w:rsidR="0072340A" w:rsidRPr="00812CC3" w:rsidRDefault="0072340A" w:rsidP="0072340A">
      <w:pPr>
        <w:autoSpaceDE w:val="0"/>
        <w:autoSpaceDN w:val="0"/>
        <w:adjustRightInd w:val="0"/>
        <w:spacing w:after="0" w:line="240" w:lineRule="auto"/>
        <w:jc w:val="both"/>
        <w:rPr>
          <w:rFonts w:cs="Calibri"/>
          <w:b/>
          <w:lang w:val="it-IT"/>
        </w:rPr>
      </w:pPr>
      <w:r w:rsidRPr="00812CC3">
        <w:rPr>
          <w:rFonts w:cs="Calibri"/>
          <w:b/>
          <w:lang w:val="it-IT"/>
        </w:rPr>
        <w:t>ACQUISTO DI UNITA' IMMOBILIARI</w:t>
      </w:r>
    </w:p>
    <w:p w:rsidR="00812CC3" w:rsidRDefault="00812CC3" w:rsidP="00812CC3">
      <w:pPr>
        <w:spacing w:after="0"/>
        <w:jc w:val="both"/>
        <w:rPr>
          <w:lang w:val="it-IT"/>
        </w:rPr>
      </w:pPr>
      <w:r>
        <w:rPr>
          <w:lang w:val="it-IT"/>
        </w:rPr>
        <w:t>Grazie all’Accordo di Canberra del 26/09/67, ratificato in Italia con D.P.R 9 dicembre 1970 n. 1430 art. n. 28 vige uno status di reciprocità anche per gli investimenti nel settore immobiliare.</w:t>
      </w:r>
    </w:p>
    <w:p w:rsidR="00812CC3" w:rsidRDefault="00812CC3" w:rsidP="00812CC3">
      <w:pPr>
        <w:spacing w:after="0"/>
        <w:jc w:val="both"/>
        <w:rPr>
          <w:lang w:val="it-IT"/>
        </w:rPr>
      </w:pPr>
    </w:p>
    <w:p w:rsidR="00812CC3" w:rsidRDefault="00812CC3" w:rsidP="00812CC3">
      <w:pPr>
        <w:spacing w:after="0"/>
        <w:jc w:val="both"/>
        <w:rPr>
          <w:lang w:val="it-IT"/>
        </w:rPr>
      </w:pPr>
    </w:p>
    <w:p w:rsidR="00812CC3" w:rsidRDefault="00812CC3" w:rsidP="00812CC3">
      <w:pPr>
        <w:pStyle w:val="Paragrafoelenco"/>
        <w:numPr>
          <w:ilvl w:val="0"/>
          <w:numId w:val="3"/>
        </w:numPr>
        <w:spacing w:after="0" w:line="276" w:lineRule="auto"/>
        <w:jc w:val="both"/>
        <w:rPr>
          <w:rStyle w:val="y2iqfc"/>
          <w:rFonts w:cstheme="minorHAnsi"/>
          <w:b/>
          <w:bCs/>
        </w:rPr>
      </w:pPr>
      <w:r>
        <w:rPr>
          <w:rStyle w:val="y2iqfc"/>
          <w:rFonts w:cstheme="minorHAnsi"/>
          <w:b/>
          <w:bCs/>
          <w:lang w:val="it-IT"/>
        </w:rPr>
        <w:t xml:space="preserve">Quadro degli investimenti </w:t>
      </w:r>
      <w:r>
        <w:rPr>
          <w:b/>
          <w:lang w:val="it-IT"/>
        </w:rPr>
        <w:t>esteri</w:t>
      </w:r>
      <w:r>
        <w:rPr>
          <w:lang w:val="it-IT"/>
        </w:rPr>
        <w:t xml:space="preserve"> </w:t>
      </w:r>
      <w:r>
        <w:rPr>
          <w:rStyle w:val="y2iqfc"/>
          <w:rFonts w:cstheme="minorHAnsi"/>
          <w:b/>
          <w:bCs/>
          <w:lang w:val="it-IT"/>
        </w:rPr>
        <w:t xml:space="preserve">in Australia </w:t>
      </w:r>
    </w:p>
    <w:p w:rsidR="00812CC3" w:rsidRDefault="00812CC3" w:rsidP="00812CC3">
      <w:pPr>
        <w:spacing w:after="0"/>
        <w:jc w:val="both"/>
        <w:rPr>
          <w:rFonts w:cstheme="minorBidi"/>
        </w:rPr>
      </w:pPr>
      <w:bookmarkStart w:id="0" w:name="_GoBack"/>
      <w:bookmarkEnd w:id="0"/>
    </w:p>
    <w:p w:rsidR="00812CC3" w:rsidRPr="00812CC3" w:rsidRDefault="00812CC3" w:rsidP="00812CC3">
      <w:pPr>
        <w:spacing w:after="0"/>
        <w:jc w:val="both"/>
      </w:pPr>
      <w:r>
        <w:rPr>
          <w:lang w:val="it-IT"/>
        </w:rPr>
        <w:t>Gli</w:t>
      </w:r>
      <w:r w:rsidRPr="00812CC3">
        <w:t xml:space="preserve"> </w:t>
      </w:r>
      <w:r>
        <w:rPr>
          <w:lang w:val="it-IT"/>
        </w:rPr>
        <w:t>investimenti</w:t>
      </w:r>
      <w:r w:rsidRPr="00812CC3">
        <w:t xml:space="preserve"> </w:t>
      </w:r>
      <w:r>
        <w:rPr>
          <w:lang w:val="it-IT"/>
        </w:rPr>
        <w:t>esteri</w:t>
      </w:r>
      <w:r w:rsidRPr="00812CC3">
        <w:t xml:space="preserve"> </w:t>
      </w:r>
      <w:r>
        <w:rPr>
          <w:lang w:val="it-IT"/>
        </w:rPr>
        <w:t>in</w:t>
      </w:r>
      <w:r w:rsidRPr="00812CC3">
        <w:t xml:space="preserve"> </w:t>
      </w:r>
      <w:r>
        <w:rPr>
          <w:lang w:val="it-IT"/>
        </w:rPr>
        <w:t>Australia</w:t>
      </w:r>
      <w:r w:rsidRPr="00812CC3">
        <w:t xml:space="preserve"> </w:t>
      </w:r>
      <w:r>
        <w:rPr>
          <w:lang w:val="it-IT"/>
        </w:rPr>
        <w:t>sono</w:t>
      </w:r>
      <w:r w:rsidRPr="00812CC3">
        <w:t xml:space="preserve"> </w:t>
      </w:r>
      <w:r>
        <w:rPr>
          <w:lang w:val="it-IT"/>
        </w:rPr>
        <w:t>principalmente</w:t>
      </w:r>
      <w:r w:rsidRPr="00812CC3">
        <w:t xml:space="preserve"> </w:t>
      </w:r>
      <w:r>
        <w:rPr>
          <w:lang w:val="it-IT"/>
        </w:rPr>
        <w:t>regolamentati</w:t>
      </w:r>
      <w:r w:rsidRPr="00812CC3">
        <w:t xml:space="preserve"> </w:t>
      </w:r>
      <w:r>
        <w:rPr>
          <w:lang w:val="it-IT"/>
        </w:rPr>
        <w:t>da</w:t>
      </w:r>
      <w:r w:rsidRPr="00812CC3">
        <w:t xml:space="preserve"> 2 </w:t>
      </w:r>
      <w:r>
        <w:rPr>
          <w:lang w:val="it-IT"/>
        </w:rPr>
        <w:t>normative</w:t>
      </w:r>
      <w:r w:rsidRPr="00812CC3">
        <w:t xml:space="preserve">: </w:t>
      </w:r>
      <w:r>
        <w:rPr>
          <w:rStyle w:val="y2iqfc"/>
          <w:rFonts w:cstheme="minorHAnsi"/>
          <w:lang w:val="it-IT"/>
        </w:rPr>
        <w:t>il</w:t>
      </w:r>
      <w:r w:rsidRPr="00812CC3">
        <w:rPr>
          <w:rStyle w:val="y2iqfc"/>
          <w:rFonts w:cstheme="minorHAnsi"/>
        </w:rPr>
        <w:t xml:space="preserve"> </w:t>
      </w:r>
      <w:proofErr w:type="spellStart"/>
      <w:r>
        <w:rPr>
          <w:lang w:val="it-IT"/>
        </w:rPr>
        <w:t>Foreign</w:t>
      </w:r>
      <w:proofErr w:type="spellEnd"/>
      <w:r w:rsidRPr="00812CC3">
        <w:t xml:space="preserve"> </w:t>
      </w:r>
      <w:proofErr w:type="spellStart"/>
      <w:r>
        <w:rPr>
          <w:lang w:val="it-IT"/>
        </w:rPr>
        <w:t>Acquisitions</w:t>
      </w:r>
      <w:proofErr w:type="spellEnd"/>
      <w:r w:rsidRPr="00812CC3">
        <w:t xml:space="preserve"> </w:t>
      </w:r>
      <w:r>
        <w:rPr>
          <w:lang w:val="it-IT"/>
        </w:rPr>
        <w:t>and</w:t>
      </w:r>
      <w:r w:rsidRPr="00812CC3">
        <w:t xml:space="preserve"> </w:t>
      </w:r>
      <w:proofErr w:type="spellStart"/>
      <w:r>
        <w:rPr>
          <w:lang w:val="it-IT"/>
        </w:rPr>
        <w:t>Takeovers</w:t>
      </w:r>
      <w:proofErr w:type="spellEnd"/>
      <w:r w:rsidRPr="00812CC3">
        <w:t xml:space="preserve"> </w:t>
      </w:r>
      <w:proofErr w:type="spellStart"/>
      <w:r>
        <w:rPr>
          <w:lang w:val="it-IT"/>
        </w:rPr>
        <w:t>Act</w:t>
      </w:r>
      <w:proofErr w:type="spellEnd"/>
      <w:r w:rsidRPr="00812CC3">
        <w:t xml:space="preserve"> </w:t>
      </w:r>
      <w:r>
        <w:rPr>
          <w:lang w:val="it-IT"/>
        </w:rPr>
        <w:t>del</w:t>
      </w:r>
      <w:r w:rsidRPr="00812CC3">
        <w:t xml:space="preserve"> 1975</w:t>
      </w:r>
      <w:r w:rsidRPr="00812CC3">
        <w:rPr>
          <w:rStyle w:val="y2iqfc"/>
          <w:rFonts w:cstheme="minorHAnsi"/>
        </w:rPr>
        <w:t xml:space="preserve"> </w:t>
      </w:r>
      <w:r>
        <w:rPr>
          <w:rStyle w:val="y2iqfc"/>
          <w:rFonts w:cstheme="minorHAnsi"/>
          <w:lang w:val="it-IT"/>
        </w:rPr>
        <w:t>e</w:t>
      </w:r>
      <w:r w:rsidRPr="00812CC3">
        <w:rPr>
          <w:rStyle w:val="y2iqfc"/>
          <w:rFonts w:cstheme="minorHAnsi"/>
        </w:rPr>
        <w:t xml:space="preserve"> </w:t>
      </w:r>
      <w:r>
        <w:rPr>
          <w:rStyle w:val="y2iqfc"/>
          <w:rFonts w:cstheme="minorHAnsi"/>
          <w:lang w:val="it-IT"/>
        </w:rPr>
        <w:t>il</w:t>
      </w:r>
      <w:r w:rsidRPr="00812CC3">
        <w:rPr>
          <w:rStyle w:val="y2iqfc"/>
          <w:rFonts w:cstheme="minorHAnsi"/>
        </w:rPr>
        <w:t xml:space="preserve"> </w:t>
      </w:r>
      <w:bookmarkStart w:id="1" w:name="_Hlk80109142"/>
      <w:proofErr w:type="spellStart"/>
      <w:r>
        <w:rPr>
          <w:lang w:val="it-IT"/>
        </w:rPr>
        <w:t>Foreign</w:t>
      </w:r>
      <w:proofErr w:type="spellEnd"/>
      <w:r w:rsidRPr="00812CC3">
        <w:t xml:space="preserve"> </w:t>
      </w:r>
      <w:proofErr w:type="spellStart"/>
      <w:r>
        <w:rPr>
          <w:lang w:val="it-IT"/>
        </w:rPr>
        <w:t>Acquisitions</w:t>
      </w:r>
      <w:proofErr w:type="spellEnd"/>
      <w:r w:rsidRPr="00812CC3">
        <w:t xml:space="preserve"> </w:t>
      </w:r>
      <w:r>
        <w:rPr>
          <w:lang w:val="it-IT"/>
        </w:rPr>
        <w:t>and</w:t>
      </w:r>
      <w:r w:rsidRPr="00812CC3">
        <w:t xml:space="preserve"> </w:t>
      </w:r>
      <w:proofErr w:type="spellStart"/>
      <w:r>
        <w:rPr>
          <w:lang w:val="it-IT"/>
        </w:rPr>
        <w:t>Takeovers</w:t>
      </w:r>
      <w:proofErr w:type="spellEnd"/>
      <w:r w:rsidRPr="00812CC3">
        <w:t xml:space="preserve"> </w:t>
      </w:r>
      <w:proofErr w:type="spellStart"/>
      <w:r>
        <w:rPr>
          <w:lang w:val="it-IT"/>
        </w:rPr>
        <w:t>Fees</w:t>
      </w:r>
      <w:proofErr w:type="spellEnd"/>
      <w:r w:rsidRPr="00812CC3">
        <w:t xml:space="preserve"> </w:t>
      </w:r>
      <w:proofErr w:type="spellStart"/>
      <w:r>
        <w:rPr>
          <w:lang w:val="it-IT"/>
        </w:rPr>
        <w:t>Impositions</w:t>
      </w:r>
      <w:proofErr w:type="spellEnd"/>
      <w:r w:rsidRPr="00812CC3">
        <w:t xml:space="preserve"> </w:t>
      </w:r>
      <w:proofErr w:type="spellStart"/>
      <w:r>
        <w:rPr>
          <w:lang w:val="it-IT"/>
        </w:rPr>
        <w:t>Act</w:t>
      </w:r>
      <w:proofErr w:type="spellEnd"/>
      <w:r w:rsidRPr="00812CC3">
        <w:t xml:space="preserve"> </w:t>
      </w:r>
      <w:bookmarkEnd w:id="1"/>
      <w:r>
        <w:rPr>
          <w:lang w:val="it-IT"/>
        </w:rPr>
        <w:t>del</w:t>
      </w:r>
      <w:r w:rsidRPr="00812CC3">
        <w:t xml:space="preserve"> 2015.</w:t>
      </w:r>
    </w:p>
    <w:p w:rsidR="00812CC3" w:rsidRDefault="00812CC3" w:rsidP="00812CC3">
      <w:pPr>
        <w:spacing w:after="0"/>
        <w:jc w:val="both"/>
        <w:rPr>
          <w:lang w:val="it-IT"/>
        </w:rPr>
      </w:pPr>
      <w:r>
        <w:rPr>
          <w:lang w:val="it-IT"/>
        </w:rPr>
        <w:t>La legislazione prevede che ogni proposta di investimento venga notificata al Ministero delle Finanze australiano (</w:t>
      </w:r>
      <w:proofErr w:type="spellStart"/>
      <w:r>
        <w:rPr>
          <w:lang w:val="it-IT"/>
        </w:rPr>
        <w:t>Treasury</w:t>
      </w:r>
      <w:proofErr w:type="spellEnd"/>
      <w:r>
        <w:rPr>
          <w:lang w:val="it-IT"/>
        </w:rPr>
        <w:t xml:space="preserve">) per un’approvazione (salvo eccezioni). </w:t>
      </w:r>
    </w:p>
    <w:p w:rsidR="00812CC3" w:rsidRDefault="00812CC3" w:rsidP="00812CC3">
      <w:pPr>
        <w:spacing w:after="0"/>
        <w:jc w:val="both"/>
        <w:rPr>
          <w:rStyle w:val="y2iqfc"/>
          <w:rFonts w:cstheme="minorHAnsi"/>
        </w:rPr>
      </w:pPr>
      <w:r>
        <w:rPr>
          <w:lang w:val="it-IT"/>
        </w:rPr>
        <w:t>Il Ministro (</w:t>
      </w:r>
      <w:proofErr w:type="spellStart"/>
      <w:r>
        <w:rPr>
          <w:lang w:val="it-IT"/>
        </w:rPr>
        <w:t>Treasurer</w:t>
      </w:r>
      <w:proofErr w:type="spellEnd"/>
      <w:r>
        <w:rPr>
          <w:lang w:val="it-IT"/>
        </w:rPr>
        <w:t>) ha il potere d</w:t>
      </w:r>
      <w:r>
        <w:rPr>
          <w:rStyle w:val="y2iqfc"/>
          <w:rFonts w:cstheme="minorHAnsi"/>
          <w:lang w:val="it-IT"/>
        </w:rPr>
        <w:t>i vietare questi investimenti o di porre condizioni per garantire la sicurezza nazionale.</w:t>
      </w:r>
    </w:p>
    <w:p w:rsidR="00812CC3" w:rsidRDefault="00812CC3" w:rsidP="00812CC3">
      <w:pPr>
        <w:spacing w:after="0"/>
        <w:jc w:val="both"/>
        <w:rPr>
          <w:rStyle w:val="y2iqfc"/>
          <w:rFonts w:cstheme="minorHAnsi"/>
          <w:lang w:val="it-IT"/>
        </w:rPr>
      </w:pPr>
    </w:p>
    <w:p w:rsidR="00812CC3" w:rsidRDefault="00812CC3" w:rsidP="00812CC3">
      <w:pPr>
        <w:spacing w:after="0"/>
        <w:jc w:val="both"/>
        <w:rPr>
          <w:rFonts w:cstheme="minorBidi"/>
        </w:rPr>
      </w:pPr>
      <w:r>
        <w:rPr>
          <w:rStyle w:val="y2iqfc"/>
          <w:rFonts w:cstheme="minorHAnsi"/>
          <w:lang w:val="it-IT"/>
        </w:rPr>
        <w:t xml:space="preserve">Dal 1 gennaio 2021 è entrata in vigore la riforma più significativa del </w:t>
      </w:r>
      <w:proofErr w:type="spellStart"/>
      <w:r>
        <w:rPr>
          <w:lang w:val="it-IT"/>
        </w:rPr>
        <w:t>Foreign</w:t>
      </w:r>
      <w:proofErr w:type="spellEnd"/>
      <w:r>
        <w:rPr>
          <w:lang w:val="it-IT"/>
        </w:rPr>
        <w:t xml:space="preserve"> </w:t>
      </w:r>
      <w:proofErr w:type="spellStart"/>
      <w:r>
        <w:rPr>
          <w:lang w:val="it-IT"/>
        </w:rPr>
        <w:t>Acquisitions</w:t>
      </w:r>
      <w:proofErr w:type="spellEnd"/>
      <w:r>
        <w:rPr>
          <w:lang w:val="it-IT"/>
        </w:rPr>
        <w:t xml:space="preserve"> and </w:t>
      </w:r>
      <w:proofErr w:type="spellStart"/>
      <w:r>
        <w:rPr>
          <w:lang w:val="it-IT"/>
        </w:rPr>
        <w:t>Takeovers</w:t>
      </w:r>
      <w:proofErr w:type="spellEnd"/>
      <w:r>
        <w:rPr>
          <w:lang w:val="it-IT"/>
        </w:rPr>
        <w:t xml:space="preserve"> </w:t>
      </w:r>
      <w:proofErr w:type="spellStart"/>
      <w:r>
        <w:rPr>
          <w:lang w:val="it-IT"/>
        </w:rPr>
        <w:t>Act</w:t>
      </w:r>
      <w:proofErr w:type="spellEnd"/>
      <w:r>
        <w:rPr>
          <w:lang w:val="it-IT"/>
        </w:rPr>
        <w:t xml:space="preserve"> del 1975 atta a modernizzare la legislazione includendo i rischi emergenti nel panorama nazionale e gli sviluppi globali, nonché ad allineare la normativa con regimi di investimenti stranieri di altri Paesi</w:t>
      </w:r>
      <w:r>
        <w:rPr>
          <w:rStyle w:val="Rimandonotaapidipagina"/>
          <w:rFonts w:cstheme="minorHAnsi"/>
          <w:lang w:val="it-IT"/>
        </w:rPr>
        <w:footnoteReference w:id="1"/>
      </w:r>
      <w:r>
        <w:rPr>
          <w:lang w:val="it-IT"/>
        </w:rPr>
        <w:t>.</w:t>
      </w:r>
    </w:p>
    <w:p w:rsidR="00812CC3" w:rsidRDefault="00812CC3" w:rsidP="00812CC3">
      <w:pPr>
        <w:spacing w:after="0"/>
        <w:jc w:val="both"/>
        <w:rPr>
          <w:rStyle w:val="y2iqfc"/>
          <w:rFonts w:cstheme="minorHAnsi"/>
        </w:rPr>
      </w:pPr>
      <w:r>
        <w:rPr>
          <w:lang w:val="it-IT"/>
        </w:rPr>
        <w:t xml:space="preserve">A questo proposito, il </w:t>
      </w:r>
      <w:proofErr w:type="spellStart"/>
      <w:r>
        <w:rPr>
          <w:lang w:val="it-IT"/>
        </w:rPr>
        <w:t>Treasury</w:t>
      </w:r>
      <w:proofErr w:type="spellEnd"/>
      <w:r>
        <w:rPr>
          <w:lang w:val="it-IT"/>
        </w:rPr>
        <w:t xml:space="preserve"> ha pubblicato l’</w:t>
      </w:r>
      <w:proofErr w:type="spellStart"/>
      <w:r>
        <w:fldChar w:fldCharType="begin"/>
      </w:r>
      <w:r>
        <w:instrText xml:space="preserve"> HYPERLINK "https://firb.gov.au/sites/firb.gov.au/files/2021-01/Australias_foreign_investment_policy.pdf" </w:instrText>
      </w:r>
      <w:r>
        <w:fldChar w:fldCharType="separate"/>
      </w:r>
      <w:r>
        <w:rPr>
          <w:rStyle w:val="Collegamentoipertestuale"/>
          <w:rFonts w:cstheme="minorHAnsi"/>
          <w:lang w:val="it-IT"/>
        </w:rPr>
        <w:t>Australia’s</w:t>
      </w:r>
      <w:proofErr w:type="spellEnd"/>
      <w:r>
        <w:rPr>
          <w:rStyle w:val="Collegamentoipertestuale"/>
          <w:rFonts w:cstheme="minorHAnsi"/>
          <w:lang w:val="it-IT"/>
        </w:rPr>
        <w:t xml:space="preserve"> </w:t>
      </w:r>
      <w:proofErr w:type="spellStart"/>
      <w:r>
        <w:rPr>
          <w:rStyle w:val="Collegamentoipertestuale"/>
          <w:rFonts w:cstheme="minorHAnsi"/>
          <w:lang w:val="it-IT"/>
        </w:rPr>
        <w:t>Foreign</w:t>
      </w:r>
      <w:proofErr w:type="spellEnd"/>
      <w:r>
        <w:rPr>
          <w:rStyle w:val="Collegamentoipertestuale"/>
          <w:rFonts w:cstheme="minorHAnsi"/>
          <w:lang w:val="it-IT"/>
        </w:rPr>
        <w:t xml:space="preserve"> </w:t>
      </w:r>
      <w:proofErr w:type="spellStart"/>
      <w:r>
        <w:rPr>
          <w:rStyle w:val="Collegamentoipertestuale"/>
          <w:rFonts w:cstheme="minorHAnsi"/>
          <w:lang w:val="it-IT"/>
        </w:rPr>
        <w:t>Investment</w:t>
      </w:r>
      <w:proofErr w:type="spellEnd"/>
      <w:r>
        <w:rPr>
          <w:rStyle w:val="Collegamentoipertestuale"/>
          <w:rFonts w:cstheme="minorHAnsi"/>
          <w:lang w:val="it-IT"/>
        </w:rPr>
        <w:t xml:space="preserve"> Policy</w:t>
      </w:r>
      <w:r>
        <w:fldChar w:fldCharType="end"/>
      </w:r>
      <w:r>
        <w:rPr>
          <w:rStyle w:val="y2iqfc"/>
          <w:rFonts w:cstheme="minorHAnsi"/>
          <w:lang w:val="it-IT"/>
        </w:rPr>
        <w:t xml:space="preserve">  documento che offre un quadro aggiornato della politica di investimenti esteri in Australia. </w:t>
      </w:r>
    </w:p>
    <w:p w:rsidR="00812CC3" w:rsidRDefault="00812CC3" w:rsidP="00812CC3">
      <w:pPr>
        <w:spacing w:after="0"/>
        <w:jc w:val="both"/>
        <w:rPr>
          <w:rStyle w:val="y2iqfc"/>
          <w:rFonts w:cstheme="minorHAnsi"/>
          <w:lang w:val="it-IT"/>
        </w:rPr>
      </w:pPr>
    </w:p>
    <w:p w:rsidR="00812CC3" w:rsidRDefault="00812CC3" w:rsidP="00812CC3">
      <w:pPr>
        <w:spacing w:after="0"/>
        <w:jc w:val="both"/>
        <w:rPr>
          <w:rStyle w:val="y2iqfc"/>
          <w:rFonts w:cstheme="minorHAnsi"/>
          <w:lang w:val="it-IT"/>
        </w:rPr>
      </w:pPr>
      <w:r>
        <w:rPr>
          <w:rStyle w:val="y2iqfc"/>
          <w:rFonts w:cstheme="minorHAnsi"/>
          <w:lang w:val="it-IT"/>
        </w:rPr>
        <w:t>Gli investimenti stranieri giocano un ruolo importante nell’economia australiana, tuttavia, rischi di interesse nazionale, in particolare sicurezza nazionale, sono aumentati anche a causa dell’avanzamento tecnologico e dei pericoli internazionali.</w:t>
      </w:r>
    </w:p>
    <w:p w:rsidR="00812CC3" w:rsidRDefault="00812CC3" w:rsidP="00812CC3">
      <w:pPr>
        <w:spacing w:after="0"/>
        <w:jc w:val="both"/>
        <w:rPr>
          <w:rStyle w:val="y2iqfc"/>
          <w:rFonts w:cstheme="minorBidi"/>
          <w:b/>
          <w:lang w:val="it-IT"/>
        </w:rPr>
      </w:pPr>
      <w:r>
        <w:rPr>
          <w:rStyle w:val="y2iqfc"/>
          <w:rFonts w:cstheme="minorHAnsi"/>
          <w:lang w:val="it-IT"/>
        </w:rPr>
        <w:t xml:space="preserve">Le Linee guida 8 del </w:t>
      </w:r>
      <w:proofErr w:type="spellStart"/>
      <w:r>
        <w:rPr>
          <w:lang w:val="it-IT"/>
        </w:rPr>
        <w:t>Foreign</w:t>
      </w:r>
      <w:proofErr w:type="spellEnd"/>
      <w:r>
        <w:rPr>
          <w:lang w:val="it-IT"/>
        </w:rPr>
        <w:t xml:space="preserve"> Investments </w:t>
      </w:r>
      <w:proofErr w:type="spellStart"/>
      <w:r>
        <w:rPr>
          <w:lang w:val="it-IT"/>
        </w:rPr>
        <w:t>Review</w:t>
      </w:r>
      <w:proofErr w:type="spellEnd"/>
      <w:r>
        <w:rPr>
          <w:lang w:val="it-IT"/>
        </w:rPr>
        <w:t xml:space="preserve"> Board (FIRB)</w:t>
      </w:r>
      <w:r>
        <w:rPr>
          <w:b/>
          <w:bCs/>
          <w:lang w:val="it-IT"/>
        </w:rPr>
        <w:t xml:space="preserve"> </w:t>
      </w:r>
      <w:r>
        <w:rPr>
          <w:rStyle w:val="y2iqfc"/>
          <w:rFonts w:cstheme="minorHAnsi"/>
          <w:lang w:val="it-IT"/>
        </w:rPr>
        <w:t>illustrano come la questione di sicurezza nazionale si declina negli investimenti esteri (vedi anche fine terzo punto “</w:t>
      </w:r>
      <w:r>
        <w:rPr>
          <w:bCs/>
          <w:lang w:val="it-IT"/>
        </w:rPr>
        <w:t>Fare domanda per un investimento in Australia</w:t>
      </w:r>
      <w:r>
        <w:rPr>
          <w:rStyle w:val="y2iqfc"/>
          <w:rFonts w:cstheme="minorHAnsi"/>
          <w:bCs/>
          <w:lang w:val="it-IT"/>
        </w:rPr>
        <w:t xml:space="preserve"> “).</w:t>
      </w:r>
    </w:p>
    <w:p w:rsidR="00812CC3" w:rsidRDefault="00812CC3" w:rsidP="00812CC3">
      <w:pPr>
        <w:spacing w:after="0"/>
        <w:jc w:val="both"/>
        <w:rPr>
          <w:rStyle w:val="y2iqfc"/>
          <w:rFonts w:cstheme="minorHAnsi"/>
          <w:lang w:val="it-IT"/>
        </w:rPr>
      </w:pPr>
    </w:p>
    <w:p w:rsidR="00812CC3" w:rsidRDefault="00812CC3" w:rsidP="00812CC3">
      <w:pPr>
        <w:spacing w:after="0"/>
        <w:jc w:val="both"/>
        <w:rPr>
          <w:rStyle w:val="y2iqfc"/>
          <w:rFonts w:cstheme="minorHAnsi"/>
          <w:lang w:val="it-IT"/>
        </w:rPr>
      </w:pPr>
    </w:p>
    <w:p w:rsidR="00812CC3" w:rsidRDefault="00812CC3" w:rsidP="00812CC3">
      <w:pPr>
        <w:spacing w:after="0"/>
        <w:jc w:val="both"/>
        <w:rPr>
          <w:rStyle w:val="y2iqfc"/>
          <w:rFonts w:cstheme="minorHAnsi"/>
          <w:lang w:val="it-IT"/>
        </w:rPr>
      </w:pPr>
    </w:p>
    <w:p w:rsidR="00812CC3" w:rsidRDefault="00812CC3" w:rsidP="00812CC3">
      <w:pPr>
        <w:pStyle w:val="Paragrafoelenco"/>
        <w:numPr>
          <w:ilvl w:val="0"/>
          <w:numId w:val="3"/>
        </w:numPr>
        <w:spacing w:after="0" w:line="276" w:lineRule="auto"/>
        <w:jc w:val="both"/>
        <w:rPr>
          <w:b/>
          <w:bCs/>
          <w:lang w:val="en-AU"/>
        </w:rPr>
      </w:pPr>
      <w:r>
        <w:rPr>
          <w:b/>
          <w:bCs/>
          <w:lang w:val="en-AU"/>
        </w:rPr>
        <w:t>Foreign Investments Review Board (FIRB) e Australian Taxation Office (ATO)</w:t>
      </w:r>
    </w:p>
    <w:p w:rsidR="00812CC3" w:rsidRDefault="00812CC3" w:rsidP="00812CC3">
      <w:pPr>
        <w:spacing w:after="0"/>
        <w:jc w:val="both"/>
        <w:rPr>
          <w:lang w:val="en-AU"/>
        </w:rPr>
      </w:pPr>
    </w:p>
    <w:p w:rsidR="00812CC3" w:rsidRDefault="00812CC3" w:rsidP="00812CC3">
      <w:pPr>
        <w:spacing w:after="0"/>
        <w:jc w:val="both"/>
        <w:rPr>
          <w:bCs/>
          <w:lang w:val="it-IT"/>
        </w:rPr>
      </w:pPr>
      <w:r>
        <w:rPr>
          <w:bCs/>
          <w:lang w:val="it-IT"/>
        </w:rPr>
        <w:t xml:space="preserve">Il </w:t>
      </w:r>
      <w:proofErr w:type="spellStart"/>
      <w:r>
        <w:rPr>
          <w:lang w:val="it-IT"/>
        </w:rPr>
        <w:t>Treasurer</w:t>
      </w:r>
      <w:proofErr w:type="spellEnd"/>
      <w:r>
        <w:rPr>
          <w:bCs/>
          <w:lang w:val="it-IT"/>
        </w:rPr>
        <w:t xml:space="preserve"> è consigliato dal FIRB per questioni legate agli investimenti esteri in Australia.</w:t>
      </w:r>
    </w:p>
    <w:p w:rsidR="00812CC3" w:rsidRDefault="00812CC3" w:rsidP="00812CC3">
      <w:pPr>
        <w:spacing w:after="0"/>
        <w:jc w:val="both"/>
        <w:rPr>
          <w:bCs/>
          <w:lang w:val="it-IT"/>
        </w:rPr>
      </w:pPr>
      <w:r>
        <w:rPr>
          <w:bCs/>
          <w:lang w:val="it-IT"/>
        </w:rPr>
        <w:t xml:space="preserve">FIRB e ATO (Agenzia delle entrate australiana) affiancano il </w:t>
      </w:r>
      <w:proofErr w:type="spellStart"/>
      <w:r>
        <w:rPr>
          <w:lang w:val="it-IT"/>
        </w:rPr>
        <w:t>Treasury</w:t>
      </w:r>
      <w:proofErr w:type="spellEnd"/>
      <w:r>
        <w:rPr>
          <w:bCs/>
          <w:lang w:val="it-IT"/>
        </w:rPr>
        <w:t xml:space="preserve"> nella gestione degli investimenti.</w:t>
      </w:r>
    </w:p>
    <w:p w:rsidR="00812CC3" w:rsidRDefault="00812CC3" w:rsidP="00812CC3">
      <w:pPr>
        <w:spacing w:after="0"/>
        <w:jc w:val="both"/>
        <w:rPr>
          <w:rStyle w:val="y2iqfc"/>
          <w:rFonts w:cstheme="minorHAnsi"/>
        </w:rPr>
      </w:pPr>
      <w:r>
        <w:rPr>
          <w:bCs/>
          <w:lang w:val="it-IT"/>
        </w:rPr>
        <w:t xml:space="preserve">Tutti gli investimenti </w:t>
      </w:r>
      <w:r>
        <w:rPr>
          <w:bCs/>
          <w:u w:val="single"/>
          <w:lang w:val="it-IT"/>
        </w:rPr>
        <w:t>sensibili</w:t>
      </w:r>
      <w:r>
        <w:rPr>
          <w:bCs/>
          <w:lang w:val="it-IT"/>
        </w:rPr>
        <w:t xml:space="preserve">, cioè legati a questioni di sicurezza nazionale, sono revisionati dal FIRB; questo include, ma non si limita, a </w:t>
      </w:r>
      <w:r>
        <w:rPr>
          <w:rStyle w:val="y2iqfc"/>
          <w:rFonts w:cstheme="minorHAnsi"/>
          <w:lang w:val="it-IT"/>
        </w:rPr>
        <w:t>proposte di tipo commerciale, agricolo e minerario.</w:t>
      </w:r>
    </w:p>
    <w:p w:rsidR="00812CC3" w:rsidRDefault="00812CC3" w:rsidP="00812CC3">
      <w:pPr>
        <w:spacing w:after="0"/>
        <w:jc w:val="both"/>
        <w:rPr>
          <w:rFonts w:cstheme="minorBidi"/>
          <w:bCs/>
        </w:rPr>
      </w:pPr>
      <w:r>
        <w:rPr>
          <w:bCs/>
          <w:lang w:val="it-IT"/>
        </w:rPr>
        <w:t xml:space="preserve">L’ATO gestisce proposte di investimenti </w:t>
      </w:r>
      <w:r>
        <w:rPr>
          <w:bCs/>
          <w:u w:val="single"/>
          <w:lang w:val="it-IT"/>
        </w:rPr>
        <w:t>meno sensibili</w:t>
      </w:r>
      <w:r>
        <w:rPr>
          <w:bCs/>
          <w:lang w:val="it-IT"/>
        </w:rPr>
        <w:t xml:space="preserve"> legate ad immobiliari di tipo residenziale.</w:t>
      </w:r>
    </w:p>
    <w:p w:rsidR="00812CC3" w:rsidRDefault="00812CC3" w:rsidP="00812CC3">
      <w:pPr>
        <w:spacing w:after="0"/>
        <w:jc w:val="both"/>
        <w:rPr>
          <w:lang w:val="it-IT"/>
        </w:rPr>
      </w:pPr>
    </w:p>
    <w:p w:rsidR="00812CC3" w:rsidRDefault="00812CC3" w:rsidP="00812CC3">
      <w:pPr>
        <w:spacing w:after="0"/>
        <w:jc w:val="both"/>
        <w:rPr>
          <w:lang w:val="it-IT"/>
        </w:rPr>
      </w:pPr>
    </w:p>
    <w:p w:rsidR="00812CC3" w:rsidRDefault="00812CC3" w:rsidP="00812CC3">
      <w:pPr>
        <w:pStyle w:val="Paragrafoelenco"/>
        <w:numPr>
          <w:ilvl w:val="0"/>
          <w:numId w:val="3"/>
        </w:numPr>
        <w:spacing w:after="0" w:line="276" w:lineRule="auto"/>
        <w:jc w:val="both"/>
        <w:rPr>
          <w:bCs/>
          <w:lang w:val="it-IT"/>
        </w:rPr>
      </w:pPr>
      <w:r>
        <w:rPr>
          <w:b/>
          <w:lang w:val="it-IT"/>
        </w:rPr>
        <w:t xml:space="preserve">Organismi di riferimento e materie di competenza </w:t>
      </w:r>
    </w:p>
    <w:p w:rsidR="00812CC3" w:rsidRDefault="00812CC3" w:rsidP="00812CC3">
      <w:pPr>
        <w:pStyle w:val="Paragrafoelenco"/>
        <w:spacing w:after="0"/>
        <w:jc w:val="both"/>
        <w:rPr>
          <w:bCs/>
          <w:lang w:val="it-IT"/>
        </w:rPr>
      </w:pPr>
    </w:p>
    <w:p w:rsidR="00812CC3" w:rsidRDefault="00812CC3" w:rsidP="00812CC3">
      <w:pPr>
        <w:spacing w:after="0"/>
        <w:jc w:val="both"/>
        <w:rPr>
          <w:lang w:val="it-IT"/>
        </w:rPr>
      </w:pPr>
      <w:r>
        <w:rPr>
          <w:lang w:val="it-IT"/>
        </w:rPr>
        <w:t xml:space="preserve">Le domande devono essere presentate elettronicamente sul sito del </w:t>
      </w:r>
      <w:hyperlink r:id="rId7" w:history="1">
        <w:r>
          <w:rPr>
            <w:rStyle w:val="Collegamentoipertestuale"/>
            <w:rFonts w:cstheme="minorHAnsi"/>
            <w:lang w:val="it-IT"/>
          </w:rPr>
          <w:t>FIRB</w:t>
        </w:r>
      </w:hyperlink>
      <w:r>
        <w:rPr>
          <w:lang w:val="it-IT"/>
        </w:rPr>
        <w:t xml:space="preserve"> o dell’</w:t>
      </w:r>
      <w:hyperlink r:id="rId8" w:history="1">
        <w:r>
          <w:rPr>
            <w:rStyle w:val="Collegamentoipertestuale"/>
            <w:rFonts w:cstheme="minorHAnsi"/>
            <w:lang w:val="it-IT"/>
          </w:rPr>
          <w:t>ATO</w:t>
        </w:r>
      </w:hyperlink>
      <w:r>
        <w:rPr>
          <w:lang w:val="it-IT"/>
        </w:rPr>
        <w:t xml:space="preserve"> a seconda della tipologia di investimento.</w:t>
      </w:r>
    </w:p>
    <w:p w:rsidR="00812CC3" w:rsidRDefault="00812CC3" w:rsidP="00812CC3">
      <w:pPr>
        <w:spacing w:after="0"/>
        <w:jc w:val="both"/>
        <w:rPr>
          <w:color w:val="FF0000"/>
          <w:lang w:val="it-IT"/>
        </w:rPr>
      </w:pPr>
      <w:r>
        <w:rPr>
          <w:lang w:val="it-IT"/>
        </w:rPr>
        <w:t>Prima di impegnarsi in un acquisto è consigliabile consultare le linee guida del FIRB per acquisire maggiori informazioni circa la necessità o meno di richiedere l’approvazione.</w:t>
      </w:r>
    </w:p>
    <w:p w:rsidR="00812CC3" w:rsidRDefault="00812CC3" w:rsidP="00812CC3">
      <w:pPr>
        <w:spacing w:after="0"/>
        <w:jc w:val="both"/>
        <w:rPr>
          <w:lang w:val="it-IT"/>
        </w:rPr>
      </w:pPr>
      <w:r>
        <w:rPr>
          <w:lang w:val="it-IT"/>
        </w:rPr>
        <w:t>In questo senso le</w:t>
      </w:r>
      <w:r>
        <w:rPr>
          <w:rFonts w:cstheme="minorHAnsi"/>
          <w:lang w:val="it-IT"/>
        </w:rPr>
        <w:t xml:space="preserve"> Linee guida 1</w:t>
      </w:r>
      <w:r>
        <w:rPr>
          <w:lang w:val="it-IT"/>
        </w:rPr>
        <w:t xml:space="preserve"> accompagnano nel processo decisionale della tipologia di azione da intraprendere, mentre le </w:t>
      </w:r>
      <w:hyperlink r:id="rId9" w:history="1">
        <w:r>
          <w:rPr>
            <w:rStyle w:val="Collegamentoipertestuale"/>
            <w:lang w:val="it-IT"/>
          </w:rPr>
          <w:t>Linee guida 2</w:t>
        </w:r>
      </w:hyperlink>
      <w:r>
        <w:rPr>
          <w:lang w:val="it-IT"/>
        </w:rPr>
        <w:t xml:space="preserve"> approfondiscono terminologia e concetti chiave della normativa in questione.</w:t>
      </w:r>
    </w:p>
    <w:p w:rsidR="00812CC3" w:rsidRDefault="00812CC3" w:rsidP="00812CC3">
      <w:pPr>
        <w:spacing w:after="0"/>
        <w:jc w:val="both"/>
        <w:rPr>
          <w:lang w:val="it-IT"/>
        </w:rPr>
      </w:pPr>
    </w:p>
    <w:p w:rsidR="00812CC3" w:rsidRDefault="00812CC3" w:rsidP="00812CC3">
      <w:pPr>
        <w:spacing w:after="0"/>
        <w:jc w:val="both"/>
        <w:rPr>
          <w:lang w:val="it-IT"/>
        </w:rPr>
      </w:pPr>
      <w:r>
        <w:rPr>
          <w:lang w:val="it-IT"/>
        </w:rPr>
        <w:t>Una volta che la richiesta giunge alle autorità australiane, queste valutano l’insieme di vari fattori per l’approvazione o il diniego dell’investimento.</w:t>
      </w:r>
    </w:p>
    <w:p w:rsidR="00812CC3" w:rsidRDefault="00812CC3" w:rsidP="00812CC3">
      <w:pPr>
        <w:spacing w:after="0"/>
        <w:jc w:val="both"/>
        <w:rPr>
          <w:lang w:val="it-IT"/>
        </w:rPr>
      </w:pPr>
      <w:r>
        <w:rPr>
          <w:lang w:val="it-IT"/>
        </w:rPr>
        <w:t>Alcuni di questi fattori sono: le conseguenze</w:t>
      </w:r>
      <w:r>
        <w:rPr>
          <w:rStyle w:val="y2iqfc"/>
          <w:rFonts w:cstheme="minorHAnsi"/>
          <w:lang w:val="it-IT"/>
        </w:rPr>
        <w:t xml:space="preserve"> sulla sicurezza nazionale, il valore dell’investimento, la </w:t>
      </w:r>
      <w:r>
        <w:rPr>
          <w:lang w:val="it-IT"/>
        </w:rPr>
        <w:t xml:space="preserve">natura del soggetto richiedente (Governo straniero o soggetto privato), tipologia di investimento, presenza di </w:t>
      </w:r>
      <w:r>
        <w:rPr>
          <w:rStyle w:val="y2iqfc"/>
          <w:rFonts w:cstheme="minorHAnsi"/>
          <w:lang w:val="it-IT"/>
        </w:rPr>
        <w:t>accordi di libero scambio</w:t>
      </w:r>
      <w:r>
        <w:rPr>
          <w:rStyle w:val="Rimandonotaapidipagina"/>
          <w:rFonts w:cstheme="minorHAnsi"/>
          <w:lang w:val="it-IT"/>
        </w:rPr>
        <w:footnoteReference w:id="2"/>
      </w:r>
      <w:r>
        <w:rPr>
          <w:rStyle w:val="y2iqfc"/>
          <w:rFonts w:cstheme="minorHAnsi"/>
          <w:lang w:val="it-IT"/>
        </w:rPr>
        <w:t xml:space="preserve"> .</w:t>
      </w:r>
    </w:p>
    <w:p w:rsidR="00812CC3" w:rsidRDefault="00812CC3" w:rsidP="00812CC3">
      <w:pPr>
        <w:spacing w:after="0"/>
        <w:jc w:val="both"/>
        <w:rPr>
          <w:lang w:val="it-IT"/>
        </w:rPr>
      </w:pPr>
    </w:p>
    <w:p w:rsidR="00812CC3" w:rsidRDefault="00812CC3" w:rsidP="00812CC3">
      <w:pPr>
        <w:spacing w:after="0"/>
        <w:jc w:val="both"/>
        <w:rPr>
          <w:u w:val="single"/>
          <w:lang w:val="it-IT"/>
        </w:rPr>
      </w:pPr>
      <w:r>
        <w:rPr>
          <w:lang w:val="it-IT"/>
        </w:rPr>
        <w:t xml:space="preserve">-  </w:t>
      </w:r>
      <w:r>
        <w:rPr>
          <w:u w:val="single"/>
          <w:lang w:val="it-IT"/>
        </w:rPr>
        <w:t>Investimenti immobiliari di competenza dell’ATO</w:t>
      </w:r>
    </w:p>
    <w:p w:rsidR="00812CC3" w:rsidRDefault="00812CC3" w:rsidP="00812CC3">
      <w:pPr>
        <w:spacing w:after="0"/>
        <w:jc w:val="both"/>
        <w:rPr>
          <w:bCs/>
          <w:lang w:val="it-IT"/>
        </w:rPr>
      </w:pPr>
    </w:p>
    <w:p w:rsidR="00812CC3" w:rsidRDefault="00812CC3" w:rsidP="00812CC3">
      <w:pPr>
        <w:spacing w:after="0"/>
        <w:jc w:val="both"/>
        <w:rPr>
          <w:lang w:val="it-IT"/>
        </w:rPr>
      </w:pPr>
      <w:r>
        <w:rPr>
          <w:lang w:val="it-IT"/>
        </w:rPr>
        <w:t xml:space="preserve">L’ATO gestisce pratiche relative ad immobili residenziali non considerate di importanza nazionale. Sono quindi incluse le richieste di: </w:t>
      </w:r>
    </w:p>
    <w:p w:rsidR="00812CC3" w:rsidRDefault="00812CC3" w:rsidP="00812CC3">
      <w:pPr>
        <w:spacing w:after="0"/>
        <w:jc w:val="both"/>
        <w:rPr>
          <w:lang w:val="it-IT"/>
        </w:rPr>
      </w:pPr>
    </w:p>
    <w:p w:rsidR="00812CC3" w:rsidRDefault="00812CC3" w:rsidP="00812CC3">
      <w:pPr>
        <w:spacing w:after="0"/>
        <w:rPr>
          <w:lang w:val="it-IT"/>
        </w:rPr>
        <w:sectPr w:rsidR="00812CC3">
          <w:pgSz w:w="12240" w:h="15840"/>
          <w:pgMar w:top="1440" w:right="1440" w:bottom="1440" w:left="1440" w:header="708" w:footer="708" w:gutter="0"/>
          <w:cols w:space="720"/>
        </w:sectPr>
      </w:pPr>
    </w:p>
    <w:p w:rsidR="00812CC3" w:rsidRDefault="00812CC3" w:rsidP="00812CC3">
      <w:pPr>
        <w:pStyle w:val="Paragrafoelenco"/>
        <w:numPr>
          <w:ilvl w:val="0"/>
          <w:numId w:val="4"/>
        </w:numPr>
        <w:spacing w:after="0" w:line="276" w:lineRule="auto"/>
        <w:jc w:val="both"/>
        <w:rPr>
          <w:rFonts w:cstheme="minorHAnsi"/>
          <w:lang w:val="it-IT"/>
        </w:rPr>
      </w:pPr>
      <w:r>
        <w:rPr>
          <w:rFonts w:cstheme="minorHAnsi"/>
          <w:lang w:val="it-IT"/>
        </w:rPr>
        <w:t>Nuova dimora</w:t>
      </w:r>
    </w:p>
    <w:p w:rsidR="00812CC3" w:rsidRDefault="00812CC3" w:rsidP="00812CC3">
      <w:pPr>
        <w:pStyle w:val="Paragrafoelenco"/>
        <w:numPr>
          <w:ilvl w:val="0"/>
          <w:numId w:val="4"/>
        </w:numPr>
        <w:spacing w:after="0" w:line="276" w:lineRule="auto"/>
        <w:jc w:val="both"/>
        <w:rPr>
          <w:rFonts w:cstheme="minorHAnsi"/>
          <w:lang w:val="en-US"/>
        </w:rPr>
      </w:pPr>
      <w:r>
        <w:rPr>
          <w:rStyle w:val="y2iqfc"/>
          <w:rFonts w:cstheme="minorHAnsi"/>
          <w:lang w:val="it-IT"/>
        </w:rPr>
        <w:t>Immobili da riqualificare</w:t>
      </w:r>
    </w:p>
    <w:p w:rsidR="00812CC3" w:rsidRDefault="00812CC3" w:rsidP="00812CC3">
      <w:pPr>
        <w:pStyle w:val="Paragrafoelenco"/>
        <w:numPr>
          <w:ilvl w:val="0"/>
          <w:numId w:val="4"/>
        </w:numPr>
        <w:spacing w:after="0" w:line="276" w:lineRule="auto"/>
        <w:jc w:val="both"/>
        <w:rPr>
          <w:rFonts w:cstheme="minorHAnsi"/>
          <w:lang w:val="it-IT"/>
        </w:rPr>
      </w:pPr>
      <w:r>
        <w:rPr>
          <w:rFonts w:cstheme="minorHAnsi"/>
          <w:lang w:val="it-IT"/>
        </w:rPr>
        <w:t>Dimora preesistente destinata all’utilizzo abitativo</w:t>
      </w:r>
    </w:p>
    <w:p w:rsidR="00812CC3" w:rsidRDefault="00812CC3" w:rsidP="00812CC3">
      <w:pPr>
        <w:numPr>
          <w:ilvl w:val="0"/>
          <w:numId w:val="4"/>
        </w:numPr>
        <w:spacing w:before="100" w:beforeAutospacing="1" w:after="100" w:afterAutospacing="1" w:line="240" w:lineRule="auto"/>
        <w:rPr>
          <w:rFonts w:asciiTheme="minorHAnsi" w:eastAsia="Times New Roman" w:cstheme="minorHAnsi"/>
          <w:lang w:val="it-IT" w:eastAsia="en-AU"/>
        </w:rPr>
      </w:pPr>
      <w:r>
        <w:rPr>
          <w:rFonts w:eastAsia="Times New Roman" w:cstheme="minorHAnsi"/>
          <w:lang w:val="it-IT" w:eastAsia="en-AU"/>
        </w:rPr>
        <w:t>Terreno vacante ad uso abitativo</w:t>
      </w:r>
    </w:p>
    <w:p w:rsidR="00812CC3" w:rsidRDefault="00812CC3" w:rsidP="00812CC3">
      <w:pPr>
        <w:numPr>
          <w:ilvl w:val="0"/>
          <w:numId w:val="4"/>
        </w:numPr>
        <w:spacing w:before="100" w:beforeAutospacing="1" w:after="100" w:afterAutospacing="1" w:line="240" w:lineRule="auto"/>
        <w:rPr>
          <w:rFonts w:eastAsia="Times New Roman" w:cstheme="minorHAnsi"/>
          <w:lang w:val="it-IT" w:eastAsia="en-AU"/>
        </w:rPr>
      </w:pPr>
      <w:r>
        <w:rPr>
          <w:rFonts w:eastAsia="Times New Roman" w:cstheme="minorHAnsi"/>
          <w:lang w:val="it-IT" w:eastAsia="en-AU"/>
        </w:rPr>
        <w:t>Certificati di esenzioni per investimenti residenziali</w:t>
      </w:r>
    </w:p>
    <w:p w:rsidR="00812CC3" w:rsidRDefault="00812CC3" w:rsidP="00812CC3">
      <w:pPr>
        <w:numPr>
          <w:ilvl w:val="0"/>
          <w:numId w:val="4"/>
        </w:numPr>
        <w:spacing w:before="100" w:beforeAutospacing="1" w:after="100" w:afterAutospacing="1" w:line="240" w:lineRule="auto"/>
        <w:rPr>
          <w:rFonts w:eastAsia="Times New Roman" w:cstheme="minorHAnsi"/>
          <w:lang w:val="it-IT" w:eastAsia="en-AU"/>
        </w:rPr>
      </w:pPr>
      <w:r>
        <w:rPr>
          <w:rFonts w:eastAsia="Times New Roman" w:cstheme="minorHAnsi"/>
          <w:lang w:val="it-IT" w:eastAsia="en-AU"/>
        </w:rPr>
        <w:t xml:space="preserve">Certificati di esenzioni per nuove dimore o quasi nuove dimore (solo per </w:t>
      </w:r>
      <w:r>
        <w:rPr>
          <w:rFonts w:cstheme="minorHAnsi"/>
          <w:lang w:val="it-IT"/>
        </w:rPr>
        <w:t>imprenditori edili)</w:t>
      </w:r>
    </w:p>
    <w:p w:rsidR="00812CC3" w:rsidRDefault="00812CC3" w:rsidP="00812CC3">
      <w:pPr>
        <w:spacing w:after="0" w:line="240" w:lineRule="auto"/>
        <w:rPr>
          <w:rFonts w:ascii="Times New Roman" w:eastAsia="Times New Roman" w:hAnsi="Times New Roman"/>
          <w:color w:val="FF0000"/>
          <w:sz w:val="24"/>
          <w:szCs w:val="24"/>
          <w:lang w:val="it-IT" w:eastAsia="en-AU"/>
        </w:rPr>
        <w:sectPr w:rsidR="00812CC3">
          <w:type w:val="continuous"/>
          <w:pgSz w:w="12240" w:h="15840"/>
          <w:pgMar w:top="1440" w:right="1440" w:bottom="1440" w:left="1440" w:header="708" w:footer="708" w:gutter="0"/>
          <w:cols w:num="2" w:space="708"/>
        </w:sectPr>
      </w:pPr>
    </w:p>
    <w:p w:rsidR="00812CC3" w:rsidRDefault="00812CC3" w:rsidP="00812CC3">
      <w:pPr>
        <w:spacing w:after="0"/>
        <w:jc w:val="both"/>
        <w:rPr>
          <w:rFonts w:eastAsiaTheme="minorHAnsi" w:cstheme="minorBidi"/>
          <w:lang w:val="it-IT"/>
        </w:rPr>
      </w:pPr>
    </w:p>
    <w:p w:rsidR="00812CC3" w:rsidRDefault="00812CC3" w:rsidP="00812CC3">
      <w:pPr>
        <w:spacing w:after="0"/>
        <w:jc w:val="both"/>
        <w:rPr>
          <w:lang w:val="it-IT"/>
        </w:rPr>
      </w:pPr>
    </w:p>
    <w:p w:rsidR="00812CC3" w:rsidRDefault="00812CC3" w:rsidP="00812CC3">
      <w:pPr>
        <w:spacing w:after="0"/>
        <w:jc w:val="both"/>
        <w:rPr>
          <w:lang w:val="it-IT"/>
        </w:rPr>
      </w:pPr>
      <w:r>
        <w:rPr>
          <w:lang w:val="it-IT"/>
        </w:rPr>
        <w:t xml:space="preserve">Le </w:t>
      </w:r>
      <w:hyperlink r:id="rId10" w:history="1">
        <w:r>
          <w:rPr>
            <w:rStyle w:val="Collegamentoipertestuale"/>
            <w:rFonts w:cstheme="minorHAnsi"/>
            <w:lang w:val="it-IT"/>
          </w:rPr>
          <w:t>linee guida 6</w:t>
        </w:r>
      </w:hyperlink>
      <w:r>
        <w:rPr>
          <w:lang w:val="it-IT"/>
        </w:rPr>
        <w:t xml:space="preserve"> relative ad investimenti residenziali informano che l’orientamento politico attuale  incentiva le compravendite di nuove edificazioni, piuttosto che di immobili già esistenti, innestando così una crescita economica maggiore grazie ad un più ampio coinvolgimento del settore edilizio. </w:t>
      </w:r>
    </w:p>
    <w:p w:rsidR="00812CC3" w:rsidRDefault="00812CC3" w:rsidP="00812CC3">
      <w:pPr>
        <w:spacing w:after="0"/>
        <w:jc w:val="both"/>
        <w:rPr>
          <w:lang w:val="it-IT"/>
        </w:rPr>
      </w:pPr>
    </w:p>
    <w:p w:rsidR="00812CC3" w:rsidRDefault="00812CC3" w:rsidP="00812CC3">
      <w:pPr>
        <w:spacing w:after="0"/>
        <w:jc w:val="both"/>
        <w:rPr>
          <w:lang w:val="it-IT"/>
        </w:rPr>
      </w:pPr>
      <w:r>
        <w:rPr>
          <w:lang w:val="it-IT"/>
        </w:rPr>
        <w:t>Ogni proposta di investimento verrà quindi valutata nell’ottica di quanto questa possa effettivamente contribuire all’incremento del valore del mercato immobiliare australiano.</w:t>
      </w:r>
    </w:p>
    <w:p w:rsidR="00812CC3" w:rsidRDefault="00812CC3" w:rsidP="00812CC3">
      <w:pPr>
        <w:spacing w:after="0"/>
        <w:jc w:val="both"/>
        <w:rPr>
          <w:lang w:val="it-IT"/>
        </w:rPr>
      </w:pPr>
      <w:r>
        <w:rPr>
          <w:lang w:val="it-IT"/>
        </w:rPr>
        <w:t xml:space="preserve">Per questa ragione non vi sono particolari ostacoli all’acquisto di un nuovo immobile o terreno in Australia, mentre, nel caso di immobili </w:t>
      </w:r>
      <w:proofErr w:type="spellStart"/>
      <w:r>
        <w:rPr>
          <w:lang w:val="it-IT"/>
        </w:rPr>
        <w:t>pre</w:t>
      </w:r>
      <w:proofErr w:type="spellEnd"/>
      <w:r>
        <w:rPr>
          <w:lang w:val="it-IT"/>
        </w:rPr>
        <w:t xml:space="preserve">-esistenti, gli investitori stranieri sono generalmente respinti. </w:t>
      </w:r>
    </w:p>
    <w:p w:rsidR="00812CC3" w:rsidRDefault="00812CC3" w:rsidP="00812CC3">
      <w:pPr>
        <w:spacing w:after="0"/>
        <w:jc w:val="both"/>
        <w:rPr>
          <w:lang w:val="it-IT"/>
        </w:rPr>
      </w:pPr>
      <w:r>
        <w:rPr>
          <w:lang w:val="it-IT"/>
        </w:rPr>
        <w:t>Vi sono tuttavia eccezioni che possono essere reperite nel documento sopracitato.</w:t>
      </w:r>
    </w:p>
    <w:p w:rsidR="00812CC3" w:rsidRDefault="00812CC3" w:rsidP="00812CC3">
      <w:pPr>
        <w:spacing w:after="0"/>
        <w:jc w:val="both"/>
        <w:rPr>
          <w:lang w:val="it-IT"/>
        </w:rPr>
      </w:pPr>
    </w:p>
    <w:p w:rsidR="00812CC3" w:rsidRDefault="00812CC3" w:rsidP="00812CC3">
      <w:pPr>
        <w:spacing w:after="0"/>
        <w:jc w:val="both"/>
        <w:rPr>
          <w:lang w:val="it-IT"/>
        </w:rPr>
      </w:pPr>
      <w:r>
        <w:rPr>
          <w:lang w:val="it-IT"/>
        </w:rPr>
        <w:lastRenderedPageBreak/>
        <w:t xml:space="preserve">Nella pagina dell’ATO dedicata al </w:t>
      </w:r>
      <w:hyperlink r:id="rId11" w:history="1">
        <w:proofErr w:type="spellStart"/>
        <w:r>
          <w:rPr>
            <w:rStyle w:val="Collegamentoipertestuale"/>
            <w:rFonts w:cstheme="minorHAnsi"/>
            <w:lang w:val="it-IT"/>
          </w:rPr>
          <w:t>Residential</w:t>
        </w:r>
        <w:proofErr w:type="spellEnd"/>
        <w:r>
          <w:rPr>
            <w:rStyle w:val="Collegamentoipertestuale"/>
            <w:rFonts w:cstheme="minorHAnsi"/>
            <w:lang w:val="it-IT"/>
          </w:rPr>
          <w:t xml:space="preserve"> </w:t>
        </w:r>
        <w:proofErr w:type="spellStart"/>
        <w:r>
          <w:rPr>
            <w:rStyle w:val="Collegamentoipertestuale"/>
            <w:rFonts w:cstheme="minorHAnsi"/>
            <w:lang w:val="it-IT"/>
          </w:rPr>
          <w:t>investment</w:t>
        </w:r>
        <w:proofErr w:type="spellEnd"/>
      </w:hyperlink>
      <w:r>
        <w:rPr>
          <w:lang w:val="it-IT"/>
        </w:rPr>
        <w:t xml:space="preserve"> si possono trovare maggiori informazioni legate agli investimenti immobiliari di tipo residenziale.</w:t>
      </w:r>
    </w:p>
    <w:p w:rsidR="00812CC3" w:rsidRDefault="00812CC3" w:rsidP="00812CC3">
      <w:pPr>
        <w:spacing w:after="0"/>
        <w:jc w:val="both"/>
        <w:rPr>
          <w:lang w:val="it-IT"/>
        </w:rPr>
      </w:pPr>
      <w:r>
        <w:rPr>
          <w:lang w:val="it-IT"/>
        </w:rPr>
        <w:t xml:space="preserve">Stranieri che valutano una compravendita in Australia potrebbero aver bisogno dell’approvazione prima dell’acquisto della proprietà; in tal senso l’ATO ha creato una pagina con le </w:t>
      </w:r>
      <w:hyperlink r:id="rId12" w:history="1">
        <w:r>
          <w:rPr>
            <w:rStyle w:val="Collegamentoipertestuale"/>
            <w:rFonts w:cstheme="minorHAnsi"/>
            <w:lang w:val="it-IT"/>
          </w:rPr>
          <w:t>istruzioni per la domanda di investimento</w:t>
        </w:r>
      </w:hyperlink>
      <w:r>
        <w:rPr>
          <w:lang w:val="it-IT"/>
        </w:rPr>
        <w:t xml:space="preserve"> .</w:t>
      </w:r>
    </w:p>
    <w:p w:rsidR="00812CC3" w:rsidRDefault="00812CC3" w:rsidP="00812CC3">
      <w:pPr>
        <w:spacing w:after="0"/>
        <w:jc w:val="both"/>
        <w:rPr>
          <w:lang w:val="it-IT"/>
        </w:rPr>
      </w:pPr>
    </w:p>
    <w:p w:rsidR="00812CC3" w:rsidRDefault="00812CC3" w:rsidP="00812CC3">
      <w:pPr>
        <w:spacing w:after="0"/>
        <w:jc w:val="both"/>
        <w:rPr>
          <w:lang w:val="it-IT"/>
        </w:rPr>
      </w:pPr>
      <w:r>
        <w:rPr>
          <w:lang w:val="it-IT"/>
        </w:rPr>
        <w:t>Si rimanda al punto 4 per approfondire le esenzioni per investimenti residenziali.</w:t>
      </w:r>
    </w:p>
    <w:p w:rsidR="00812CC3" w:rsidRDefault="00812CC3" w:rsidP="00812CC3">
      <w:pPr>
        <w:spacing w:after="0"/>
        <w:jc w:val="both"/>
        <w:rPr>
          <w:lang w:val="it-IT"/>
        </w:rPr>
      </w:pPr>
    </w:p>
    <w:p w:rsidR="00812CC3" w:rsidRDefault="00812CC3" w:rsidP="00812CC3">
      <w:pPr>
        <w:spacing w:after="0"/>
        <w:jc w:val="both"/>
        <w:rPr>
          <w:lang w:val="it-IT"/>
        </w:rPr>
      </w:pPr>
    </w:p>
    <w:p w:rsidR="00812CC3" w:rsidRDefault="00812CC3" w:rsidP="00812CC3">
      <w:pPr>
        <w:pStyle w:val="Paragrafoelenco"/>
        <w:numPr>
          <w:ilvl w:val="0"/>
          <w:numId w:val="5"/>
        </w:numPr>
        <w:spacing w:after="0" w:line="276" w:lineRule="auto"/>
        <w:jc w:val="both"/>
        <w:rPr>
          <w:u w:val="single"/>
          <w:lang w:val="it-IT"/>
        </w:rPr>
      </w:pPr>
      <w:r>
        <w:rPr>
          <w:u w:val="single"/>
          <w:lang w:val="it-IT"/>
        </w:rPr>
        <w:t>Investimenti immobiliari di competenza del FIRB</w:t>
      </w:r>
    </w:p>
    <w:p w:rsidR="00812CC3" w:rsidRDefault="00812CC3" w:rsidP="00812CC3">
      <w:pPr>
        <w:spacing w:after="0"/>
        <w:jc w:val="both"/>
        <w:rPr>
          <w:rStyle w:val="y2iqfc"/>
          <w:rFonts w:cstheme="minorHAnsi"/>
        </w:rPr>
      </w:pPr>
    </w:p>
    <w:p w:rsidR="00812CC3" w:rsidRDefault="00812CC3" w:rsidP="00812CC3">
      <w:pPr>
        <w:spacing w:after="0"/>
        <w:jc w:val="both"/>
        <w:rPr>
          <w:rStyle w:val="y2iqfc"/>
          <w:rFonts w:cstheme="minorHAnsi"/>
          <w:lang w:val="it-IT"/>
        </w:rPr>
      </w:pPr>
      <w:r>
        <w:rPr>
          <w:rStyle w:val="y2iqfc"/>
          <w:rFonts w:cstheme="minorHAnsi"/>
          <w:lang w:val="it-IT"/>
        </w:rPr>
        <w:t>Il FIRB valuta le proposte di investimenti legati a tutti gli immobili non elencati nella lista ATO, tra cui:</w:t>
      </w:r>
    </w:p>
    <w:p w:rsidR="00812CC3" w:rsidRDefault="00812CC3" w:rsidP="00812CC3">
      <w:pPr>
        <w:spacing w:after="0"/>
        <w:jc w:val="both"/>
        <w:rPr>
          <w:rStyle w:val="y2iqfc"/>
          <w:rFonts w:cstheme="minorHAnsi"/>
          <w:lang w:val="it-IT"/>
        </w:rPr>
      </w:pPr>
    </w:p>
    <w:p w:rsidR="00812CC3" w:rsidRDefault="00812CC3" w:rsidP="00812CC3">
      <w:pPr>
        <w:spacing w:after="0"/>
        <w:rPr>
          <w:rStyle w:val="y2iqfc"/>
          <w:rFonts w:cstheme="minorHAnsi"/>
          <w:lang w:val="it-IT"/>
        </w:rPr>
        <w:sectPr w:rsidR="00812CC3">
          <w:type w:val="continuous"/>
          <w:pgSz w:w="12240" w:h="15840"/>
          <w:pgMar w:top="1440" w:right="1440" w:bottom="1440" w:left="1440" w:header="708" w:footer="708" w:gutter="0"/>
          <w:cols w:space="720"/>
        </w:sectPr>
      </w:pPr>
    </w:p>
    <w:p w:rsidR="00812CC3" w:rsidRDefault="00812CC3" w:rsidP="00812CC3">
      <w:pPr>
        <w:pStyle w:val="Paragrafoelenco"/>
        <w:numPr>
          <w:ilvl w:val="0"/>
          <w:numId w:val="6"/>
        </w:numPr>
        <w:spacing w:after="0" w:line="276" w:lineRule="auto"/>
        <w:rPr>
          <w:rStyle w:val="y2iqfc"/>
          <w:rFonts w:cstheme="minorHAnsi"/>
          <w:lang w:val="it-IT"/>
        </w:rPr>
      </w:pPr>
      <w:r>
        <w:rPr>
          <w:rStyle w:val="y2iqfc"/>
          <w:rFonts w:cstheme="minorHAnsi"/>
          <w:lang w:val="it-IT"/>
        </w:rPr>
        <w:t>Terreni commerciali</w:t>
      </w:r>
    </w:p>
    <w:p w:rsidR="00812CC3" w:rsidRDefault="00812CC3" w:rsidP="00812CC3">
      <w:pPr>
        <w:pStyle w:val="Paragrafoelenco"/>
        <w:numPr>
          <w:ilvl w:val="0"/>
          <w:numId w:val="6"/>
        </w:numPr>
        <w:spacing w:after="0" w:line="276" w:lineRule="auto"/>
        <w:rPr>
          <w:rStyle w:val="y2iqfc"/>
          <w:rFonts w:cstheme="minorHAnsi"/>
          <w:lang w:val="it-IT"/>
        </w:rPr>
      </w:pPr>
      <w:r>
        <w:rPr>
          <w:rStyle w:val="y2iqfc"/>
          <w:rFonts w:cstheme="minorHAnsi"/>
          <w:lang w:val="it-IT"/>
        </w:rPr>
        <w:t>Terreni agricoli</w:t>
      </w:r>
    </w:p>
    <w:p w:rsidR="00812CC3" w:rsidRDefault="00812CC3" w:rsidP="00812CC3">
      <w:pPr>
        <w:pStyle w:val="Paragrafoelenco"/>
        <w:numPr>
          <w:ilvl w:val="0"/>
          <w:numId w:val="6"/>
        </w:numPr>
        <w:spacing w:after="0" w:line="276" w:lineRule="auto"/>
        <w:rPr>
          <w:rStyle w:val="y2iqfc"/>
          <w:rFonts w:cstheme="minorHAnsi"/>
          <w:lang w:val="it-IT"/>
        </w:rPr>
      </w:pPr>
      <w:r>
        <w:rPr>
          <w:rStyle w:val="y2iqfc"/>
          <w:rFonts w:cstheme="minorHAnsi"/>
          <w:lang w:val="it-IT"/>
        </w:rPr>
        <w:t>Terreni minerari</w:t>
      </w:r>
    </w:p>
    <w:p w:rsidR="00812CC3" w:rsidRDefault="00812CC3" w:rsidP="00812CC3">
      <w:pPr>
        <w:pStyle w:val="Paragrafoelenco"/>
        <w:numPr>
          <w:ilvl w:val="0"/>
          <w:numId w:val="6"/>
        </w:numPr>
        <w:spacing w:after="0" w:line="276" w:lineRule="auto"/>
        <w:rPr>
          <w:rStyle w:val="y2iqfc"/>
          <w:rFonts w:cstheme="minorHAnsi"/>
          <w:lang w:val="it-IT"/>
        </w:rPr>
      </w:pPr>
      <w:r>
        <w:rPr>
          <w:rStyle w:val="y2iqfc"/>
          <w:rFonts w:cstheme="minorHAnsi"/>
          <w:lang w:val="it-IT"/>
        </w:rPr>
        <w:t xml:space="preserve">Qualsiasi altro immobile legato alla sicurezza nazionale </w:t>
      </w:r>
    </w:p>
    <w:p w:rsidR="00812CC3" w:rsidRDefault="00812CC3" w:rsidP="00812CC3">
      <w:pPr>
        <w:pStyle w:val="Paragrafoelenco"/>
        <w:numPr>
          <w:ilvl w:val="0"/>
          <w:numId w:val="6"/>
        </w:numPr>
        <w:spacing w:after="0" w:line="276" w:lineRule="auto"/>
        <w:rPr>
          <w:rFonts w:ascii="Calibri" w:eastAsia="Times New Roman"/>
          <w:lang w:eastAsia="en-AU"/>
        </w:rPr>
      </w:pPr>
      <w:r>
        <w:rPr>
          <w:rFonts w:eastAsia="Times New Roman"/>
          <w:lang w:val="it-IT" w:eastAsia="en-AU"/>
        </w:rPr>
        <w:t>Un accordo o documenti costitutivi aziendali</w:t>
      </w:r>
    </w:p>
    <w:p w:rsidR="00812CC3" w:rsidRDefault="00812CC3" w:rsidP="00812CC3">
      <w:pPr>
        <w:pStyle w:val="Paragrafoelenco"/>
        <w:numPr>
          <w:ilvl w:val="0"/>
          <w:numId w:val="6"/>
        </w:numPr>
        <w:spacing w:after="0" w:line="276" w:lineRule="auto"/>
        <w:rPr>
          <w:rFonts w:eastAsia="Times New Roman"/>
          <w:lang w:val="it-IT" w:eastAsia="en-AU"/>
        </w:rPr>
      </w:pPr>
      <w:r>
        <w:rPr>
          <w:rFonts w:eastAsia="Times New Roman"/>
          <w:lang w:val="it-IT" w:eastAsia="en-AU"/>
        </w:rPr>
        <w:t>Beni capitali</w:t>
      </w:r>
    </w:p>
    <w:p w:rsidR="00812CC3" w:rsidRDefault="00812CC3" w:rsidP="00812CC3">
      <w:pPr>
        <w:pStyle w:val="Paragrafoelenco"/>
        <w:numPr>
          <w:ilvl w:val="0"/>
          <w:numId w:val="6"/>
        </w:numPr>
        <w:spacing w:after="0" w:line="276" w:lineRule="auto"/>
        <w:rPr>
          <w:rFonts w:eastAsia="Times New Roman"/>
          <w:lang w:val="it-IT" w:eastAsia="en-AU"/>
        </w:rPr>
      </w:pPr>
      <w:r>
        <w:rPr>
          <w:rFonts w:eastAsia="Times New Roman"/>
          <w:lang w:val="it-IT" w:eastAsia="en-AU"/>
        </w:rPr>
        <w:t>Formazione di una nuova attività</w:t>
      </w:r>
    </w:p>
    <w:p w:rsidR="00812CC3" w:rsidRDefault="00812CC3" w:rsidP="00812CC3">
      <w:pPr>
        <w:pStyle w:val="Paragrafoelenco"/>
        <w:numPr>
          <w:ilvl w:val="0"/>
          <w:numId w:val="6"/>
        </w:numPr>
        <w:spacing w:after="0" w:line="276" w:lineRule="auto"/>
        <w:rPr>
          <w:rFonts w:eastAsia="Times New Roman"/>
          <w:lang w:val="it-IT" w:eastAsia="en-AU"/>
        </w:rPr>
      </w:pPr>
      <w:r>
        <w:rPr>
          <w:rFonts w:eastAsia="Times New Roman"/>
          <w:lang w:val="it-IT" w:eastAsia="en-AU"/>
        </w:rPr>
        <w:t>Riorganizzazioni aziendali</w:t>
      </w:r>
    </w:p>
    <w:p w:rsidR="00812CC3" w:rsidRDefault="00812CC3" w:rsidP="00812CC3">
      <w:pPr>
        <w:pStyle w:val="Paragrafoelenco"/>
        <w:numPr>
          <w:ilvl w:val="0"/>
          <w:numId w:val="6"/>
        </w:numPr>
        <w:spacing w:after="0" w:line="276" w:lineRule="auto"/>
        <w:rPr>
          <w:rFonts w:eastAsia="Times New Roman"/>
          <w:lang w:val="it-IT" w:eastAsia="en-AU"/>
        </w:rPr>
      </w:pPr>
      <w:r>
        <w:rPr>
          <w:rFonts w:eastAsia="Times New Roman"/>
          <w:lang w:val="it-IT" w:eastAsia="en-AU"/>
        </w:rPr>
        <w:t>Titoli aziendali</w:t>
      </w:r>
    </w:p>
    <w:p w:rsidR="00812CC3" w:rsidRDefault="00812CC3" w:rsidP="00812CC3">
      <w:pPr>
        <w:pStyle w:val="Paragrafoelenco"/>
        <w:numPr>
          <w:ilvl w:val="0"/>
          <w:numId w:val="6"/>
        </w:numPr>
        <w:spacing w:after="0" w:line="276" w:lineRule="auto"/>
        <w:rPr>
          <w:rFonts w:eastAsia="Times New Roman"/>
          <w:lang w:val="it-IT" w:eastAsia="en-AU"/>
        </w:rPr>
      </w:pPr>
      <w:r>
        <w:rPr>
          <w:rFonts w:eastAsia="Times New Roman"/>
          <w:lang w:val="it-IT" w:eastAsia="en-AU"/>
        </w:rPr>
        <w:t>Un'attività di sicurezza nazionale</w:t>
      </w:r>
    </w:p>
    <w:p w:rsidR="00812CC3" w:rsidRDefault="00812CC3" w:rsidP="00812CC3">
      <w:pPr>
        <w:pStyle w:val="Paragrafoelenco"/>
        <w:numPr>
          <w:ilvl w:val="0"/>
          <w:numId w:val="6"/>
        </w:numPr>
        <w:spacing w:after="0" w:line="276" w:lineRule="auto"/>
        <w:rPr>
          <w:rStyle w:val="y2iqfc"/>
          <w:rFonts w:cstheme="minorHAnsi"/>
          <w:lang w:val="en-AU"/>
        </w:rPr>
      </w:pPr>
      <w:r>
        <w:rPr>
          <w:rFonts w:eastAsia="Times New Roman"/>
          <w:lang w:val="it-IT" w:eastAsia="en-AU"/>
        </w:rPr>
        <w:t>Terra di sicurezza nazionale</w:t>
      </w:r>
    </w:p>
    <w:p w:rsidR="00812CC3" w:rsidRDefault="00812CC3" w:rsidP="00812CC3">
      <w:pPr>
        <w:pStyle w:val="Paragrafoelenco"/>
        <w:numPr>
          <w:ilvl w:val="0"/>
          <w:numId w:val="6"/>
        </w:numPr>
        <w:spacing w:after="0" w:line="276" w:lineRule="auto"/>
        <w:rPr>
          <w:rFonts w:ascii="Calibri"/>
          <w:lang w:val="it-IT"/>
        </w:rPr>
      </w:pPr>
      <w:r>
        <w:rPr>
          <w:rFonts w:eastAsia="Times New Roman"/>
          <w:lang w:val="it-IT" w:eastAsia="en-AU"/>
        </w:rPr>
        <w:t>Un certificato di esenzione per terreni</w:t>
      </w:r>
    </w:p>
    <w:p w:rsidR="00812CC3" w:rsidRDefault="00812CC3" w:rsidP="00812CC3">
      <w:pPr>
        <w:pStyle w:val="Paragrafoelenco"/>
        <w:numPr>
          <w:ilvl w:val="0"/>
          <w:numId w:val="6"/>
        </w:numPr>
        <w:spacing w:after="0" w:line="276" w:lineRule="auto"/>
        <w:rPr>
          <w:rFonts w:eastAsia="Times New Roman"/>
          <w:lang w:val="it-IT" w:eastAsia="en-AU"/>
        </w:rPr>
      </w:pPr>
      <w:r>
        <w:rPr>
          <w:rFonts w:eastAsia="Times New Roman"/>
          <w:lang w:val="it-IT" w:eastAsia="en-AU"/>
        </w:rPr>
        <w:t>Un certificato di esenzione per aziende ed enti</w:t>
      </w:r>
    </w:p>
    <w:p w:rsidR="00812CC3" w:rsidRDefault="00812CC3" w:rsidP="00812CC3">
      <w:pPr>
        <w:spacing w:after="0"/>
        <w:rPr>
          <w:rStyle w:val="y2iqfc"/>
          <w:rFonts w:eastAsia="Times New Roman" w:cstheme="minorHAnsi"/>
          <w:lang w:val="it-IT" w:eastAsia="en-AU"/>
        </w:rPr>
        <w:sectPr w:rsidR="00812CC3">
          <w:type w:val="continuous"/>
          <w:pgSz w:w="12240" w:h="15840"/>
          <w:pgMar w:top="1440" w:right="1440" w:bottom="1440" w:left="1440" w:header="708" w:footer="708" w:gutter="0"/>
          <w:cols w:num="2" w:space="708"/>
        </w:sectPr>
      </w:pPr>
    </w:p>
    <w:p w:rsidR="00812CC3" w:rsidRDefault="00812CC3" w:rsidP="00812CC3">
      <w:pPr>
        <w:spacing w:after="0"/>
        <w:jc w:val="both"/>
        <w:rPr>
          <w:rStyle w:val="y2iqfc"/>
          <w:rFonts w:cstheme="minorHAnsi"/>
        </w:rPr>
      </w:pPr>
    </w:p>
    <w:p w:rsidR="00812CC3" w:rsidRDefault="00812CC3" w:rsidP="00812CC3">
      <w:pPr>
        <w:spacing w:after="0"/>
        <w:rPr>
          <w:rStyle w:val="y2iqfc"/>
          <w:rFonts w:eastAsia="Times New Roman" w:cstheme="minorHAnsi"/>
          <w:lang w:val="it-IT" w:eastAsia="en-AU"/>
        </w:rPr>
        <w:sectPr w:rsidR="00812CC3">
          <w:type w:val="continuous"/>
          <w:pgSz w:w="12240" w:h="15840"/>
          <w:pgMar w:top="1440" w:right="1440" w:bottom="1440" w:left="1440" w:header="708" w:footer="708" w:gutter="0"/>
          <w:cols w:num="2" w:space="708"/>
        </w:sectPr>
      </w:pPr>
    </w:p>
    <w:p w:rsidR="00812CC3" w:rsidRDefault="00812CC3" w:rsidP="00812CC3">
      <w:pPr>
        <w:spacing w:after="0"/>
        <w:jc w:val="both"/>
        <w:rPr>
          <w:rStyle w:val="y2iqfc"/>
          <w:rFonts w:eastAsia="Times New Roman" w:cstheme="minorHAnsi"/>
          <w:lang w:val="it-IT" w:eastAsia="en-AU"/>
        </w:rPr>
      </w:pPr>
    </w:p>
    <w:p w:rsidR="00812CC3" w:rsidRDefault="00812CC3" w:rsidP="00812CC3">
      <w:pPr>
        <w:spacing w:after="0"/>
        <w:jc w:val="both"/>
        <w:rPr>
          <w:rStyle w:val="y2iqfc"/>
          <w:rFonts w:eastAsiaTheme="minorHAnsi" w:cstheme="minorHAnsi"/>
          <w:lang w:val="it-IT"/>
        </w:rPr>
      </w:pPr>
      <w:r>
        <w:rPr>
          <w:lang w:val="it-IT"/>
        </w:rPr>
        <w:t>L</w:t>
      </w:r>
      <w:r>
        <w:rPr>
          <w:lang w:val="it-IT"/>
        </w:rPr>
        <w:t xml:space="preserve">e </w:t>
      </w:r>
      <w:hyperlink r:id="rId13" w:history="1">
        <w:r>
          <w:rPr>
            <w:rStyle w:val="Collegamentoipertestuale"/>
            <w:rFonts w:cstheme="minorHAnsi"/>
            <w:lang w:val="it-IT"/>
          </w:rPr>
          <w:t>Linee guida 8</w:t>
        </w:r>
      </w:hyperlink>
      <w:r>
        <w:rPr>
          <w:rStyle w:val="y2iqfc"/>
          <w:rFonts w:cstheme="minorHAnsi"/>
          <w:lang w:val="it-IT"/>
        </w:rPr>
        <w:t xml:space="preserve"> “Sicurezza nazionale” presentano le tipologia di settore ritenute sensibili (telecomunicazioni, energia, istruzione, salute, spazio, trasporti </w:t>
      </w:r>
      <w:proofErr w:type="spellStart"/>
      <w:r>
        <w:rPr>
          <w:rStyle w:val="y2iqfc"/>
          <w:rFonts w:cstheme="minorHAnsi"/>
          <w:lang w:val="it-IT"/>
        </w:rPr>
        <w:t>ecc</w:t>
      </w:r>
      <w:proofErr w:type="spellEnd"/>
      <w:r>
        <w:rPr>
          <w:rStyle w:val="y2iqfc"/>
          <w:rFonts w:cstheme="minorHAnsi"/>
          <w:lang w:val="it-IT"/>
        </w:rPr>
        <w:t xml:space="preserve">) nonché di come le richieste possano essere catalogate in uno dei 4 livelli di sicurezza a seconda della natura della proposta. Queste categorie sono: </w:t>
      </w:r>
      <w:r>
        <w:rPr>
          <w:rFonts w:eastAsia="Times New Roman" w:cstheme="minorHAnsi"/>
          <w:lang w:val="it-IT" w:eastAsia="en-AU"/>
        </w:rPr>
        <w:t>investimento con obbligo di notifica, investimento significativo, investimento di sicurezza nazionale ed investimento di sicurezza nazionale da riesaminare, maggiormente approfo</w:t>
      </w:r>
      <w:r>
        <w:rPr>
          <w:rFonts w:eastAsia="Times New Roman" w:cstheme="minorHAnsi"/>
          <w:lang w:val="it-IT" w:eastAsia="en-AU"/>
        </w:rPr>
        <w:t>n</w:t>
      </w:r>
      <w:r>
        <w:rPr>
          <w:rFonts w:eastAsia="Times New Roman" w:cstheme="minorHAnsi"/>
          <w:lang w:val="it-IT" w:eastAsia="en-AU"/>
        </w:rPr>
        <w:t>dite nel punto 4</w:t>
      </w:r>
      <w:r>
        <w:rPr>
          <w:rStyle w:val="y2iqfc"/>
          <w:rFonts w:cstheme="minorHAnsi"/>
          <w:lang w:val="it-IT"/>
        </w:rPr>
        <w:t>.</w:t>
      </w:r>
    </w:p>
    <w:p w:rsidR="00812CC3" w:rsidRDefault="00812CC3" w:rsidP="00812CC3">
      <w:pPr>
        <w:spacing w:after="0"/>
        <w:jc w:val="both"/>
        <w:rPr>
          <w:rStyle w:val="y2iqfc"/>
          <w:rFonts w:cstheme="minorHAnsi"/>
          <w:lang w:val="it-IT"/>
        </w:rPr>
      </w:pPr>
    </w:p>
    <w:p w:rsidR="00812CC3" w:rsidRDefault="00812CC3" w:rsidP="00812CC3">
      <w:pPr>
        <w:pStyle w:val="Paragrafoelenco"/>
        <w:numPr>
          <w:ilvl w:val="0"/>
          <w:numId w:val="3"/>
        </w:numPr>
        <w:spacing w:after="0" w:line="276" w:lineRule="auto"/>
        <w:jc w:val="both"/>
        <w:rPr>
          <w:b/>
        </w:rPr>
      </w:pPr>
      <w:r>
        <w:rPr>
          <w:b/>
          <w:lang w:val="it-IT"/>
        </w:rPr>
        <w:t>Compravendita di un immobile</w:t>
      </w:r>
    </w:p>
    <w:p w:rsidR="00812CC3" w:rsidRDefault="00812CC3" w:rsidP="00812CC3">
      <w:pPr>
        <w:spacing w:after="0"/>
        <w:jc w:val="both"/>
        <w:rPr>
          <w:rStyle w:val="y2iqfc"/>
          <w:rFonts w:cstheme="minorHAnsi"/>
        </w:rPr>
      </w:pPr>
    </w:p>
    <w:p w:rsidR="00812CC3" w:rsidRDefault="00812CC3" w:rsidP="00812CC3">
      <w:pPr>
        <w:spacing w:after="0"/>
        <w:jc w:val="both"/>
        <w:rPr>
          <w:rStyle w:val="y2iqfc"/>
          <w:rFonts w:cstheme="minorHAnsi"/>
          <w:lang w:val="it-IT"/>
        </w:rPr>
      </w:pPr>
      <w:r>
        <w:rPr>
          <w:rStyle w:val="y2iqfc"/>
          <w:rFonts w:cstheme="minorHAnsi"/>
          <w:lang w:val="it-IT"/>
        </w:rPr>
        <w:t>La legislazione prevede che, se in possesso di specifiche condizioni, sia possa fare richiesta di esenzione dalla domanda di approvazione di investimento; in tal caso non vi è la necessità di notificare l’operazione al FIRB o ATO</w:t>
      </w:r>
    </w:p>
    <w:p w:rsidR="00812CC3" w:rsidRDefault="00812CC3" w:rsidP="00812CC3">
      <w:pPr>
        <w:spacing w:after="0"/>
        <w:jc w:val="both"/>
      </w:pPr>
      <w:r>
        <w:rPr>
          <w:rStyle w:val="y2iqfc"/>
          <w:rFonts w:cstheme="minorHAnsi"/>
          <w:lang w:val="it-IT"/>
        </w:rPr>
        <w:t xml:space="preserve">Le linee guida 2 elencano tali condizioni </w:t>
      </w:r>
      <w:r>
        <w:rPr>
          <w:rFonts w:cstheme="minorHAnsi"/>
          <w:lang w:val="it-IT"/>
        </w:rPr>
        <w:t>in base alla tipologia di immobile e vengono elencate secondo il medesimo criterio.</w:t>
      </w:r>
    </w:p>
    <w:p w:rsidR="00812CC3" w:rsidRDefault="00812CC3" w:rsidP="00812CC3">
      <w:pPr>
        <w:spacing w:after="0"/>
        <w:jc w:val="both"/>
        <w:rPr>
          <w:rFonts w:cstheme="minorHAnsi"/>
          <w:lang w:val="it-IT"/>
        </w:rPr>
      </w:pPr>
      <w:r>
        <w:rPr>
          <w:rFonts w:cstheme="minorHAnsi"/>
          <w:lang w:val="it-IT"/>
        </w:rPr>
        <w:t xml:space="preserve">Di seguito riportiamo le esenzioni legate alla casistica </w:t>
      </w:r>
      <w:proofErr w:type="spellStart"/>
      <w:r>
        <w:rPr>
          <w:rFonts w:cstheme="minorHAnsi"/>
          <w:lang w:val="it-IT"/>
        </w:rPr>
        <w:t>piu’</w:t>
      </w:r>
      <w:proofErr w:type="spellEnd"/>
      <w:r>
        <w:rPr>
          <w:rFonts w:cstheme="minorHAnsi"/>
          <w:lang w:val="it-IT"/>
        </w:rPr>
        <w:t xml:space="preserve"> comune: acquisto di immobile residenziale ad uso personale o terzi:</w:t>
      </w:r>
    </w:p>
    <w:p w:rsidR="00812CC3" w:rsidRDefault="00812CC3" w:rsidP="00812CC3">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lang w:val="it-IT" w:eastAsia="en-AU"/>
        </w:rPr>
      </w:pPr>
      <w:r>
        <w:rPr>
          <w:rFonts w:eastAsia="Times New Roman" w:cstheme="minorHAnsi"/>
          <w:lang w:val="it-IT" w:eastAsia="en-AU"/>
        </w:rPr>
        <w:t>acquisizioni da parte di un cittadino australiano non abitualmente residente in Australia</w:t>
      </w:r>
    </w:p>
    <w:p w:rsidR="00812CC3" w:rsidRDefault="00812CC3" w:rsidP="00812CC3">
      <w:pPr>
        <w:pStyle w:val="Paragrafoelenco"/>
        <w:numPr>
          <w:ilvl w:val="0"/>
          <w:numId w:val="5"/>
        </w:numPr>
        <w:spacing w:after="0" w:line="276" w:lineRule="auto"/>
        <w:ind w:left="567" w:hanging="141"/>
        <w:jc w:val="both"/>
        <w:rPr>
          <w:rFonts w:ascii="Calibri" w:eastAsia="Times New Roman" w:cstheme="minorHAnsi"/>
          <w:lang w:val="it-IT" w:eastAsia="en-AU"/>
        </w:rPr>
      </w:pPr>
      <w:r>
        <w:rPr>
          <w:rFonts w:eastAsia="Times New Roman" w:cstheme="minorHAnsi"/>
          <w:lang w:val="it-IT" w:eastAsia="en-AU"/>
        </w:rPr>
        <w:t xml:space="preserve">acquisizioni da parte di un cittadino neozelandese idoneo per un visto di categoria speciale </w:t>
      </w:r>
    </w:p>
    <w:p w:rsidR="00812CC3" w:rsidRDefault="00812CC3" w:rsidP="00812CC3">
      <w:pPr>
        <w:pStyle w:val="Paragrafoelenco"/>
        <w:numPr>
          <w:ilvl w:val="0"/>
          <w:numId w:val="5"/>
        </w:numPr>
        <w:spacing w:after="0" w:line="276" w:lineRule="auto"/>
        <w:ind w:left="567" w:hanging="141"/>
        <w:jc w:val="both"/>
        <w:rPr>
          <w:rFonts w:eastAsia="Times New Roman" w:cstheme="minorHAnsi"/>
          <w:lang w:val="it-IT" w:eastAsia="en-AU"/>
        </w:rPr>
      </w:pPr>
      <w:r>
        <w:rPr>
          <w:rFonts w:eastAsia="Times New Roman" w:cstheme="minorHAnsi"/>
          <w:lang w:val="it-IT" w:eastAsia="en-AU"/>
        </w:rPr>
        <w:t>acquisizioni da parte di un possessore di residenza permanente australiana</w:t>
      </w:r>
    </w:p>
    <w:p w:rsidR="00812CC3" w:rsidRDefault="00812CC3" w:rsidP="00812CC3">
      <w:pPr>
        <w:pStyle w:val="Paragrafoelenco"/>
        <w:numPr>
          <w:ilvl w:val="0"/>
          <w:numId w:val="5"/>
        </w:numPr>
        <w:spacing w:after="0" w:line="276" w:lineRule="auto"/>
        <w:ind w:left="567" w:hanging="141"/>
        <w:jc w:val="both"/>
        <w:rPr>
          <w:rFonts w:eastAsia="Times New Roman" w:cstheme="minorHAnsi"/>
          <w:lang w:val="it-IT" w:eastAsia="en-AU"/>
        </w:rPr>
      </w:pPr>
      <w:r>
        <w:rPr>
          <w:rFonts w:eastAsia="Times New Roman" w:cstheme="minorHAnsi"/>
          <w:lang w:val="it-IT" w:eastAsia="en-AU"/>
        </w:rPr>
        <w:t>acquisizioni da parte del coniuge di cittadino/residente australiano o neozelandese.</w:t>
      </w:r>
    </w:p>
    <w:p w:rsidR="00812CC3" w:rsidRDefault="00812CC3" w:rsidP="00812CC3">
      <w:pPr>
        <w:pStyle w:val="Paragrafoelenco"/>
        <w:numPr>
          <w:ilvl w:val="0"/>
          <w:numId w:val="5"/>
        </w:numPr>
        <w:spacing w:after="0" w:line="276" w:lineRule="auto"/>
        <w:ind w:left="567" w:hanging="141"/>
        <w:jc w:val="both"/>
        <w:rPr>
          <w:rFonts w:eastAsia="Times New Roman" w:cstheme="minorHAnsi"/>
          <w:lang w:val="it-IT" w:eastAsia="en-AU"/>
        </w:rPr>
      </w:pPr>
      <w:r>
        <w:rPr>
          <w:rFonts w:eastAsia="Times New Roman" w:cstheme="minorHAnsi"/>
          <w:lang w:val="it-IT" w:eastAsia="en-AU"/>
        </w:rPr>
        <w:t xml:space="preserve">acquisizioni per scopi diplomatici o consolari </w:t>
      </w:r>
    </w:p>
    <w:p w:rsidR="00812CC3" w:rsidRDefault="00812CC3" w:rsidP="00812CC3">
      <w:pPr>
        <w:pStyle w:val="Paragrafoelenco"/>
        <w:numPr>
          <w:ilvl w:val="0"/>
          <w:numId w:val="5"/>
        </w:numPr>
        <w:spacing w:after="0" w:line="276" w:lineRule="auto"/>
        <w:ind w:left="567" w:hanging="141"/>
        <w:jc w:val="both"/>
        <w:rPr>
          <w:rFonts w:eastAsia="Times New Roman" w:cstheme="minorHAnsi"/>
          <w:lang w:val="it-IT" w:eastAsia="en-AU"/>
        </w:rPr>
      </w:pPr>
      <w:r>
        <w:rPr>
          <w:rFonts w:eastAsia="Times New Roman" w:cstheme="minorHAnsi"/>
          <w:lang w:val="it-IT" w:eastAsia="en-AU"/>
        </w:rPr>
        <w:t>acquisizioni condiviso di un immobile per un utilizzo inferiore a 4 settimane l’anno.</w:t>
      </w:r>
      <w:r>
        <w:rPr>
          <w:rFonts w:eastAsia="Times New Roman" w:cstheme="minorHAnsi"/>
          <w:lang w:val="it-IT" w:eastAsia="en-AU"/>
        </w:rPr>
        <w:tab/>
      </w:r>
      <w:r>
        <w:rPr>
          <w:rFonts w:eastAsia="Times New Roman" w:cstheme="minorHAnsi"/>
          <w:lang w:val="it-IT" w:eastAsia="en-AU"/>
        </w:rPr>
        <w:tab/>
      </w:r>
    </w:p>
    <w:p w:rsidR="00812CC3" w:rsidRDefault="00812CC3" w:rsidP="00812CC3">
      <w:pPr>
        <w:pStyle w:val="Paragrafoelenco"/>
        <w:numPr>
          <w:ilvl w:val="0"/>
          <w:numId w:val="5"/>
        </w:numPr>
        <w:spacing w:after="200" w:line="276" w:lineRule="auto"/>
        <w:ind w:left="567" w:hanging="141"/>
        <w:rPr>
          <w:rFonts w:eastAsia="Times New Roman" w:cstheme="minorHAnsi"/>
          <w:lang w:val="it-IT" w:eastAsia="en-AU"/>
        </w:rPr>
      </w:pPr>
      <w:r>
        <w:rPr>
          <w:rFonts w:eastAsia="Times New Roman" w:cstheme="minorHAnsi"/>
          <w:lang w:val="it-IT" w:eastAsia="en-AU"/>
        </w:rPr>
        <w:t xml:space="preserve">acquisizioni di terreni adibiti a </w:t>
      </w:r>
      <w:r>
        <w:rPr>
          <w:lang w:val="it-IT"/>
        </w:rPr>
        <w:t>alloggio per anziani</w:t>
      </w:r>
      <w:r>
        <w:rPr>
          <w:rFonts w:eastAsia="Times New Roman" w:cstheme="minorHAnsi"/>
          <w:lang w:val="it-IT" w:eastAsia="en-AU"/>
        </w:rPr>
        <w:t xml:space="preserve"> o alloggi per studenti a condizione che l'interesse non sia superiore ai </w:t>
      </w:r>
      <w:hyperlink r:id="rId14" w:history="1">
        <w:proofErr w:type="spellStart"/>
        <w:r>
          <w:rPr>
            <w:rStyle w:val="Collegamentoipertestuale"/>
            <w:rFonts w:eastAsia="Times New Roman" w:cstheme="minorHAnsi"/>
            <w:lang w:val="it-IT" w:eastAsia="en-AU"/>
          </w:rPr>
          <w:t>Monetary</w:t>
        </w:r>
        <w:proofErr w:type="spellEnd"/>
        <w:r>
          <w:rPr>
            <w:rStyle w:val="Collegamentoipertestuale"/>
            <w:rFonts w:eastAsia="Times New Roman" w:cstheme="minorHAnsi"/>
            <w:lang w:val="it-IT" w:eastAsia="en-AU"/>
          </w:rPr>
          <w:t xml:space="preserve"> </w:t>
        </w:r>
        <w:proofErr w:type="spellStart"/>
        <w:r>
          <w:rPr>
            <w:rStyle w:val="Collegamentoipertestuale"/>
            <w:rFonts w:eastAsia="Times New Roman" w:cstheme="minorHAnsi"/>
            <w:lang w:val="it-IT" w:eastAsia="en-AU"/>
          </w:rPr>
          <w:t>thresholds</w:t>
        </w:r>
        <w:proofErr w:type="spellEnd"/>
      </w:hyperlink>
      <w:r>
        <w:rPr>
          <w:rFonts w:eastAsia="Times New Roman" w:cstheme="minorHAnsi"/>
          <w:color w:val="FF0000"/>
          <w:lang w:val="it-IT" w:eastAsia="en-AU"/>
        </w:rPr>
        <w:t xml:space="preserve"> </w:t>
      </w:r>
      <w:r>
        <w:rPr>
          <w:rFonts w:eastAsia="Times New Roman" w:cstheme="minorHAnsi"/>
          <w:lang w:val="it-IT" w:eastAsia="en-AU"/>
        </w:rPr>
        <w:t>pertinenti per i terreni commerciali (sezione 38, paragrafo 5)</w:t>
      </w:r>
    </w:p>
    <w:p w:rsidR="00812CC3" w:rsidRDefault="00812CC3" w:rsidP="00812CC3">
      <w:pPr>
        <w:pStyle w:val="Paragrafoelenco"/>
        <w:numPr>
          <w:ilvl w:val="0"/>
          <w:numId w:val="5"/>
        </w:numPr>
        <w:spacing w:after="0" w:line="276" w:lineRule="auto"/>
        <w:ind w:left="567" w:hanging="141"/>
        <w:jc w:val="both"/>
        <w:rPr>
          <w:rFonts w:eastAsia="Times New Roman" w:cstheme="minorHAnsi"/>
          <w:lang w:val="it-IT" w:eastAsia="en-AU"/>
        </w:rPr>
      </w:pPr>
      <w:r>
        <w:rPr>
          <w:rFonts w:eastAsia="Times New Roman" w:cstheme="minorHAnsi"/>
          <w:lang w:val="it-IT" w:eastAsia="en-AU"/>
        </w:rPr>
        <w:t xml:space="preserve">acquisizioni a fini turistici rientranti nel </w:t>
      </w:r>
      <w:proofErr w:type="spellStart"/>
      <w:r>
        <w:rPr>
          <w:rFonts w:eastAsia="Times New Roman" w:cstheme="minorHAnsi"/>
          <w:lang w:val="it-IT" w:eastAsia="en-AU"/>
        </w:rPr>
        <w:t>Integrated</w:t>
      </w:r>
      <w:proofErr w:type="spellEnd"/>
      <w:r>
        <w:rPr>
          <w:rFonts w:eastAsia="Times New Roman" w:cstheme="minorHAnsi"/>
          <w:lang w:val="it-IT" w:eastAsia="en-AU"/>
        </w:rPr>
        <w:t xml:space="preserve"> </w:t>
      </w:r>
      <w:proofErr w:type="spellStart"/>
      <w:r>
        <w:rPr>
          <w:rFonts w:eastAsia="Times New Roman" w:cstheme="minorHAnsi"/>
          <w:lang w:val="it-IT" w:eastAsia="en-AU"/>
        </w:rPr>
        <w:t>Tourism</w:t>
      </w:r>
      <w:proofErr w:type="spellEnd"/>
      <w:r>
        <w:rPr>
          <w:rFonts w:eastAsia="Times New Roman" w:cstheme="minorHAnsi"/>
          <w:lang w:val="it-IT" w:eastAsia="en-AU"/>
        </w:rPr>
        <w:t xml:space="preserve"> Resorts (linee guida 6)</w:t>
      </w:r>
    </w:p>
    <w:p w:rsidR="00812CC3" w:rsidRDefault="00812CC3" w:rsidP="00812CC3">
      <w:pPr>
        <w:spacing w:after="0"/>
        <w:jc w:val="both"/>
        <w:rPr>
          <w:rFonts w:eastAsiaTheme="minorHAnsi" w:cstheme="minorHAnsi"/>
          <w:lang w:val="it-IT"/>
        </w:rPr>
      </w:pPr>
    </w:p>
    <w:p w:rsidR="00812CC3" w:rsidRDefault="00812CC3" w:rsidP="00812CC3">
      <w:pPr>
        <w:spacing w:after="0"/>
        <w:jc w:val="both"/>
        <w:rPr>
          <w:rFonts w:cstheme="minorHAnsi"/>
          <w:lang w:val="it-IT"/>
        </w:rPr>
      </w:pPr>
      <w:r>
        <w:rPr>
          <w:rFonts w:cstheme="minorHAnsi"/>
          <w:lang w:val="it-IT"/>
        </w:rPr>
        <w:t>I soggetti sopramenzionati possono procedere alla trattativa senza necessità di richiedere l’approvazione per un immobile residenziale.</w:t>
      </w:r>
    </w:p>
    <w:p w:rsidR="00812CC3" w:rsidRDefault="00812CC3" w:rsidP="00812CC3">
      <w:pPr>
        <w:spacing w:after="0"/>
        <w:jc w:val="both"/>
        <w:rPr>
          <w:rFonts w:eastAsia="Times New Roman" w:cstheme="minorHAnsi"/>
          <w:lang w:val="it-IT" w:eastAsia="en-AU"/>
        </w:rPr>
      </w:pPr>
      <w:r>
        <w:rPr>
          <w:rFonts w:eastAsia="Times New Roman" w:cstheme="minorHAnsi"/>
          <w:lang w:val="it-IT" w:eastAsia="en-AU"/>
        </w:rPr>
        <w:t>Anche aziende, fondi e organizzazioni caritatevoli possono avvalersi di tale esenzione (se qualificati per categorie specifiche di visti).</w:t>
      </w:r>
    </w:p>
    <w:p w:rsidR="00812CC3" w:rsidRDefault="00812CC3" w:rsidP="00812CC3">
      <w:pPr>
        <w:spacing w:after="0"/>
        <w:jc w:val="both"/>
        <w:rPr>
          <w:rFonts w:eastAsia="Times New Roman" w:cstheme="minorHAnsi"/>
          <w:lang w:val="it-IT" w:eastAsia="en-AU"/>
        </w:rPr>
      </w:pPr>
    </w:p>
    <w:p w:rsidR="00812CC3" w:rsidRDefault="00812CC3" w:rsidP="00812CC3">
      <w:pPr>
        <w:spacing w:after="0"/>
        <w:jc w:val="both"/>
        <w:rPr>
          <w:rFonts w:eastAsia="Times New Roman" w:cstheme="minorHAnsi"/>
          <w:lang w:val="it-IT" w:eastAsia="en-AU"/>
        </w:rPr>
      </w:pPr>
      <w:r>
        <w:rPr>
          <w:rFonts w:eastAsia="Times New Roman" w:cstheme="minorHAnsi"/>
          <w:lang w:val="it-IT" w:eastAsia="en-AU"/>
        </w:rPr>
        <w:t xml:space="preserve">Qualora il soggetto straniero non rientri nei casi esenti, allora subentra l’obbligato di notificare l’intento al </w:t>
      </w:r>
      <w:proofErr w:type="spellStart"/>
      <w:r>
        <w:rPr>
          <w:rFonts w:eastAsia="Times New Roman" w:cstheme="minorHAnsi"/>
          <w:lang w:val="it-IT" w:eastAsia="en-AU"/>
        </w:rPr>
        <w:t>Tresurer</w:t>
      </w:r>
      <w:proofErr w:type="spellEnd"/>
      <w:r>
        <w:rPr>
          <w:rFonts w:eastAsia="Times New Roman" w:cstheme="minorHAnsi"/>
          <w:lang w:val="it-IT" w:eastAsia="en-AU"/>
        </w:rPr>
        <w:t xml:space="preserve"> e attendere la sua approvazione prima di intraprendere la compravendita immobiliare.</w:t>
      </w:r>
    </w:p>
    <w:p w:rsidR="00812CC3" w:rsidRDefault="00812CC3" w:rsidP="00812CC3">
      <w:pPr>
        <w:spacing w:after="0"/>
        <w:jc w:val="both"/>
        <w:rPr>
          <w:rFonts w:eastAsia="Times New Roman" w:cstheme="minorHAnsi"/>
          <w:lang w:val="it-IT" w:eastAsia="en-AU"/>
        </w:rPr>
      </w:pPr>
      <w:r>
        <w:rPr>
          <w:rFonts w:eastAsia="Times New Roman" w:cstheme="minorHAnsi"/>
          <w:lang w:val="it-IT" w:eastAsia="en-AU"/>
        </w:rPr>
        <w:t>Le domande devono essere presentate elettronicamente tramite i siti ATO (se investimento residenziale) o FIRB (tutti gli altri casi).</w:t>
      </w:r>
    </w:p>
    <w:p w:rsidR="00812CC3" w:rsidRDefault="00812CC3" w:rsidP="00812CC3">
      <w:pPr>
        <w:spacing w:after="0"/>
        <w:jc w:val="both"/>
        <w:rPr>
          <w:rFonts w:eastAsia="Times New Roman" w:cstheme="minorHAnsi"/>
          <w:lang w:val="it-IT" w:eastAsia="en-AU"/>
        </w:rPr>
      </w:pPr>
      <w:r>
        <w:rPr>
          <w:rFonts w:eastAsia="Times New Roman" w:cstheme="minorHAnsi"/>
          <w:lang w:val="it-IT" w:eastAsia="en-AU"/>
        </w:rPr>
        <w:t xml:space="preserve">Una volta che il </w:t>
      </w:r>
      <w:proofErr w:type="spellStart"/>
      <w:r>
        <w:rPr>
          <w:rFonts w:eastAsia="Times New Roman" w:cstheme="minorHAnsi"/>
          <w:lang w:val="it-IT" w:eastAsia="en-AU"/>
        </w:rPr>
        <w:t>Treasurer</w:t>
      </w:r>
      <w:proofErr w:type="spellEnd"/>
      <w:r>
        <w:rPr>
          <w:rFonts w:eastAsia="Times New Roman" w:cstheme="minorHAnsi"/>
          <w:lang w:val="it-IT" w:eastAsia="en-AU"/>
        </w:rPr>
        <w:t xml:space="preserve"> riceve la richiesta, questa verrà sottoposta a dei parametri di sicurezza e </w:t>
      </w:r>
      <w:proofErr w:type="spellStart"/>
      <w:r>
        <w:rPr>
          <w:rFonts w:eastAsia="Times New Roman" w:cstheme="minorHAnsi"/>
          <w:lang w:val="it-IT" w:eastAsia="en-AU"/>
        </w:rPr>
        <w:t>sara’</w:t>
      </w:r>
      <w:proofErr w:type="spellEnd"/>
      <w:r>
        <w:rPr>
          <w:rFonts w:eastAsia="Times New Roman" w:cstheme="minorHAnsi"/>
          <w:lang w:val="it-IT" w:eastAsia="en-AU"/>
        </w:rPr>
        <w:t xml:space="preserve"> categorizzata in una delle 4 possibili casistiche:</w:t>
      </w:r>
    </w:p>
    <w:p w:rsidR="00812CC3" w:rsidRDefault="00812CC3" w:rsidP="00812CC3">
      <w:pPr>
        <w:spacing w:after="0"/>
        <w:jc w:val="both"/>
        <w:rPr>
          <w:rFonts w:eastAsia="Times New Roman" w:cstheme="minorHAnsi"/>
          <w:lang w:val="it-IT" w:eastAsia="en-AU"/>
        </w:rPr>
      </w:pPr>
    </w:p>
    <w:p w:rsidR="00812CC3" w:rsidRDefault="00812CC3" w:rsidP="00812CC3">
      <w:pPr>
        <w:pStyle w:val="Paragrafoelenco"/>
        <w:numPr>
          <w:ilvl w:val="0"/>
          <w:numId w:val="7"/>
        </w:numPr>
        <w:spacing w:after="200" w:line="276" w:lineRule="auto"/>
        <w:jc w:val="both"/>
        <w:rPr>
          <w:rFonts w:eastAsia="Times New Roman" w:cstheme="minorHAnsi"/>
          <w:lang w:val="it-IT" w:eastAsia="en-AU"/>
        </w:rPr>
      </w:pPr>
      <w:r>
        <w:rPr>
          <w:rFonts w:eastAsia="Times New Roman" w:cstheme="minorHAnsi"/>
          <w:lang w:val="it-IT" w:eastAsia="en-AU"/>
        </w:rPr>
        <w:t>investi</w:t>
      </w:r>
      <w:r>
        <w:rPr>
          <w:rFonts w:eastAsia="Times New Roman" w:cstheme="minorHAnsi"/>
          <w:lang w:val="it-IT" w:eastAsia="en-AU"/>
        </w:rPr>
        <w:t xml:space="preserve">mento con obbligo di notifica </w:t>
      </w:r>
      <w:proofErr w:type="gramStart"/>
      <w:r>
        <w:rPr>
          <w:rFonts w:eastAsia="Times New Roman" w:cstheme="minorHAnsi"/>
          <w:lang w:val="it-IT" w:eastAsia="en-AU"/>
        </w:rPr>
        <w:t xml:space="preserve">o </w:t>
      </w:r>
      <w:r>
        <w:rPr>
          <w:rFonts w:eastAsia="Times New Roman" w:cstheme="minorHAnsi"/>
          <w:lang w:val="it-IT" w:eastAsia="en-AU"/>
        </w:rPr>
        <w:t>”</w:t>
      </w:r>
      <w:proofErr w:type="spellStart"/>
      <w:r>
        <w:rPr>
          <w:rFonts w:eastAsia="Times New Roman" w:cstheme="minorHAnsi"/>
          <w:lang w:val="it-IT" w:eastAsia="en-AU"/>
        </w:rPr>
        <w:t>notifiable</w:t>
      </w:r>
      <w:proofErr w:type="spellEnd"/>
      <w:proofErr w:type="gramEnd"/>
      <w:r>
        <w:rPr>
          <w:rFonts w:eastAsia="Times New Roman" w:cstheme="minorHAnsi"/>
          <w:lang w:val="it-IT" w:eastAsia="en-AU"/>
        </w:rPr>
        <w:t xml:space="preserve"> </w:t>
      </w:r>
      <w:proofErr w:type="spellStart"/>
      <w:r>
        <w:rPr>
          <w:rFonts w:eastAsia="Times New Roman" w:cstheme="minorHAnsi"/>
          <w:lang w:val="it-IT" w:eastAsia="en-AU"/>
        </w:rPr>
        <w:t>action</w:t>
      </w:r>
      <w:proofErr w:type="spellEnd"/>
      <w:r>
        <w:rPr>
          <w:rFonts w:eastAsia="Times New Roman" w:cstheme="minorHAnsi"/>
          <w:lang w:val="it-IT" w:eastAsia="en-AU"/>
        </w:rPr>
        <w:t xml:space="preserve">” </w:t>
      </w:r>
      <w:r>
        <w:rPr>
          <w:rFonts w:cstheme="minorHAnsi"/>
          <w:lang w:val="it-IT"/>
        </w:rPr>
        <w:t xml:space="preserve">: il soggetto straniero intende investire </w:t>
      </w:r>
      <w:r>
        <w:rPr>
          <w:rFonts w:eastAsia="Times New Roman" w:cstheme="minorHAnsi"/>
          <w:lang w:val="it-IT" w:eastAsia="en-AU"/>
        </w:rPr>
        <w:t>in un’azienda australiana per un valore pari o superiore al 10% (o il 5% più accordi legali)  o intende acquisire terreni in Australia.</w:t>
      </w:r>
    </w:p>
    <w:p w:rsidR="00812CC3" w:rsidRDefault="00812CC3" w:rsidP="00812CC3">
      <w:pPr>
        <w:pStyle w:val="Paragrafoelenco"/>
        <w:jc w:val="both"/>
        <w:rPr>
          <w:rFonts w:eastAsia="Times New Roman" w:cstheme="minorHAnsi"/>
          <w:lang w:val="it-IT" w:eastAsia="en-AU"/>
        </w:rPr>
      </w:pPr>
    </w:p>
    <w:p w:rsidR="00812CC3" w:rsidRDefault="00812CC3" w:rsidP="00812CC3">
      <w:pPr>
        <w:pStyle w:val="Paragrafoelenco"/>
        <w:numPr>
          <w:ilvl w:val="0"/>
          <w:numId w:val="7"/>
        </w:numPr>
        <w:spacing w:after="0" w:line="276" w:lineRule="auto"/>
        <w:jc w:val="both"/>
        <w:rPr>
          <w:rFonts w:eastAsia="Times New Roman" w:cstheme="minorHAnsi"/>
          <w:lang w:val="it-IT" w:eastAsia="en-AU"/>
        </w:rPr>
      </w:pPr>
      <w:r>
        <w:rPr>
          <w:rFonts w:eastAsia="Times New Roman" w:cstheme="minorHAnsi"/>
          <w:lang w:val="it-IT" w:eastAsia="en-AU"/>
        </w:rPr>
        <w:t>Investimento significativo o “</w:t>
      </w:r>
      <w:proofErr w:type="spellStart"/>
      <w:r>
        <w:rPr>
          <w:rFonts w:eastAsia="Times New Roman" w:cstheme="minorHAnsi"/>
          <w:lang w:val="it-IT" w:eastAsia="en-AU"/>
        </w:rPr>
        <w:t>significant</w:t>
      </w:r>
      <w:proofErr w:type="spellEnd"/>
      <w:r>
        <w:rPr>
          <w:rFonts w:eastAsia="Times New Roman" w:cstheme="minorHAnsi"/>
          <w:lang w:val="it-IT" w:eastAsia="en-AU"/>
        </w:rPr>
        <w:t xml:space="preserve"> </w:t>
      </w:r>
      <w:proofErr w:type="spellStart"/>
      <w:r>
        <w:rPr>
          <w:rFonts w:eastAsia="Times New Roman" w:cstheme="minorHAnsi"/>
          <w:lang w:val="it-IT" w:eastAsia="en-AU"/>
        </w:rPr>
        <w:t>action</w:t>
      </w:r>
      <w:proofErr w:type="spellEnd"/>
      <w:r>
        <w:rPr>
          <w:rFonts w:eastAsia="Times New Roman" w:cstheme="minorHAnsi"/>
          <w:lang w:val="it-IT" w:eastAsia="en-AU"/>
        </w:rPr>
        <w:t xml:space="preserve">”: nel caso in cui quest’operazione modifichi la compagine di controllo aziendale (un soggetto controlla la compagnia se ne </w:t>
      </w:r>
      <w:proofErr w:type="spellStart"/>
      <w:r>
        <w:rPr>
          <w:rFonts w:eastAsia="Times New Roman" w:cstheme="minorHAnsi"/>
          <w:lang w:val="it-IT" w:eastAsia="en-AU"/>
        </w:rPr>
        <w:t>puo’</w:t>
      </w:r>
      <w:proofErr w:type="spellEnd"/>
      <w:r>
        <w:rPr>
          <w:rFonts w:eastAsia="Times New Roman" w:cstheme="minorHAnsi"/>
          <w:lang w:val="it-IT" w:eastAsia="en-AU"/>
        </w:rPr>
        <w:t xml:space="preserve"> determinare la politica).</w:t>
      </w:r>
    </w:p>
    <w:p w:rsidR="00812CC3" w:rsidRDefault="00812CC3" w:rsidP="00812CC3">
      <w:pPr>
        <w:pStyle w:val="Paragrafoelenco"/>
        <w:spacing w:after="0"/>
        <w:jc w:val="both"/>
        <w:rPr>
          <w:rFonts w:eastAsia="Times New Roman" w:cstheme="minorHAnsi"/>
          <w:lang w:val="it-IT" w:eastAsia="en-AU"/>
        </w:rPr>
      </w:pPr>
      <w:r>
        <w:rPr>
          <w:rFonts w:eastAsia="Times New Roman" w:cstheme="minorHAnsi"/>
          <w:lang w:val="it-IT" w:eastAsia="en-AU"/>
        </w:rPr>
        <w:t xml:space="preserve">Qualora non si sia presentata la domanda in quanto considerata non necessaria, il </w:t>
      </w:r>
      <w:proofErr w:type="spellStart"/>
      <w:r>
        <w:rPr>
          <w:rFonts w:eastAsia="Times New Roman" w:cstheme="minorHAnsi"/>
          <w:lang w:val="it-IT" w:eastAsia="en-AU"/>
        </w:rPr>
        <w:t>Treasurer</w:t>
      </w:r>
      <w:proofErr w:type="spellEnd"/>
      <w:r>
        <w:rPr>
          <w:rFonts w:eastAsia="Times New Roman" w:cstheme="minorHAnsi"/>
          <w:lang w:val="it-IT" w:eastAsia="en-AU"/>
        </w:rPr>
        <w:t xml:space="preserve"> ha il potere di richiamare proposte di investimenti sensibili ritenendole rischiose per la sicurezza </w:t>
      </w:r>
      <w:r>
        <w:rPr>
          <w:rFonts w:eastAsia="Times New Roman" w:cstheme="minorHAnsi"/>
          <w:lang w:val="it-IT" w:eastAsia="en-AU"/>
        </w:rPr>
        <w:lastRenderedPageBreak/>
        <w:t>nazionale. Conseguentemente il Ministro potrà emettere una notifica di nulla osta o rifiutare la proposta.</w:t>
      </w:r>
    </w:p>
    <w:p w:rsidR="00812CC3" w:rsidRDefault="00812CC3" w:rsidP="00812CC3">
      <w:pPr>
        <w:pStyle w:val="Paragrafoelenco"/>
        <w:spacing w:after="0"/>
        <w:jc w:val="both"/>
        <w:rPr>
          <w:rFonts w:eastAsia="Times New Roman" w:cstheme="minorHAnsi"/>
          <w:lang w:val="it-IT" w:eastAsia="en-AU"/>
        </w:rPr>
      </w:pPr>
    </w:p>
    <w:p w:rsidR="00812CC3" w:rsidRDefault="00812CC3" w:rsidP="00812CC3">
      <w:pPr>
        <w:pStyle w:val="Paragrafoelenco"/>
        <w:numPr>
          <w:ilvl w:val="0"/>
          <w:numId w:val="7"/>
        </w:numPr>
        <w:spacing w:after="0" w:line="276" w:lineRule="auto"/>
        <w:jc w:val="both"/>
        <w:rPr>
          <w:rFonts w:eastAsia="Times New Roman" w:cstheme="minorHAnsi"/>
          <w:lang w:val="it-IT" w:eastAsia="en-AU"/>
        </w:rPr>
      </w:pPr>
      <w:r>
        <w:rPr>
          <w:rFonts w:eastAsia="Times New Roman" w:cstheme="minorHAnsi"/>
          <w:lang w:val="it-IT" w:eastAsia="en-AU"/>
        </w:rPr>
        <w:t>Investimento di sicurezza nazionale o “</w:t>
      </w:r>
      <w:proofErr w:type="spellStart"/>
      <w:r>
        <w:rPr>
          <w:rFonts w:eastAsia="Times New Roman" w:cstheme="minorHAnsi"/>
          <w:lang w:val="it-IT" w:eastAsia="en-AU"/>
        </w:rPr>
        <w:t>notifiable</w:t>
      </w:r>
      <w:proofErr w:type="spellEnd"/>
      <w:r>
        <w:rPr>
          <w:rFonts w:eastAsia="Times New Roman" w:cstheme="minorHAnsi"/>
          <w:lang w:val="it-IT" w:eastAsia="en-AU"/>
        </w:rPr>
        <w:t xml:space="preserve"> </w:t>
      </w:r>
      <w:proofErr w:type="spellStart"/>
      <w:r>
        <w:rPr>
          <w:rFonts w:eastAsia="Times New Roman" w:cstheme="minorHAnsi"/>
          <w:lang w:val="it-IT" w:eastAsia="en-AU"/>
        </w:rPr>
        <w:t>national</w:t>
      </w:r>
      <w:proofErr w:type="spellEnd"/>
      <w:r>
        <w:rPr>
          <w:rFonts w:eastAsia="Times New Roman" w:cstheme="minorHAnsi"/>
          <w:lang w:val="it-IT" w:eastAsia="en-AU"/>
        </w:rPr>
        <w:t xml:space="preserve"> security </w:t>
      </w:r>
      <w:proofErr w:type="spellStart"/>
      <w:r>
        <w:rPr>
          <w:rFonts w:eastAsia="Times New Roman" w:cstheme="minorHAnsi"/>
          <w:lang w:val="it-IT" w:eastAsia="en-AU"/>
        </w:rPr>
        <w:t>action</w:t>
      </w:r>
      <w:proofErr w:type="spellEnd"/>
      <w:r>
        <w:rPr>
          <w:rFonts w:eastAsia="Times New Roman" w:cstheme="minorHAnsi"/>
          <w:lang w:val="it-IT" w:eastAsia="en-AU"/>
        </w:rPr>
        <w:t xml:space="preserve">”: </w:t>
      </w:r>
      <w:r>
        <w:rPr>
          <w:rFonts w:cstheme="minorHAnsi"/>
          <w:lang w:val="it-IT"/>
        </w:rPr>
        <w:t>è un'attività che, se interrotta o mal gestita, può creare rischi per la sicurezza nazionale per es. un'attività legata ad infrastrutture critiche, telecomunicazioni, difesa e intelligence nazionale. Tale categoria pre</w:t>
      </w:r>
      <w:r>
        <w:rPr>
          <w:rFonts w:eastAsia="Times New Roman" w:cstheme="minorHAnsi"/>
          <w:lang w:val="it-IT" w:eastAsia="en-AU"/>
        </w:rPr>
        <w:t>vede parametri più rigidi rispetto ai 2 casi precedenti.</w:t>
      </w:r>
    </w:p>
    <w:p w:rsidR="00812CC3" w:rsidRDefault="00812CC3" w:rsidP="00812CC3">
      <w:pPr>
        <w:pStyle w:val="Paragrafoelenco"/>
        <w:spacing w:after="0"/>
        <w:jc w:val="both"/>
        <w:rPr>
          <w:rFonts w:eastAsia="Times New Roman" w:cstheme="minorHAnsi"/>
          <w:lang w:val="it-IT" w:eastAsia="en-AU"/>
        </w:rPr>
      </w:pPr>
    </w:p>
    <w:p w:rsidR="00812CC3" w:rsidRDefault="00812CC3" w:rsidP="00812CC3">
      <w:pPr>
        <w:pStyle w:val="Paragrafoelenco"/>
        <w:numPr>
          <w:ilvl w:val="0"/>
          <w:numId w:val="7"/>
        </w:numPr>
        <w:spacing w:after="0" w:line="276" w:lineRule="auto"/>
        <w:jc w:val="both"/>
        <w:rPr>
          <w:rFonts w:eastAsia="Times New Roman" w:cstheme="minorHAnsi"/>
          <w:lang w:val="it-IT" w:eastAsia="en-AU"/>
        </w:rPr>
      </w:pPr>
      <w:r>
        <w:rPr>
          <w:rFonts w:eastAsia="Times New Roman" w:cstheme="minorHAnsi"/>
          <w:lang w:val="it-IT" w:eastAsia="en-AU"/>
        </w:rPr>
        <w:t>Investimento di sicurezza nazionale da riesaminare o “</w:t>
      </w:r>
      <w:proofErr w:type="spellStart"/>
      <w:r>
        <w:rPr>
          <w:rFonts w:cstheme="minorHAnsi"/>
          <w:lang w:val="it-IT"/>
        </w:rPr>
        <w:t>reviewable</w:t>
      </w:r>
      <w:proofErr w:type="spellEnd"/>
      <w:r>
        <w:rPr>
          <w:rFonts w:cstheme="minorHAnsi"/>
          <w:lang w:val="it-IT"/>
        </w:rPr>
        <w:t xml:space="preserve"> </w:t>
      </w:r>
      <w:proofErr w:type="spellStart"/>
      <w:r>
        <w:rPr>
          <w:rFonts w:cstheme="minorHAnsi"/>
          <w:lang w:val="it-IT"/>
        </w:rPr>
        <w:t>national</w:t>
      </w:r>
      <w:proofErr w:type="spellEnd"/>
      <w:r>
        <w:rPr>
          <w:rFonts w:cstheme="minorHAnsi"/>
          <w:lang w:val="it-IT"/>
        </w:rPr>
        <w:t xml:space="preserve"> security </w:t>
      </w:r>
      <w:proofErr w:type="spellStart"/>
      <w:r>
        <w:rPr>
          <w:rFonts w:cstheme="minorHAnsi"/>
          <w:lang w:val="it-IT"/>
        </w:rPr>
        <w:t>action</w:t>
      </w:r>
      <w:proofErr w:type="spellEnd"/>
      <w:r>
        <w:rPr>
          <w:rFonts w:cstheme="minorHAnsi"/>
          <w:lang w:val="it-IT"/>
        </w:rPr>
        <w:t>”: racchiude qualsiasi operazione che non ricada nelle precedenti 3 opzioni.</w:t>
      </w:r>
    </w:p>
    <w:p w:rsidR="00812CC3" w:rsidRDefault="00812CC3" w:rsidP="00812CC3">
      <w:pPr>
        <w:spacing w:after="0"/>
        <w:jc w:val="both"/>
        <w:rPr>
          <w:rFonts w:eastAsia="Times New Roman" w:cstheme="minorHAnsi"/>
          <w:lang w:val="it-IT" w:eastAsia="en-AU"/>
        </w:rPr>
      </w:pPr>
    </w:p>
    <w:p w:rsidR="00812CC3" w:rsidRDefault="00812CC3" w:rsidP="00812CC3">
      <w:pPr>
        <w:spacing w:after="0"/>
        <w:jc w:val="both"/>
        <w:rPr>
          <w:rFonts w:eastAsia="Times New Roman" w:cstheme="minorHAnsi"/>
          <w:lang w:val="it-IT" w:eastAsia="en-AU"/>
        </w:rPr>
      </w:pPr>
      <w:r>
        <w:rPr>
          <w:rFonts w:eastAsia="Times New Roman" w:cstheme="minorHAnsi"/>
          <w:lang w:val="it-IT" w:eastAsia="en-AU"/>
        </w:rPr>
        <w:t>Nel caso un investitore sottoponga la domanda, ma il FIRB non la ritenga necessaria, allora il richiedente riceverà il rimborso degli oneri fiscali sostenuti.</w:t>
      </w:r>
    </w:p>
    <w:p w:rsidR="00812CC3" w:rsidRDefault="00812CC3" w:rsidP="00812CC3">
      <w:pPr>
        <w:spacing w:after="0"/>
        <w:jc w:val="both"/>
        <w:rPr>
          <w:rFonts w:eastAsia="Times New Roman" w:cstheme="minorHAnsi"/>
          <w:lang w:val="it-IT" w:eastAsia="en-AU"/>
        </w:rPr>
      </w:pPr>
      <w:r>
        <w:rPr>
          <w:rFonts w:eastAsia="Times New Roman" w:cstheme="minorHAnsi"/>
          <w:lang w:val="it-IT" w:eastAsia="en-AU"/>
        </w:rPr>
        <w:t>Diversamente, se l’investitore opta per non sottoporre domanda, ma il FIRB la ritiene necessaria, allora questi incorra’ in una penale.</w:t>
      </w:r>
    </w:p>
    <w:p w:rsidR="00812CC3" w:rsidRDefault="00812CC3" w:rsidP="00812CC3">
      <w:pPr>
        <w:spacing w:after="0"/>
        <w:jc w:val="both"/>
        <w:rPr>
          <w:rFonts w:eastAsia="Times New Roman" w:cstheme="minorHAnsi"/>
          <w:lang w:val="it-IT" w:eastAsia="en-AU"/>
        </w:rPr>
      </w:pPr>
    </w:p>
    <w:p w:rsidR="00812CC3" w:rsidRDefault="00812CC3" w:rsidP="00812CC3">
      <w:pPr>
        <w:spacing w:after="0"/>
        <w:jc w:val="both"/>
        <w:rPr>
          <w:rStyle w:val="y2iqfc"/>
        </w:rPr>
      </w:pPr>
      <w:r>
        <w:rPr>
          <w:rStyle w:val="y2iqfc"/>
          <w:rFonts w:eastAsia="Times New Roman" w:cstheme="minorHAnsi"/>
          <w:lang w:val="it-IT" w:eastAsia="en-AU"/>
        </w:rPr>
        <w:t xml:space="preserve">Le </w:t>
      </w:r>
      <w:hyperlink r:id="rId15" w:history="1">
        <w:r>
          <w:rPr>
            <w:rStyle w:val="Collegamentoipertestuale"/>
            <w:rFonts w:eastAsia="Times New Roman" w:cstheme="minorHAnsi"/>
            <w:lang w:val="it-IT" w:eastAsia="en-AU"/>
          </w:rPr>
          <w:t>Linea guida 10</w:t>
        </w:r>
      </w:hyperlink>
      <w:r>
        <w:rPr>
          <w:rStyle w:val="y2iqfc"/>
          <w:rFonts w:eastAsia="Times New Roman" w:cstheme="minorHAnsi"/>
          <w:lang w:val="it-IT" w:eastAsia="en-AU"/>
        </w:rPr>
        <w:t xml:space="preserve"> del FIRB illustrano gli oneri fiscali legati ad investimenti immobiliari.</w:t>
      </w:r>
    </w:p>
    <w:p w:rsidR="00812CC3" w:rsidRDefault="00812CC3" w:rsidP="00812CC3">
      <w:pPr>
        <w:spacing w:after="0"/>
        <w:jc w:val="both"/>
        <w:rPr>
          <w:rFonts w:eastAsiaTheme="minorHAnsi"/>
        </w:rPr>
      </w:pPr>
    </w:p>
    <w:p w:rsidR="00812CC3" w:rsidRDefault="00812CC3" w:rsidP="00812CC3">
      <w:pPr>
        <w:spacing w:after="0"/>
        <w:jc w:val="both"/>
        <w:rPr>
          <w:rFonts w:cstheme="minorHAnsi"/>
          <w:lang w:val="it-IT"/>
        </w:rPr>
      </w:pPr>
    </w:p>
    <w:p w:rsidR="00812CC3" w:rsidRDefault="00812CC3" w:rsidP="00812CC3">
      <w:pPr>
        <w:pStyle w:val="Paragrafoelenco"/>
        <w:numPr>
          <w:ilvl w:val="0"/>
          <w:numId w:val="3"/>
        </w:numPr>
        <w:spacing w:after="0" w:line="276" w:lineRule="auto"/>
        <w:jc w:val="both"/>
        <w:rPr>
          <w:rFonts w:cstheme="minorHAnsi"/>
          <w:b/>
          <w:bCs/>
          <w:lang w:val="it-IT"/>
        </w:rPr>
      </w:pPr>
      <w:r>
        <w:rPr>
          <w:rFonts w:cstheme="minorHAnsi"/>
          <w:b/>
          <w:bCs/>
          <w:lang w:val="it-IT"/>
        </w:rPr>
        <w:t>Certificati di esenzione</w:t>
      </w:r>
    </w:p>
    <w:p w:rsidR="00812CC3" w:rsidRDefault="00812CC3" w:rsidP="00812CC3">
      <w:pPr>
        <w:spacing w:after="0"/>
        <w:jc w:val="both"/>
        <w:rPr>
          <w:rFonts w:asciiTheme="minorHAnsi" w:cstheme="minorHAnsi"/>
          <w:lang w:val="it-IT"/>
        </w:rPr>
      </w:pPr>
    </w:p>
    <w:p w:rsidR="00812CC3" w:rsidRDefault="00812CC3" w:rsidP="00812CC3">
      <w:pPr>
        <w:spacing w:after="0"/>
        <w:jc w:val="both"/>
        <w:rPr>
          <w:rFonts w:cstheme="minorHAnsi"/>
          <w:bCs/>
          <w:lang w:val="it-IT"/>
        </w:rPr>
      </w:pPr>
      <w:r>
        <w:rPr>
          <w:rFonts w:eastAsia="Times New Roman" w:cstheme="minorHAnsi"/>
          <w:bCs/>
          <w:lang w:val="it-IT" w:eastAsia="en-AU"/>
        </w:rPr>
        <w:t>Per richieste di competenza dell’</w:t>
      </w:r>
      <w:r>
        <w:rPr>
          <w:rFonts w:eastAsia="Times New Roman" w:cstheme="minorHAnsi"/>
          <w:bCs/>
          <w:u w:val="single"/>
          <w:lang w:val="it-IT" w:eastAsia="en-AU"/>
        </w:rPr>
        <w:t>ATO</w:t>
      </w:r>
      <w:r>
        <w:rPr>
          <w:rFonts w:eastAsia="Times New Roman" w:cstheme="minorHAnsi"/>
          <w:bCs/>
          <w:lang w:val="it-IT" w:eastAsia="en-AU"/>
        </w:rPr>
        <w:t xml:space="preserve">, il </w:t>
      </w:r>
      <w:r>
        <w:rPr>
          <w:rFonts w:cstheme="minorHAnsi"/>
          <w:bCs/>
          <w:lang w:val="it-IT"/>
        </w:rPr>
        <w:t xml:space="preserve">certificato di esenzione consente di acquistare una proprietà in uno Stato o Territorio specifico senza dover richiedere l'approvazione individuale per ogni proprietà di interesse. La pagina </w:t>
      </w:r>
      <w:hyperlink r:id="rId16" w:history="1">
        <w:proofErr w:type="spellStart"/>
        <w:r>
          <w:rPr>
            <w:rStyle w:val="Collegamentoipertestuale"/>
            <w:rFonts w:cstheme="minorHAnsi"/>
            <w:bCs/>
            <w:lang w:val="it-IT"/>
          </w:rPr>
          <w:t>Exemption</w:t>
        </w:r>
        <w:proofErr w:type="spellEnd"/>
        <w:r>
          <w:rPr>
            <w:rStyle w:val="Collegamentoipertestuale"/>
            <w:rFonts w:cstheme="minorHAnsi"/>
            <w:bCs/>
            <w:lang w:val="it-IT"/>
          </w:rPr>
          <w:t xml:space="preserve"> </w:t>
        </w:r>
        <w:proofErr w:type="spellStart"/>
        <w:r>
          <w:rPr>
            <w:rStyle w:val="Collegamentoipertestuale"/>
            <w:rFonts w:cstheme="minorHAnsi"/>
            <w:bCs/>
            <w:lang w:val="it-IT"/>
          </w:rPr>
          <w:t>certificates</w:t>
        </w:r>
        <w:proofErr w:type="spellEnd"/>
      </w:hyperlink>
      <w:r>
        <w:rPr>
          <w:rFonts w:cstheme="minorHAnsi"/>
          <w:bCs/>
          <w:lang w:val="it-IT"/>
        </w:rPr>
        <w:t xml:space="preserve"> </w:t>
      </w:r>
      <w:r>
        <w:rPr>
          <w:rFonts w:cstheme="minorHAnsi"/>
          <w:lang w:val="it-IT"/>
        </w:rPr>
        <w:t>offre un chiaro quadro in materia.</w:t>
      </w:r>
    </w:p>
    <w:p w:rsidR="00812CC3" w:rsidRDefault="00812CC3" w:rsidP="00812CC3">
      <w:pPr>
        <w:spacing w:after="0"/>
        <w:jc w:val="both"/>
        <w:rPr>
          <w:rFonts w:eastAsia="Times New Roman" w:cstheme="minorHAnsi"/>
          <w:bCs/>
          <w:lang w:val="it-IT" w:eastAsia="en-AU"/>
        </w:rPr>
      </w:pPr>
    </w:p>
    <w:p w:rsidR="00812CC3" w:rsidRDefault="00812CC3" w:rsidP="00812CC3">
      <w:pPr>
        <w:spacing w:after="0"/>
        <w:jc w:val="both"/>
        <w:rPr>
          <w:rFonts w:eastAsia="Times New Roman" w:cstheme="minorHAnsi"/>
          <w:bCs/>
          <w:lang w:val="it-IT" w:eastAsia="en-AU"/>
        </w:rPr>
      </w:pPr>
      <w:r>
        <w:rPr>
          <w:rFonts w:eastAsia="Times New Roman" w:cstheme="minorHAnsi"/>
          <w:bCs/>
          <w:lang w:val="it-IT" w:eastAsia="en-AU"/>
        </w:rPr>
        <w:t xml:space="preserve">I certificati di esenzione di responsabilità del </w:t>
      </w:r>
      <w:r>
        <w:rPr>
          <w:rFonts w:eastAsia="Times New Roman" w:cstheme="minorHAnsi"/>
          <w:bCs/>
          <w:u w:val="single"/>
          <w:lang w:val="it-IT" w:eastAsia="en-AU"/>
        </w:rPr>
        <w:t>FIRB</w:t>
      </w:r>
      <w:r>
        <w:rPr>
          <w:rFonts w:eastAsia="Times New Roman" w:cstheme="minorHAnsi"/>
          <w:bCs/>
          <w:lang w:val="it-IT" w:eastAsia="en-AU"/>
        </w:rPr>
        <w:t xml:space="preserve"> sono pensati per investitori con un ampio portafoglio di investimenti. </w:t>
      </w:r>
    </w:p>
    <w:p w:rsidR="00812CC3" w:rsidRDefault="00812CC3" w:rsidP="00812CC3">
      <w:pPr>
        <w:spacing w:after="0"/>
        <w:jc w:val="both"/>
        <w:rPr>
          <w:rFonts w:eastAsia="Times New Roman" w:cstheme="minorHAnsi"/>
          <w:bCs/>
          <w:lang w:val="it-IT" w:eastAsia="en-AU"/>
        </w:rPr>
      </w:pPr>
      <w:r>
        <w:rPr>
          <w:rFonts w:eastAsia="Times New Roman" w:cstheme="minorHAnsi"/>
          <w:bCs/>
          <w:lang w:val="it-IT" w:eastAsia="en-AU"/>
        </w:rPr>
        <w:t>L’utilizzo di questi certificati mira a ridurre l'onere burocratico per gli stranieri, consentendo loro di ottenere l'approvazione per una molteplicità di progetti, piuttosto che dover richiedere l’approvazione per ogni singola richiesta.</w:t>
      </w:r>
    </w:p>
    <w:p w:rsidR="00812CC3" w:rsidRDefault="00812CC3" w:rsidP="00812CC3">
      <w:pPr>
        <w:spacing w:after="0"/>
        <w:jc w:val="both"/>
        <w:rPr>
          <w:rFonts w:eastAsia="Times New Roman" w:cstheme="minorHAnsi"/>
          <w:bCs/>
          <w:lang w:val="it-IT" w:eastAsia="en-AU"/>
        </w:rPr>
      </w:pPr>
      <w:r>
        <w:rPr>
          <w:rStyle w:val="markedcontent"/>
          <w:rFonts w:cstheme="minorHAnsi"/>
          <w:lang w:val="it-IT"/>
        </w:rPr>
        <w:t>Qualora la richiesta per certificati di esenzione non venga approvata, l’investitore può comunque fare domanda per approvazioni individuali.</w:t>
      </w:r>
    </w:p>
    <w:p w:rsidR="00812CC3" w:rsidRDefault="00812CC3" w:rsidP="00812CC3">
      <w:pPr>
        <w:spacing w:after="0"/>
        <w:jc w:val="both"/>
        <w:rPr>
          <w:rFonts w:eastAsia="Times New Roman" w:cstheme="minorHAnsi"/>
          <w:bCs/>
          <w:lang w:val="it-IT" w:eastAsia="en-AU"/>
        </w:rPr>
      </w:pPr>
      <w:r>
        <w:rPr>
          <w:rFonts w:eastAsia="Times New Roman" w:cstheme="minorHAnsi"/>
          <w:bCs/>
          <w:lang w:val="it-IT" w:eastAsia="en-AU"/>
        </w:rPr>
        <w:t>Tendenzialmente i certificati non vengono concessi ad investitori con portafogli d’investimento limitati.</w:t>
      </w:r>
      <w:r>
        <w:rPr>
          <w:rFonts w:eastAsia="Times New Roman" w:cstheme="minorHAnsi"/>
          <w:bCs/>
          <w:lang w:val="it-IT" w:eastAsia="en-AU"/>
        </w:rPr>
        <w:tab/>
      </w:r>
    </w:p>
    <w:p w:rsidR="00812CC3" w:rsidRDefault="00812CC3" w:rsidP="00812CC3">
      <w:pPr>
        <w:spacing w:after="0"/>
        <w:jc w:val="both"/>
        <w:rPr>
          <w:rFonts w:eastAsia="Times New Roman" w:cstheme="minorHAnsi"/>
          <w:bCs/>
          <w:lang w:val="it-IT" w:eastAsia="en-AU"/>
        </w:rPr>
      </w:pPr>
      <w:r>
        <w:rPr>
          <w:rFonts w:eastAsia="Times New Roman" w:cstheme="minorHAnsi"/>
          <w:bCs/>
          <w:lang w:val="it-IT" w:eastAsia="en-AU"/>
        </w:rPr>
        <w:t>I certificati di esenzioni sono approfonditi</w:t>
      </w:r>
      <w:r>
        <w:rPr>
          <w:rFonts w:eastAsia="Times New Roman" w:cstheme="minorHAnsi"/>
          <w:bCs/>
          <w:color w:val="FF0000"/>
          <w:lang w:val="it-IT" w:eastAsia="en-AU"/>
        </w:rPr>
        <w:t xml:space="preserve"> </w:t>
      </w:r>
      <w:r>
        <w:rPr>
          <w:rFonts w:eastAsia="Times New Roman" w:cstheme="minorHAnsi"/>
          <w:bCs/>
          <w:lang w:val="it-IT" w:eastAsia="en-AU"/>
        </w:rPr>
        <w:t xml:space="preserve">nelle  </w:t>
      </w:r>
      <w:hyperlink r:id="rId17" w:history="1">
        <w:r>
          <w:rPr>
            <w:rStyle w:val="Collegamentoipertestuale"/>
            <w:rFonts w:eastAsia="Times New Roman" w:cstheme="minorHAnsi"/>
            <w:bCs/>
            <w:lang w:val="it-IT" w:eastAsia="en-AU"/>
          </w:rPr>
          <w:t>Linee guida 9</w:t>
        </w:r>
      </w:hyperlink>
      <w:r>
        <w:rPr>
          <w:rStyle w:val="Collegamentoipertestuale"/>
          <w:rFonts w:eastAsia="Times New Roman" w:cstheme="minorHAnsi"/>
          <w:bCs/>
          <w:lang w:val="it-IT" w:eastAsia="en-AU"/>
        </w:rPr>
        <w:t xml:space="preserve"> .</w:t>
      </w:r>
    </w:p>
    <w:p w:rsidR="00812CC3" w:rsidRDefault="00812CC3" w:rsidP="00812CC3">
      <w:pPr>
        <w:spacing w:after="0"/>
        <w:jc w:val="both"/>
        <w:rPr>
          <w:rStyle w:val="y2iqfc"/>
        </w:rPr>
      </w:pPr>
    </w:p>
    <w:p w:rsidR="00812CC3" w:rsidRDefault="00812CC3" w:rsidP="00812CC3">
      <w:pPr>
        <w:spacing w:after="0"/>
        <w:jc w:val="both"/>
        <w:rPr>
          <w:rStyle w:val="y2iqfc"/>
          <w:rFonts w:eastAsia="Times New Roman" w:cstheme="minorHAnsi"/>
          <w:lang w:val="it-IT" w:eastAsia="en-AU"/>
        </w:rPr>
      </w:pPr>
    </w:p>
    <w:p w:rsidR="00812CC3" w:rsidRDefault="00812CC3" w:rsidP="00812CC3">
      <w:pPr>
        <w:pStyle w:val="Paragrafoelenco"/>
        <w:numPr>
          <w:ilvl w:val="0"/>
          <w:numId w:val="3"/>
        </w:numPr>
        <w:spacing w:after="0" w:line="276" w:lineRule="auto"/>
        <w:jc w:val="both"/>
        <w:rPr>
          <w:rStyle w:val="y2iqfc"/>
          <w:rFonts w:eastAsia="Times New Roman" w:cstheme="minorHAnsi"/>
          <w:b/>
          <w:bCs/>
          <w:lang w:val="it-IT" w:eastAsia="en-AU"/>
        </w:rPr>
      </w:pPr>
      <w:r>
        <w:rPr>
          <w:rStyle w:val="y2iqfc"/>
          <w:rFonts w:eastAsia="Times New Roman" w:cstheme="minorHAnsi"/>
          <w:b/>
          <w:bCs/>
          <w:lang w:val="it-IT" w:eastAsia="en-AU"/>
        </w:rPr>
        <w:t>Valutazione della proposta</w:t>
      </w:r>
    </w:p>
    <w:p w:rsidR="00812CC3" w:rsidRDefault="00812CC3" w:rsidP="00812CC3">
      <w:pPr>
        <w:spacing w:after="0"/>
        <w:jc w:val="both"/>
        <w:rPr>
          <w:rFonts w:eastAsiaTheme="minorHAnsi"/>
        </w:rPr>
      </w:pPr>
    </w:p>
    <w:p w:rsidR="00812CC3" w:rsidRDefault="00812CC3" w:rsidP="00812CC3">
      <w:pPr>
        <w:spacing w:after="0"/>
        <w:jc w:val="both"/>
        <w:rPr>
          <w:rFonts w:eastAsia="Times New Roman" w:cstheme="minorBidi"/>
          <w:lang w:val="it-IT" w:eastAsia="en-AU"/>
        </w:rPr>
      </w:pPr>
      <w:r>
        <w:rPr>
          <w:rFonts w:eastAsia="Times New Roman"/>
          <w:lang w:val="it-IT" w:eastAsia="en-AU"/>
        </w:rPr>
        <w:t xml:space="preserve">In base al </w:t>
      </w:r>
      <w:proofErr w:type="spellStart"/>
      <w:r>
        <w:rPr>
          <w:rFonts w:eastAsia="Times New Roman"/>
          <w:lang w:val="it-IT" w:eastAsia="en-AU"/>
        </w:rPr>
        <w:t>Foreign</w:t>
      </w:r>
      <w:proofErr w:type="spellEnd"/>
      <w:r>
        <w:rPr>
          <w:rFonts w:eastAsia="Times New Roman"/>
          <w:lang w:val="it-IT" w:eastAsia="en-AU"/>
        </w:rPr>
        <w:t xml:space="preserve"> </w:t>
      </w:r>
      <w:proofErr w:type="spellStart"/>
      <w:r>
        <w:rPr>
          <w:rFonts w:eastAsia="Times New Roman"/>
          <w:lang w:val="it-IT" w:eastAsia="en-AU"/>
        </w:rPr>
        <w:t>Acquisitions</w:t>
      </w:r>
      <w:proofErr w:type="spellEnd"/>
      <w:r>
        <w:rPr>
          <w:rFonts w:eastAsia="Times New Roman"/>
          <w:lang w:val="it-IT" w:eastAsia="en-AU"/>
        </w:rPr>
        <w:t xml:space="preserve"> and </w:t>
      </w:r>
      <w:proofErr w:type="spellStart"/>
      <w:r>
        <w:rPr>
          <w:rFonts w:eastAsia="Times New Roman"/>
          <w:lang w:val="it-IT" w:eastAsia="en-AU"/>
        </w:rPr>
        <w:t>Takeovers</w:t>
      </w:r>
      <w:proofErr w:type="spellEnd"/>
      <w:r>
        <w:rPr>
          <w:rFonts w:eastAsia="Times New Roman"/>
          <w:lang w:val="it-IT" w:eastAsia="en-AU"/>
        </w:rPr>
        <w:t xml:space="preserve"> </w:t>
      </w:r>
      <w:proofErr w:type="spellStart"/>
      <w:r>
        <w:rPr>
          <w:rFonts w:eastAsia="Times New Roman"/>
          <w:lang w:val="it-IT" w:eastAsia="en-AU"/>
        </w:rPr>
        <w:t>Act</w:t>
      </w:r>
      <w:proofErr w:type="spellEnd"/>
      <w:r>
        <w:rPr>
          <w:rFonts w:eastAsia="Times New Roman"/>
          <w:lang w:val="it-IT" w:eastAsia="en-AU"/>
        </w:rPr>
        <w:t xml:space="preserve"> 1975 il </w:t>
      </w:r>
      <w:proofErr w:type="spellStart"/>
      <w:r>
        <w:rPr>
          <w:lang w:val="it-IT"/>
        </w:rPr>
        <w:t>Treasurer</w:t>
      </w:r>
      <w:proofErr w:type="spellEnd"/>
      <w:r>
        <w:rPr>
          <w:rFonts w:eastAsia="Times New Roman"/>
          <w:lang w:val="it-IT" w:eastAsia="en-AU"/>
        </w:rPr>
        <w:t xml:space="preserve"> ha 30 giorni per considerare la domanda e prendere una decisione. </w:t>
      </w:r>
    </w:p>
    <w:p w:rsidR="00812CC3" w:rsidRDefault="00812CC3" w:rsidP="00812CC3">
      <w:pPr>
        <w:spacing w:after="0"/>
        <w:jc w:val="both"/>
        <w:rPr>
          <w:rFonts w:eastAsia="Times New Roman"/>
          <w:lang w:val="it-IT" w:eastAsia="en-AU"/>
        </w:rPr>
      </w:pPr>
      <w:r>
        <w:rPr>
          <w:rFonts w:eastAsia="Times New Roman"/>
          <w:lang w:val="it-IT" w:eastAsia="en-AU"/>
        </w:rPr>
        <w:t>La data di inizio decorrerà dal pagamento completo del corretto ammontare degli oneri fiscali.</w:t>
      </w:r>
    </w:p>
    <w:p w:rsidR="00812CC3" w:rsidRDefault="00812CC3" w:rsidP="00812CC3">
      <w:pPr>
        <w:spacing w:after="0"/>
        <w:jc w:val="both"/>
        <w:rPr>
          <w:rFonts w:eastAsia="Times New Roman"/>
          <w:lang w:val="it-IT" w:eastAsia="en-AU"/>
        </w:rPr>
      </w:pPr>
      <w:r>
        <w:rPr>
          <w:rFonts w:eastAsia="Times New Roman"/>
          <w:lang w:val="it-IT" w:eastAsia="en-AU"/>
        </w:rPr>
        <w:t>In talune circostanze il Ministro può estendere questo periodo di altri 90 giorni. In tal caso il richiedente riceverà una notifica per iscritto. Anche l’investitore può estendere il periodo fornendo il consenso scritto.</w:t>
      </w:r>
    </w:p>
    <w:p w:rsidR="00812CC3" w:rsidRDefault="00812CC3" w:rsidP="00812CC3">
      <w:pPr>
        <w:spacing w:after="0"/>
        <w:jc w:val="both"/>
        <w:rPr>
          <w:rFonts w:eastAsia="Times New Roman"/>
          <w:lang w:val="it-IT" w:eastAsia="en-AU"/>
        </w:rPr>
      </w:pPr>
      <w:r>
        <w:rPr>
          <w:rFonts w:eastAsia="Times New Roman"/>
          <w:lang w:val="it-IT" w:eastAsia="en-AU"/>
        </w:rPr>
        <w:t xml:space="preserve">Il </w:t>
      </w:r>
      <w:proofErr w:type="spellStart"/>
      <w:r>
        <w:rPr>
          <w:lang w:val="it-IT"/>
        </w:rPr>
        <w:t>Treasurer</w:t>
      </w:r>
      <w:proofErr w:type="spellEnd"/>
      <w:r>
        <w:rPr>
          <w:rFonts w:eastAsia="Times New Roman"/>
          <w:lang w:val="it-IT" w:eastAsia="en-AU"/>
        </w:rPr>
        <w:t xml:space="preserve"> avrà 10 giorni dalla data della decisione per poter comunicare l’esito della richiesta al potenziale investitore (per ulteriori dettagli sulle tempistiche consultare Linee Guida 1). </w:t>
      </w:r>
    </w:p>
    <w:p w:rsidR="00812CC3" w:rsidRDefault="00812CC3" w:rsidP="00812CC3">
      <w:pPr>
        <w:tabs>
          <w:tab w:val="left" w:pos="3420"/>
          <w:tab w:val="left" w:pos="7001"/>
        </w:tabs>
        <w:spacing w:after="0"/>
        <w:jc w:val="both"/>
        <w:rPr>
          <w:rFonts w:eastAsiaTheme="minorHAnsi" w:cstheme="minorHAnsi"/>
          <w:lang w:val="it-IT"/>
        </w:rPr>
      </w:pPr>
    </w:p>
    <w:p w:rsidR="00812CC3" w:rsidRDefault="00812CC3" w:rsidP="00812CC3">
      <w:pPr>
        <w:tabs>
          <w:tab w:val="left" w:pos="3420"/>
          <w:tab w:val="left" w:pos="7001"/>
        </w:tabs>
        <w:spacing w:after="0"/>
        <w:jc w:val="both"/>
        <w:rPr>
          <w:rFonts w:cstheme="minorHAnsi"/>
          <w:lang w:val="it-IT"/>
        </w:rPr>
      </w:pPr>
    </w:p>
    <w:p w:rsidR="00812CC3" w:rsidRDefault="00812CC3" w:rsidP="00812CC3">
      <w:pPr>
        <w:pStyle w:val="Paragrafoelenco"/>
        <w:numPr>
          <w:ilvl w:val="0"/>
          <w:numId w:val="3"/>
        </w:numPr>
        <w:spacing w:after="0" w:line="276" w:lineRule="auto"/>
        <w:jc w:val="both"/>
        <w:rPr>
          <w:rStyle w:val="y2iqfc"/>
          <w:rFonts w:eastAsia="Times New Roman"/>
          <w:b/>
          <w:bCs/>
          <w:lang w:eastAsia="en-AU"/>
        </w:rPr>
      </w:pPr>
      <w:r>
        <w:rPr>
          <w:rStyle w:val="y2iqfc"/>
          <w:rFonts w:eastAsia="Times New Roman" w:cstheme="minorHAnsi"/>
          <w:b/>
          <w:bCs/>
          <w:lang w:val="it-IT" w:eastAsia="en-AU"/>
        </w:rPr>
        <w:lastRenderedPageBreak/>
        <w:t>Conclusioni</w:t>
      </w:r>
    </w:p>
    <w:p w:rsidR="00812CC3" w:rsidRDefault="00812CC3" w:rsidP="00812CC3">
      <w:pPr>
        <w:pStyle w:val="Paragrafoelenco"/>
        <w:spacing w:after="0"/>
        <w:jc w:val="both"/>
        <w:rPr>
          <w:rStyle w:val="y2iqfc"/>
          <w:rFonts w:eastAsia="Times New Roman" w:cstheme="minorHAnsi"/>
          <w:b/>
          <w:bCs/>
          <w:lang w:val="it-IT" w:eastAsia="en-AU"/>
        </w:rPr>
      </w:pPr>
    </w:p>
    <w:p w:rsidR="00812CC3" w:rsidRDefault="00812CC3" w:rsidP="00812CC3">
      <w:pPr>
        <w:tabs>
          <w:tab w:val="left" w:pos="3420"/>
          <w:tab w:val="left" w:pos="7001"/>
        </w:tabs>
        <w:spacing w:after="0"/>
        <w:jc w:val="both"/>
        <w:rPr>
          <w:rFonts w:eastAsiaTheme="minorHAnsi"/>
        </w:rPr>
      </w:pPr>
      <w:r>
        <w:rPr>
          <w:rFonts w:cstheme="minorHAnsi"/>
          <w:lang w:val="it-IT"/>
        </w:rPr>
        <w:t>La legislazione relativa agli investimenti stranieri in Australia sta diventando sempre più rigorosa.</w:t>
      </w:r>
    </w:p>
    <w:p w:rsidR="00812CC3" w:rsidRDefault="00812CC3" w:rsidP="00812CC3">
      <w:pPr>
        <w:tabs>
          <w:tab w:val="left" w:pos="3420"/>
          <w:tab w:val="left" w:pos="7001"/>
        </w:tabs>
        <w:spacing w:after="0"/>
        <w:jc w:val="both"/>
        <w:rPr>
          <w:rFonts w:cstheme="minorHAnsi"/>
          <w:lang w:val="it-IT"/>
        </w:rPr>
      </w:pPr>
      <w:r>
        <w:rPr>
          <w:rFonts w:cstheme="minorHAnsi"/>
          <w:lang w:val="it-IT"/>
        </w:rPr>
        <w:t>Nonostante gli investimenti stranieri rimangano ben visti e la loro maggioranza venga comunque approvata, le tensioni geopolitiche e la crisi COVID-19 hanno certamente aumentato le difficoltà per gli investimenti stranieri, soprattutto per quelli considerati sensibili.</w:t>
      </w:r>
    </w:p>
    <w:p w:rsidR="00812CC3" w:rsidRDefault="00812CC3" w:rsidP="00812CC3">
      <w:pPr>
        <w:tabs>
          <w:tab w:val="left" w:pos="3420"/>
          <w:tab w:val="left" w:pos="7001"/>
        </w:tabs>
        <w:spacing w:after="0"/>
        <w:jc w:val="both"/>
        <w:rPr>
          <w:rFonts w:cstheme="minorHAnsi"/>
          <w:lang w:val="it-IT"/>
        </w:rPr>
      </w:pPr>
      <w:r>
        <w:rPr>
          <w:rFonts w:cstheme="minorHAnsi"/>
          <w:lang w:val="it-IT"/>
        </w:rPr>
        <w:t xml:space="preserve">Si suggerisce quindi di richiedere assistenza di studi legali competenti in materia per un corretto svolgimento del processo di approvazione dell’investimento. </w:t>
      </w:r>
    </w:p>
    <w:p w:rsidR="00812CC3" w:rsidRDefault="00812CC3" w:rsidP="00812CC3">
      <w:pPr>
        <w:tabs>
          <w:tab w:val="left" w:pos="3420"/>
          <w:tab w:val="left" w:pos="7001"/>
        </w:tabs>
        <w:spacing w:after="0"/>
        <w:jc w:val="both"/>
        <w:rPr>
          <w:rFonts w:cstheme="minorHAnsi"/>
          <w:lang w:val="it-IT"/>
        </w:rPr>
      </w:pPr>
    </w:p>
    <w:p w:rsidR="00812CC3" w:rsidRDefault="00812CC3" w:rsidP="00812CC3">
      <w:pPr>
        <w:tabs>
          <w:tab w:val="left" w:pos="3420"/>
          <w:tab w:val="left" w:pos="7001"/>
        </w:tabs>
        <w:spacing w:after="0"/>
        <w:jc w:val="both"/>
        <w:rPr>
          <w:rFonts w:cstheme="minorHAnsi"/>
          <w:lang w:val="it-IT"/>
        </w:rPr>
      </w:pPr>
      <w:r>
        <w:rPr>
          <w:rFonts w:cstheme="minorHAnsi"/>
          <w:lang w:val="it-IT"/>
        </w:rPr>
        <w:t>Si fa presente che l’ufficio ATO dispone di una linea telefonica dedicata alla consulenza in materia.</w:t>
      </w:r>
    </w:p>
    <w:p w:rsidR="00812CC3" w:rsidRDefault="00812CC3" w:rsidP="00812CC3">
      <w:pPr>
        <w:tabs>
          <w:tab w:val="left" w:pos="3420"/>
          <w:tab w:val="left" w:pos="7001"/>
        </w:tabs>
        <w:spacing w:after="0"/>
        <w:jc w:val="both"/>
        <w:rPr>
          <w:rFonts w:cstheme="minorHAnsi"/>
          <w:lang w:val="it-IT"/>
        </w:rPr>
      </w:pPr>
      <w:r>
        <w:rPr>
          <w:rFonts w:cstheme="minorHAnsi"/>
          <w:lang w:val="it-IT"/>
        </w:rPr>
        <w:t xml:space="preserve">Qualora fosse necessario un interprete, questo è disponibile chiamando 131450 (per chiamate dall’Australia) o +61 3392 6883 32 (per chiamate dall’estero), una volta ottenuto l’interprete, si può richiedere di trasferire la chiamata </w:t>
      </w:r>
      <w:proofErr w:type="gramStart"/>
      <w:r>
        <w:rPr>
          <w:rFonts w:cstheme="minorHAnsi"/>
          <w:lang w:val="it-IT"/>
        </w:rPr>
        <w:t>all’ATO .</w:t>
      </w:r>
      <w:proofErr w:type="gramEnd"/>
    </w:p>
    <w:p w:rsidR="00812CC3" w:rsidRDefault="00812CC3" w:rsidP="00812CC3">
      <w:pPr>
        <w:tabs>
          <w:tab w:val="left" w:pos="3420"/>
          <w:tab w:val="left" w:pos="7001"/>
        </w:tabs>
        <w:spacing w:after="0"/>
        <w:jc w:val="both"/>
        <w:rPr>
          <w:rFonts w:cstheme="minorHAnsi"/>
          <w:lang w:val="it-IT"/>
        </w:rPr>
      </w:pPr>
      <w:r>
        <w:rPr>
          <w:rFonts w:cstheme="minorHAnsi"/>
          <w:lang w:val="it-IT"/>
        </w:rPr>
        <w:t xml:space="preserve">Per informazioni su linee dirette, orari e indirizzi email consultare </w:t>
      </w:r>
      <w:hyperlink r:id="rId18" w:history="1">
        <w:r>
          <w:rPr>
            <w:rStyle w:val="Collegamentoipertestuale"/>
            <w:rFonts w:cstheme="minorHAnsi"/>
            <w:lang w:val="it-IT"/>
          </w:rPr>
          <w:t>ATO/</w:t>
        </w:r>
        <w:proofErr w:type="spellStart"/>
        <w:r>
          <w:rPr>
            <w:rStyle w:val="Collegamentoipertestuale"/>
            <w:rFonts w:cstheme="minorHAnsi"/>
            <w:lang w:val="it-IT"/>
          </w:rPr>
          <w:t>Contact</w:t>
        </w:r>
        <w:proofErr w:type="spellEnd"/>
        <w:r>
          <w:rPr>
            <w:rStyle w:val="Collegamentoipertestuale"/>
            <w:rFonts w:cstheme="minorHAnsi"/>
            <w:lang w:val="it-IT"/>
          </w:rPr>
          <w:t xml:space="preserve"> </w:t>
        </w:r>
        <w:proofErr w:type="spellStart"/>
        <w:r>
          <w:rPr>
            <w:rStyle w:val="Collegamentoipertestuale"/>
            <w:rFonts w:cstheme="minorHAnsi"/>
            <w:lang w:val="it-IT"/>
          </w:rPr>
          <w:t>us</w:t>
        </w:r>
        <w:proofErr w:type="spellEnd"/>
      </w:hyperlink>
      <w:r>
        <w:rPr>
          <w:rFonts w:cstheme="minorHAnsi"/>
          <w:lang w:val="it-IT"/>
        </w:rPr>
        <w:t xml:space="preserve"> o </w:t>
      </w:r>
      <w:hyperlink r:id="rId19" w:history="1">
        <w:r>
          <w:rPr>
            <w:rStyle w:val="Collegamentoipertestuale"/>
            <w:rFonts w:cstheme="minorHAnsi"/>
            <w:lang w:val="it-IT"/>
          </w:rPr>
          <w:t>FIRB/</w:t>
        </w:r>
        <w:proofErr w:type="spellStart"/>
        <w:r>
          <w:rPr>
            <w:rStyle w:val="Collegamentoipertestuale"/>
            <w:rFonts w:cstheme="minorHAnsi"/>
            <w:lang w:val="it-IT"/>
          </w:rPr>
          <w:t>Contact</w:t>
        </w:r>
        <w:proofErr w:type="spellEnd"/>
        <w:r>
          <w:rPr>
            <w:rStyle w:val="Collegamentoipertestuale"/>
            <w:rFonts w:cstheme="minorHAnsi"/>
            <w:lang w:val="it-IT"/>
          </w:rPr>
          <w:t xml:space="preserve"> </w:t>
        </w:r>
        <w:proofErr w:type="spellStart"/>
        <w:r>
          <w:rPr>
            <w:rStyle w:val="Collegamentoipertestuale"/>
            <w:rFonts w:cstheme="minorHAnsi"/>
            <w:lang w:val="it-IT"/>
          </w:rPr>
          <w:t>us</w:t>
        </w:r>
        <w:proofErr w:type="spellEnd"/>
      </w:hyperlink>
    </w:p>
    <w:p w:rsidR="00812CC3" w:rsidRDefault="00812CC3" w:rsidP="00812CC3">
      <w:pPr>
        <w:pStyle w:val="Titolo2"/>
        <w:jc w:val="both"/>
        <w:rPr>
          <w:rFonts w:cstheme="minorHAnsi"/>
          <w:lang w:val="it-IT"/>
        </w:rPr>
      </w:pPr>
    </w:p>
    <w:p w:rsidR="00812CC3" w:rsidRDefault="00812CC3" w:rsidP="00812CC3">
      <w:pPr>
        <w:tabs>
          <w:tab w:val="left" w:pos="3420"/>
          <w:tab w:val="left" w:pos="7001"/>
        </w:tabs>
        <w:spacing w:after="0"/>
        <w:jc w:val="both"/>
        <w:rPr>
          <w:rFonts w:cstheme="minorHAnsi"/>
          <w:lang w:val="it-IT"/>
        </w:rPr>
      </w:pPr>
    </w:p>
    <w:p w:rsidR="00812CC3" w:rsidRDefault="00812CC3" w:rsidP="00812CC3">
      <w:pPr>
        <w:pStyle w:val="Paragrafoelenco"/>
        <w:numPr>
          <w:ilvl w:val="0"/>
          <w:numId w:val="3"/>
        </w:numPr>
        <w:tabs>
          <w:tab w:val="left" w:pos="3420"/>
          <w:tab w:val="left" w:pos="7001"/>
        </w:tabs>
        <w:spacing w:after="0" w:line="276" w:lineRule="auto"/>
        <w:jc w:val="both"/>
        <w:rPr>
          <w:rFonts w:cstheme="minorHAnsi"/>
          <w:b/>
          <w:lang w:val="it-IT"/>
        </w:rPr>
      </w:pPr>
      <w:r>
        <w:rPr>
          <w:rFonts w:cstheme="minorHAnsi"/>
          <w:b/>
          <w:lang w:val="it-IT"/>
        </w:rPr>
        <w:t xml:space="preserve">Link utili </w:t>
      </w:r>
    </w:p>
    <w:p w:rsidR="00812CC3" w:rsidRDefault="00812CC3" w:rsidP="00812CC3">
      <w:pPr>
        <w:pStyle w:val="Paragrafoelenco"/>
        <w:tabs>
          <w:tab w:val="left" w:pos="3420"/>
          <w:tab w:val="left" w:pos="7001"/>
        </w:tabs>
        <w:spacing w:after="0"/>
        <w:jc w:val="both"/>
        <w:rPr>
          <w:rFonts w:cstheme="minorHAnsi"/>
          <w:b/>
          <w:lang w:val="it-IT"/>
        </w:rPr>
      </w:pPr>
    </w:p>
    <w:p w:rsidR="00812CC3" w:rsidRDefault="00812CC3" w:rsidP="00812CC3">
      <w:pPr>
        <w:pStyle w:val="Paragrafoelenco"/>
        <w:numPr>
          <w:ilvl w:val="0"/>
          <w:numId w:val="8"/>
        </w:numPr>
        <w:tabs>
          <w:tab w:val="left" w:pos="3420"/>
          <w:tab w:val="left" w:pos="7001"/>
        </w:tabs>
        <w:spacing w:after="0" w:line="276" w:lineRule="auto"/>
        <w:jc w:val="both"/>
        <w:rPr>
          <w:rFonts w:cstheme="minorHAnsi"/>
          <w:b/>
          <w:lang w:val="en-AU"/>
        </w:rPr>
      </w:pPr>
      <w:hyperlink r:id="rId20" w:tgtFrame="_blank" w:history="1">
        <w:r>
          <w:rPr>
            <w:rStyle w:val="Collegamentoipertestuale"/>
            <w:rFonts w:cstheme="minorHAnsi"/>
            <w:lang w:val="en-AU"/>
          </w:rPr>
          <w:t>D.P.R 9 December 1970 n. 1430 art. n. 28</w:t>
        </w:r>
      </w:hyperlink>
    </w:p>
    <w:bookmarkStart w:id="2" w:name="_Hlk80176465"/>
    <w:p w:rsidR="00812CC3" w:rsidRDefault="00812CC3" w:rsidP="00812CC3">
      <w:pPr>
        <w:pStyle w:val="Paragrafoelenco"/>
        <w:numPr>
          <w:ilvl w:val="0"/>
          <w:numId w:val="8"/>
        </w:numPr>
        <w:tabs>
          <w:tab w:val="left" w:pos="3420"/>
          <w:tab w:val="left" w:pos="7001"/>
        </w:tabs>
        <w:spacing w:after="0" w:line="276" w:lineRule="auto"/>
        <w:jc w:val="both"/>
        <w:rPr>
          <w:rStyle w:val="Collegamentoipertestuale"/>
        </w:rPr>
      </w:pPr>
      <w:r>
        <w:fldChar w:fldCharType="begin"/>
      </w:r>
      <w:r>
        <w:instrText xml:space="preserve"> HYPERLINK "https://www.legislation.gov.au/Details/C2021C00022" </w:instrText>
      </w:r>
      <w:r>
        <w:fldChar w:fldCharType="separate"/>
      </w:r>
      <w:r>
        <w:rPr>
          <w:rStyle w:val="Collegamentoipertestuale"/>
          <w:rFonts w:cstheme="minorHAnsi"/>
          <w:lang w:val="en-AU"/>
        </w:rPr>
        <w:t>Foreign Acquisitions and Takeovers Act 1975</w:t>
      </w:r>
      <w:r>
        <w:fldChar w:fldCharType="end"/>
      </w:r>
    </w:p>
    <w:bookmarkEnd w:id="2"/>
    <w:p w:rsidR="00812CC3" w:rsidRDefault="00812CC3" w:rsidP="00812CC3">
      <w:pPr>
        <w:pStyle w:val="Paragrafoelenco"/>
        <w:numPr>
          <w:ilvl w:val="0"/>
          <w:numId w:val="8"/>
        </w:numPr>
        <w:tabs>
          <w:tab w:val="left" w:pos="3420"/>
          <w:tab w:val="left" w:pos="7001"/>
        </w:tabs>
        <w:spacing w:after="0" w:line="276" w:lineRule="auto"/>
        <w:jc w:val="both"/>
        <w:rPr>
          <w:b/>
        </w:rPr>
      </w:pPr>
      <w:r>
        <w:fldChar w:fldCharType="begin"/>
      </w:r>
      <w:r>
        <w:instrText xml:space="preserve"> HYPERLINK "https://www.comlaw.gov.au/Details/C2015A00152" </w:instrText>
      </w:r>
      <w:r>
        <w:fldChar w:fldCharType="separate"/>
      </w:r>
      <w:r>
        <w:rPr>
          <w:rStyle w:val="Collegamentoipertestuale"/>
          <w:rFonts w:cstheme="minorHAnsi"/>
        </w:rPr>
        <w:t xml:space="preserve"> Foreign Acquisitions and Takeovers Fees Impositions Act</w:t>
      </w:r>
      <w:r>
        <w:rPr>
          <w:rStyle w:val="Collegamentoipertestuale"/>
          <w:rFonts w:cstheme="minorHAnsi"/>
          <w:lang w:val="en-AU"/>
        </w:rPr>
        <w:t xml:space="preserve"> 2015</w:t>
      </w:r>
      <w:r>
        <w:fldChar w:fldCharType="end"/>
      </w:r>
    </w:p>
    <w:p w:rsidR="00812CC3" w:rsidRDefault="00812CC3" w:rsidP="00812CC3">
      <w:pPr>
        <w:pStyle w:val="Paragrafoelenco"/>
        <w:numPr>
          <w:ilvl w:val="0"/>
          <w:numId w:val="8"/>
        </w:numPr>
        <w:tabs>
          <w:tab w:val="left" w:pos="3420"/>
          <w:tab w:val="left" w:pos="7001"/>
        </w:tabs>
        <w:spacing w:after="0" w:line="276" w:lineRule="auto"/>
        <w:jc w:val="both"/>
        <w:rPr>
          <w:rFonts w:cstheme="minorHAnsi"/>
          <w:lang w:val="en-AU"/>
        </w:rPr>
      </w:pPr>
      <w:r>
        <w:rPr>
          <w:bCs/>
        </w:rPr>
        <w:t>Australia’s Foreign Investment Policy:</w:t>
      </w:r>
      <w:r>
        <w:rPr>
          <w:b/>
        </w:rPr>
        <w:t xml:space="preserve"> </w:t>
      </w:r>
      <w:hyperlink r:id="rId21" w:history="1">
        <w:r>
          <w:rPr>
            <w:rStyle w:val="Collegamentoipertestuale"/>
          </w:rPr>
          <w:t>https://firb.gov.au/sites/firb.gov.au/files/2021-01/Australias_foreign_investment_policy.pdf</w:t>
        </w:r>
      </w:hyperlink>
    </w:p>
    <w:p w:rsidR="00812CC3" w:rsidRDefault="00812CC3" w:rsidP="00812CC3">
      <w:pPr>
        <w:pStyle w:val="Titolo1"/>
        <w:numPr>
          <w:ilvl w:val="0"/>
          <w:numId w:val="8"/>
        </w:numPr>
        <w:spacing w:before="0" w:beforeAutospacing="0" w:after="0" w:afterAutospacing="0"/>
        <w:jc w:val="both"/>
        <w:rPr>
          <w:rFonts w:asciiTheme="minorHAnsi" w:hAnsiTheme="minorHAnsi"/>
          <w:b w:val="0"/>
          <w:sz w:val="22"/>
          <w:szCs w:val="22"/>
          <w:lang w:val="it-IT"/>
        </w:rPr>
      </w:pPr>
      <w:r>
        <w:rPr>
          <w:rFonts w:asciiTheme="minorHAnsi" w:hAnsiTheme="minorHAnsi"/>
          <w:b w:val="0"/>
          <w:sz w:val="22"/>
          <w:szCs w:val="22"/>
          <w:lang w:val="it-IT"/>
        </w:rPr>
        <w:t xml:space="preserve">Linee guida: </w:t>
      </w:r>
      <w:hyperlink r:id="rId22" w:history="1">
        <w:r>
          <w:rPr>
            <w:rStyle w:val="Collegamentoipertestuale"/>
            <w:rFonts w:asciiTheme="minorHAnsi" w:hAnsiTheme="minorHAnsi"/>
            <w:b w:val="0"/>
            <w:sz w:val="22"/>
            <w:szCs w:val="22"/>
            <w:lang w:val="it-IT"/>
          </w:rPr>
          <w:t>https://firb.gov.au/guidance-notes</w:t>
        </w:r>
      </w:hyperlink>
    </w:p>
    <w:p w:rsidR="00812CC3" w:rsidRDefault="00812CC3" w:rsidP="00812CC3">
      <w:pPr>
        <w:pStyle w:val="Titolo1"/>
        <w:numPr>
          <w:ilvl w:val="0"/>
          <w:numId w:val="8"/>
        </w:numPr>
        <w:tabs>
          <w:tab w:val="left" w:pos="7315"/>
        </w:tabs>
        <w:spacing w:before="0" w:beforeAutospacing="0" w:after="0" w:afterAutospacing="0"/>
        <w:jc w:val="both"/>
        <w:rPr>
          <w:rFonts w:ascii="Garamond" w:hAnsi="Garamond"/>
          <w:sz w:val="24"/>
          <w:szCs w:val="24"/>
        </w:rPr>
      </w:pPr>
      <w:r>
        <w:rPr>
          <w:rFonts w:asciiTheme="minorHAnsi" w:hAnsiTheme="minorHAnsi"/>
          <w:b w:val="0"/>
          <w:bCs w:val="0"/>
          <w:sz w:val="22"/>
          <w:szCs w:val="22"/>
        </w:rPr>
        <w:t xml:space="preserve">FIRB </w:t>
      </w:r>
      <w:r>
        <w:rPr>
          <w:rFonts w:asciiTheme="minorHAnsi" w:hAnsiTheme="minorHAnsi"/>
          <w:b w:val="0"/>
          <w:sz w:val="22"/>
          <w:szCs w:val="22"/>
        </w:rPr>
        <w:t xml:space="preserve">Apply now: </w:t>
      </w:r>
      <w:hyperlink r:id="rId23" w:history="1">
        <w:r>
          <w:rPr>
            <w:rStyle w:val="Collegamentoipertestuale"/>
            <w:rFonts w:asciiTheme="minorHAnsi" w:hAnsiTheme="minorHAnsi"/>
            <w:b w:val="0"/>
            <w:sz w:val="22"/>
            <w:szCs w:val="22"/>
          </w:rPr>
          <w:t>https://firb.gov.au/apply-now</w:t>
        </w:r>
      </w:hyperlink>
      <w:r>
        <w:rPr>
          <w:rFonts w:asciiTheme="minorHAnsi" w:hAnsiTheme="minorHAnsi"/>
          <w:b w:val="0"/>
          <w:sz w:val="22"/>
          <w:szCs w:val="22"/>
        </w:rPr>
        <w:t xml:space="preserve"> </w:t>
      </w:r>
    </w:p>
    <w:p w:rsidR="00812CC3" w:rsidRDefault="00812CC3" w:rsidP="00812CC3">
      <w:pPr>
        <w:spacing w:after="0"/>
        <w:jc w:val="both"/>
        <w:rPr>
          <w:rFonts w:asciiTheme="minorHAnsi" w:hAnsiTheme="minorHAnsi" w:cstheme="minorHAnsi"/>
          <w:color w:val="FF0000"/>
        </w:rPr>
      </w:pPr>
    </w:p>
    <w:p w:rsidR="00812CC3" w:rsidRDefault="00812CC3" w:rsidP="00812CC3">
      <w:pPr>
        <w:spacing w:after="0"/>
        <w:jc w:val="both"/>
        <w:rPr>
          <w:rFonts w:cstheme="minorHAnsi"/>
          <w:color w:val="FF0000"/>
          <w:lang w:val="en-AU"/>
        </w:rPr>
      </w:pPr>
    </w:p>
    <w:p w:rsidR="00812CC3" w:rsidRDefault="00812CC3" w:rsidP="00812CC3">
      <w:pPr>
        <w:spacing w:after="0"/>
        <w:jc w:val="both"/>
        <w:rPr>
          <w:rFonts w:cstheme="minorHAnsi"/>
          <w:color w:val="FF0000"/>
          <w:lang w:val="en-AU"/>
        </w:rPr>
      </w:pPr>
    </w:p>
    <w:p w:rsidR="0072340A" w:rsidRDefault="0072340A" w:rsidP="0072340A">
      <w:pPr>
        <w:autoSpaceDE w:val="0"/>
        <w:autoSpaceDN w:val="0"/>
        <w:adjustRightInd w:val="0"/>
        <w:spacing w:after="0" w:line="240" w:lineRule="auto"/>
        <w:jc w:val="both"/>
        <w:rPr>
          <w:rFonts w:cs="Calibri"/>
          <w:b/>
          <w:lang w:val="it-IT"/>
        </w:rPr>
      </w:pPr>
      <w:r w:rsidRPr="00812CC3">
        <w:rPr>
          <w:rFonts w:cs="Calibri"/>
          <w:b/>
          <w:lang w:val="it-IT"/>
        </w:rPr>
        <w:t>COSTITUZIONE DI SOCIETA’ ED ACQUISIZIONE DI QUOTE SOCIALI</w:t>
      </w:r>
    </w:p>
    <w:p w:rsidR="00812CC3" w:rsidRPr="00812CC3" w:rsidRDefault="00812CC3" w:rsidP="0072340A">
      <w:pPr>
        <w:autoSpaceDE w:val="0"/>
        <w:autoSpaceDN w:val="0"/>
        <w:adjustRightInd w:val="0"/>
        <w:spacing w:after="0" w:line="240" w:lineRule="auto"/>
        <w:jc w:val="both"/>
        <w:rPr>
          <w:rFonts w:cs="Calibri"/>
          <w:b/>
          <w:lang w:val="it-IT"/>
        </w:rPr>
      </w:pPr>
    </w:p>
    <w:p w:rsidR="0072340A" w:rsidRPr="00100314" w:rsidRDefault="0072340A" w:rsidP="0072340A">
      <w:pPr>
        <w:autoSpaceDE w:val="0"/>
        <w:autoSpaceDN w:val="0"/>
        <w:adjustRightInd w:val="0"/>
        <w:spacing w:after="0" w:line="240" w:lineRule="auto"/>
        <w:jc w:val="both"/>
        <w:rPr>
          <w:rFonts w:cs="Calibri"/>
          <w:highlight w:val="white"/>
          <w:lang w:val="it-IT"/>
        </w:rPr>
      </w:pPr>
      <w:r w:rsidRPr="00100314">
        <w:rPr>
          <w:rFonts w:cs="Calibri"/>
          <w:highlight w:val="white"/>
          <w:lang w:val="it-IT"/>
        </w:rPr>
        <w:t>L’acquisizione di un interesse diretto deve sempre essere autorizzato, a prescindere dal valore dell'operazione economica, laddove lo stesso consenta di influire sulle scelte di management a livello centrale ed il controllo del soggetto economico ovvero influenzarne le scelte di policy. Con particolare riferimento alla costituzione e all’acquisto di quote sociali, l'acquisizione di un interesse diretto deve sempre essere autorizzato, a prescindere dal valore dell'operazione economica</w:t>
      </w:r>
      <w:r w:rsidRPr="00100314">
        <w:rPr>
          <w:rFonts w:cs="Calibri"/>
          <w:color w:val="000000"/>
          <w:highlight w:val="white"/>
          <w:lang w:val="it-IT"/>
        </w:rPr>
        <w:t>, laddove lo stesso consenta di influire sulle scelte di management a livello centrale ed il controllo del soggetto economico ovvero influenzarne le scelte di policy</w:t>
      </w:r>
      <w:r w:rsidRPr="00100314">
        <w:rPr>
          <w:rFonts w:cs="Calibri"/>
          <w:highlight w:val="white"/>
          <w:lang w:val="it-IT"/>
        </w:rPr>
        <w:t xml:space="preserve">. Ai sensi del </w:t>
      </w:r>
      <w:r w:rsidRPr="00100314">
        <w:rPr>
          <w:rFonts w:cs="Calibri"/>
          <w:lang w:val="it-IT"/>
        </w:rPr>
        <w:t>'</w:t>
      </w:r>
      <w:proofErr w:type="spellStart"/>
      <w:r w:rsidRPr="00100314">
        <w:rPr>
          <w:rFonts w:cs="Calibri"/>
          <w:lang w:val="it-IT"/>
        </w:rPr>
        <w:t>Foreign</w:t>
      </w:r>
      <w:proofErr w:type="spellEnd"/>
      <w:r w:rsidRPr="00100314">
        <w:rPr>
          <w:rFonts w:cs="Calibri"/>
          <w:lang w:val="it-IT"/>
        </w:rPr>
        <w:t xml:space="preserve"> </w:t>
      </w:r>
      <w:proofErr w:type="spellStart"/>
      <w:r w:rsidRPr="00100314">
        <w:rPr>
          <w:rFonts w:cs="Calibri"/>
          <w:lang w:val="it-IT"/>
        </w:rPr>
        <w:t>Acquisitions</w:t>
      </w:r>
      <w:proofErr w:type="spellEnd"/>
      <w:r w:rsidRPr="00100314">
        <w:rPr>
          <w:rFonts w:cs="Calibri"/>
          <w:lang w:val="it-IT"/>
        </w:rPr>
        <w:t xml:space="preserve"> and </w:t>
      </w:r>
      <w:proofErr w:type="spellStart"/>
      <w:r w:rsidRPr="00100314">
        <w:rPr>
          <w:rFonts w:cs="Calibri"/>
          <w:lang w:val="it-IT"/>
        </w:rPr>
        <w:t>Takeovers</w:t>
      </w:r>
      <w:proofErr w:type="spellEnd"/>
      <w:r w:rsidRPr="00100314">
        <w:rPr>
          <w:rFonts w:cs="Calibri"/>
          <w:lang w:val="it-IT"/>
        </w:rPr>
        <w:t xml:space="preserve"> </w:t>
      </w:r>
      <w:proofErr w:type="spellStart"/>
      <w:r w:rsidRPr="00100314">
        <w:rPr>
          <w:rFonts w:cs="Calibri"/>
          <w:lang w:val="it-IT"/>
        </w:rPr>
        <w:t>Act</w:t>
      </w:r>
      <w:proofErr w:type="spellEnd"/>
      <w:r w:rsidRPr="00100314">
        <w:rPr>
          <w:rFonts w:cs="Calibri"/>
          <w:lang w:val="it-IT"/>
        </w:rPr>
        <w:t>' del 1975 l</w:t>
      </w:r>
      <w:r w:rsidRPr="00100314">
        <w:rPr>
          <w:rFonts w:cs="Calibri"/>
          <w:highlight w:val="white"/>
          <w:lang w:val="it-IT"/>
        </w:rPr>
        <w:t xml:space="preserve">'acquisizione di un qualunque interesse in un'impresa, il cui valore sia superiore a 252 milioni di dollari australiani, in misura pari o superiore al 20 per cento, deve essere </w:t>
      </w:r>
      <w:r w:rsidRPr="00100314">
        <w:rPr>
          <w:rFonts w:cs="Calibri"/>
          <w:lang w:val="it-IT"/>
        </w:rPr>
        <w:t xml:space="preserve">notificato ad una Commissione governativa consultiva, il </w:t>
      </w:r>
      <w:proofErr w:type="spellStart"/>
      <w:r w:rsidRPr="00100314">
        <w:rPr>
          <w:rFonts w:cs="Calibri"/>
          <w:lang w:val="it-IT"/>
        </w:rPr>
        <w:t>Foreign</w:t>
      </w:r>
      <w:proofErr w:type="spellEnd"/>
      <w:r w:rsidRPr="00100314">
        <w:rPr>
          <w:rFonts w:cs="Calibri"/>
          <w:lang w:val="it-IT"/>
        </w:rPr>
        <w:t xml:space="preserve"> </w:t>
      </w:r>
      <w:proofErr w:type="spellStart"/>
      <w:r w:rsidRPr="00100314">
        <w:rPr>
          <w:rFonts w:cs="Calibri"/>
          <w:lang w:val="it-IT"/>
        </w:rPr>
        <w:t>Investment</w:t>
      </w:r>
      <w:proofErr w:type="spellEnd"/>
      <w:r w:rsidRPr="00100314">
        <w:rPr>
          <w:rFonts w:cs="Calibri"/>
          <w:lang w:val="it-IT"/>
        </w:rPr>
        <w:t xml:space="preserve"> </w:t>
      </w:r>
      <w:proofErr w:type="spellStart"/>
      <w:r w:rsidRPr="00100314">
        <w:rPr>
          <w:rFonts w:cs="Calibri"/>
          <w:lang w:val="it-IT"/>
        </w:rPr>
        <w:t>Review</w:t>
      </w:r>
      <w:proofErr w:type="spellEnd"/>
      <w:r w:rsidRPr="00100314">
        <w:rPr>
          <w:rFonts w:cs="Calibri"/>
          <w:lang w:val="it-IT"/>
        </w:rPr>
        <w:t xml:space="preserve"> Board (FIRB), che esamina il progetto di investimento per l'eventuale approvazione del Ministero del Tesoro ed </w:t>
      </w:r>
      <w:r w:rsidRPr="00100314">
        <w:rPr>
          <w:rFonts w:cs="Calibri"/>
          <w:color w:val="000000"/>
          <w:highlight w:val="white"/>
          <w:lang w:val="it-IT"/>
        </w:rPr>
        <w:t>autorizzato, similmente a quanto già detto per l'acquisizione di fabbricati commerciali. Tali soglie vengono riviste il 1 gennaio di ogni anno, mentre limitazioni aggiuntive sono previste per gli investimenti in taluni settori (aeroportuale, telefonico, navigazione).</w:t>
      </w:r>
      <w:r w:rsidRPr="00100314">
        <w:rPr>
          <w:rFonts w:cs="Calibri"/>
          <w:color w:val="FF0000"/>
          <w:highlight w:val="white"/>
          <w:lang w:val="it-IT"/>
        </w:rPr>
        <w:t xml:space="preserve"> </w:t>
      </w:r>
      <w:r w:rsidRPr="00100314">
        <w:rPr>
          <w:rFonts w:cs="Calibri"/>
          <w:highlight w:val="white"/>
          <w:lang w:val="it-IT"/>
        </w:rPr>
        <w:t>L'acquisizione di cariche sociali non è, tuttavia, soggetta ad autorizzazione (fermo restando quanto detto in materia di acquisizione di un interesse diretto), ma la maggior parte delle operazioni commerciali sono soggette, comunque, ad autorizzazione governativa. Esistono inoltre alcune deroghe al principio dell’autorizzazione, riguardanti, ad esempio, tra l’altro, la vendita obbligatoria (o vendita pubblica), la distribuzione dei dividendi, gli investimenti effettuati da operatori del settore mutui.</w:t>
      </w:r>
    </w:p>
    <w:p w:rsidR="0072340A" w:rsidRPr="00812CC3" w:rsidRDefault="0072340A" w:rsidP="0072340A">
      <w:pPr>
        <w:autoSpaceDE w:val="0"/>
        <w:autoSpaceDN w:val="0"/>
        <w:adjustRightInd w:val="0"/>
        <w:spacing w:before="280" w:after="280" w:line="240" w:lineRule="auto"/>
        <w:jc w:val="both"/>
        <w:rPr>
          <w:rFonts w:cs="Calibri"/>
          <w:b/>
          <w:color w:val="000000"/>
          <w:highlight w:val="white"/>
          <w:lang w:val="it-IT"/>
        </w:rPr>
      </w:pPr>
      <w:r w:rsidRPr="00812CC3">
        <w:rPr>
          <w:rFonts w:cs="Calibri"/>
          <w:b/>
          <w:color w:val="000000"/>
          <w:highlight w:val="white"/>
          <w:lang w:val="it-IT"/>
        </w:rPr>
        <w:lastRenderedPageBreak/>
        <w:t>DONAZIONE DI DANARO</w:t>
      </w:r>
    </w:p>
    <w:p w:rsidR="0072340A" w:rsidRPr="00100314" w:rsidRDefault="0072340A" w:rsidP="0072340A">
      <w:pPr>
        <w:autoSpaceDE w:val="0"/>
        <w:autoSpaceDN w:val="0"/>
        <w:adjustRightInd w:val="0"/>
        <w:spacing w:before="280" w:after="280" w:line="240" w:lineRule="auto"/>
        <w:jc w:val="both"/>
        <w:rPr>
          <w:rFonts w:cs="Calibri"/>
          <w:color w:val="000000"/>
          <w:highlight w:val="white"/>
          <w:lang w:val="it-IT"/>
        </w:rPr>
      </w:pPr>
      <w:r w:rsidRPr="00100314">
        <w:rPr>
          <w:rFonts w:cs="Calibri"/>
          <w:color w:val="000000"/>
          <w:highlight w:val="white"/>
          <w:lang w:val="it-IT"/>
        </w:rPr>
        <w:t xml:space="preserve">Con riferimento alla donazione di danaro, non vi è alcun impedimento a farlo con un cittadino australiano, e ciò avviene tramite un'azione giudiziaria in Australia. Ci sono alcune eccezioni, ad esempio, per quanto riguarda l'acquisto di alcuni beni e investimenti, che sono previste dalla legislazione. </w:t>
      </w:r>
    </w:p>
    <w:p w:rsidR="0072340A" w:rsidRPr="00100314" w:rsidRDefault="0072340A" w:rsidP="0072340A">
      <w:pPr>
        <w:autoSpaceDE w:val="0"/>
        <w:autoSpaceDN w:val="0"/>
        <w:adjustRightInd w:val="0"/>
        <w:spacing w:after="0" w:line="240" w:lineRule="auto"/>
        <w:jc w:val="both"/>
        <w:rPr>
          <w:rFonts w:cs="Calibri"/>
          <w:lang w:val="it-IT"/>
        </w:rPr>
      </w:pPr>
      <w:r w:rsidRPr="00100314">
        <w:rPr>
          <w:rFonts w:cs="Calibri"/>
          <w:lang w:val="it-IT"/>
        </w:rPr>
        <w:t xml:space="preserve">Per maggiori approfondimenti si rimanda al link </w:t>
      </w:r>
      <w:hyperlink r:id="rId24" w:history="1">
        <w:r w:rsidRPr="00100314">
          <w:rPr>
            <w:rFonts w:cs="Calibri"/>
            <w:color w:val="0000FF"/>
            <w:u w:val="single"/>
            <w:lang w:val="it-IT"/>
          </w:rPr>
          <w:t>http://www.firb.gov.au/content/policy.asp</w:t>
        </w:r>
      </w:hyperlink>
      <w:r w:rsidRPr="00100314">
        <w:rPr>
          <w:rFonts w:cs="Calibri"/>
          <w:lang w:val="it-IT"/>
        </w:rPr>
        <w:t>.</w:t>
      </w:r>
    </w:p>
    <w:p w:rsidR="0072340A" w:rsidRPr="00100314" w:rsidRDefault="0072340A" w:rsidP="0072340A">
      <w:pPr>
        <w:autoSpaceDE w:val="0"/>
        <w:autoSpaceDN w:val="0"/>
        <w:adjustRightInd w:val="0"/>
        <w:spacing w:before="40" w:after="40" w:line="240" w:lineRule="auto"/>
        <w:jc w:val="both"/>
        <w:rPr>
          <w:rFonts w:cs="Calibri"/>
          <w:lang w:val="it-IT"/>
        </w:rPr>
      </w:pPr>
    </w:p>
    <w:p w:rsidR="0072340A" w:rsidRDefault="0072340A" w:rsidP="0072340A">
      <w:pPr>
        <w:autoSpaceDE w:val="0"/>
        <w:autoSpaceDN w:val="0"/>
        <w:adjustRightInd w:val="0"/>
        <w:spacing w:before="40" w:after="40" w:line="240" w:lineRule="auto"/>
        <w:jc w:val="both"/>
        <w:rPr>
          <w:rFonts w:cs="Calibri"/>
        </w:rPr>
      </w:pPr>
      <w:r>
        <w:rPr>
          <w:rFonts w:cs="Calibri"/>
        </w:rPr>
        <w:t>ACCORDI IN VIGORE:</w:t>
      </w:r>
    </w:p>
    <w:p w:rsidR="0072340A" w:rsidRPr="00100314" w:rsidRDefault="0072340A" w:rsidP="0072340A">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ACCORDO DI EMIGRAZIONE E STABILIMENTO </w:t>
      </w:r>
      <w:r w:rsidRPr="00100314">
        <w:rPr>
          <w:rFonts w:cs="Calibri"/>
          <w:lang w:val="it-IT"/>
        </w:rPr>
        <w:t>(firmato a Canberra il 26.9.1967, in vigore dal 08.7.1971)</w:t>
      </w:r>
    </w:p>
    <w:p w:rsidR="0072340A" w:rsidRPr="00100314" w:rsidRDefault="00812CC3" w:rsidP="0072340A">
      <w:pPr>
        <w:autoSpaceDE w:val="0"/>
        <w:autoSpaceDN w:val="0"/>
        <w:adjustRightInd w:val="0"/>
        <w:spacing w:before="40" w:after="40" w:line="240" w:lineRule="auto"/>
        <w:ind w:left="360"/>
        <w:jc w:val="both"/>
        <w:rPr>
          <w:rFonts w:cs="Calibri"/>
          <w:lang w:val="it-IT"/>
        </w:rPr>
      </w:pPr>
      <w:hyperlink r:id="rId25" w:history="1">
        <w:r w:rsidR="0072340A" w:rsidRPr="00100314">
          <w:rPr>
            <w:rFonts w:cs="Calibri"/>
            <w:color w:val="0000FF"/>
            <w:u w:val="single"/>
            <w:lang w:val="it-IT"/>
          </w:rPr>
          <w:t>http://atrio.esteri.it/Ricerca_Documenti/wfrmRicerca_Documenti.aspx</w:t>
        </w:r>
      </w:hyperlink>
    </w:p>
    <w:p w:rsidR="0072340A" w:rsidRPr="00100314" w:rsidRDefault="0072340A" w:rsidP="0072340A">
      <w:pPr>
        <w:autoSpaceDE w:val="0"/>
        <w:autoSpaceDN w:val="0"/>
        <w:adjustRightInd w:val="0"/>
        <w:spacing w:before="40" w:after="40" w:line="240" w:lineRule="auto"/>
        <w:jc w:val="both"/>
        <w:rPr>
          <w:rFonts w:cs="Calibri"/>
          <w:lang w:val="it-IT"/>
        </w:rPr>
      </w:pPr>
    </w:p>
    <w:p w:rsidR="00B56B20" w:rsidRPr="0072340A" w:rsidRDefault="00B56B20" w:rsidP="0072340A">
      <w:pPr>
        <w:rPr>
          <w:lang w:val="it-IT"/>
        </w:rPr>
      </w:pPr>
    </w:p>
    <w:sectPr w:rsidR="00B56B20" w:rsidRPr="0072340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CC3" w:rsidRDefault="00812CC3" w:rsidP="00812CC3">
      <w:pPr>
        <w:spacing w:after="0" w:line="240" w:lineRule="auto"/>
      </w:pPr>
      <w:r>
        <w:separator/>
      </w:r>
    </w:p>
  </w:endnote>
  <w:endnote w:type="continuationSeparator" w:id="0">
    <w:p w:rsidR="00812CC3" w:rsidRDefault="00812CC3" w:rsidP="0081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CC3" w:rsidRDefault="00812CC3" w:rsidP="00812CC3">
      <w:pPr>
        <w:spacing w:after="0" w:line="240" w:lineRule="auto"/>
      </w:pPr>
      <w:r>
        <w:separator/>
      </w:r>
    </w:p>
  </w:footnote>
  <w:footnote w:type="continuationSeparator" w:id="0">
    <w:p w:rsidR="00812CC3" w:rsidRDefault="00812CC3" w:rsidP="00812CC3">
      <w:pPr>
        <w:spacing w:after="0" w:line="240" w:lineRule="auto"/>
      </w:pPr>
      <w:r>
        <w:continuationSeparator/>
      </w:r>
    </w:p>
  </w:footnote>
  <w:footnote w:id="1">
    <w:p w:rsidR="00812CC3" w:rsidRDefault="00812CC3" w:rsidP="00812CC3">
      <w:pPr>
        <w:pStyle w:val="Testonotaapidipagina"/>
        <w:rPr>
          <w:rFonts w:ascii="Tahoma" w:hAnsi="Tahoma" w:cs="Tahoma"/>
          <w:b/>
          <w:bCs/>
          <w:color w:val="444444"/>
          <w:lang w:val="en-AU"/>
        </w:rPr>
      </w:pPr>
      <w:r>
        <w:rPr>
          <w:rStyle w:val="Rimandonotaapidipagina"/>
        </w:rPr>
        <w:footnoteRef/>
      </w:r>
      <w:r>
        <w:t xml:space="preserve"> </w:t>
      </w:r>
      <w:proofErr w:type="spellStart"/>
      <w:r>
        <w:rPr>
          <w:rFonts w:asciiTheme="minorHAnsi"/>
          <w:sz w:val="18"/>
          <w:szCs w:val="18"/>
          <w:lang w:val="en-AU"/>
        </w:rPr>
        <w:t>Comunicato</w:t>
      </w:r>
      <w:proofErr w:type="spellEnd"/>
      <w:r>
        <w:rPr>
          <w:rFonts w:asciiTheme="minorHAnsi"/>
          <w:sz w:val="18"/>
          <w:szCs w:val="18"/>
          <w:lang w:val="en-AU"/>
        </w:rPr>
        <w:t xml:space="preserve"> </w:t>
      </w:r>
      <w:proofErr w:type="spellStart"/>
      <w:r>
        <w:rPr>
          <w:rFonts w:asciiTheme="minorHAnsi"/>
          <w:sz w:val="18"/>
          <w:szCs w:val="18"/>
          <w:lang w:val="en-AU"/>
        </w:rPr>
        <w:t>stampa</w:t>
      </w:r>
      <w:proofErr w:type="spellEnd"/>
      <w:r>
        <w:rPr>
          <w:rFonts w:asciiTheme="minorHAnsi"/>
          <w:sz w:val="18"/>
          <w:szCs w:val="18"/>
          <w:lang w:val="en-AU"/>
        </w:rPr>
        <w:t xml:space="preserve"> </w:t>
      </w:r>
      <w:hyperlink r:id="rId1" w:history="1">
        <w:r>
          <w:rPr>
            <w:rStyle w:val="Collegamentoipertestuale"/>
            <w:rFonts w:asciiTheme="minorHAnsi" w:cs="Tahoma"/>
            <w:sz w:val="18"/>
            <w:szCs w:val="18"/>
            <w:lang w:val="en-AU"/>
          </w:rPr>
          <w:t>Major reforms to Australia's foreign investment framework pass the parliament</w:t>
        </w:r>
      </w:hyperlink>
    </w:p>
  </w:footnote>
  <w:footnote w:id="2">
    <w:p w:rsidR="00812CC3" w:rsidRDefault="00812CC3" w:rsidP="00812CC3">
      <w:pPr>
        <w:pStyle w:val="Testonotaapidipagina"/>
        <w:rPr>
          <w:b/>
          <w:bCs/>
          <w:lang w:val="it-IT"/>
        </w:rPr>
      </w:pPr>
      <w:r>
        <w:rPr>
          <w:rStyle w:val="Rimandonotaapidipagina"/>
        </w:rPr>
        <w:footnoteRef/>
      </w:r>
      <w:r>
        <w:rPr>
          <w:lang w:val="it-IT"/>
        </w:rPr>
        <w:t xml:space="preserve"> Al momento della stesura di questo documento non vi sono ALS in essere tra Unione Europea e Australia. Sin dal 2018 sono in atto negoziazioni UE-AU in tal senso e si auspica la conclusione di un accordo entro il 2022. Per avere una lista aggiornata degli accordi degli ALS in essere per l’Australia visitare : </w:t>
      </w:r>
      <w:hyperlink r:id="rId2" w:history="1">
        <w:r>
          <w:rPr>
            <w:rStyle w:val="Collegamentoipertestuale"/>
            <w:lang w:val="it-IT"/>
          </w:rPr>
          <w:t>https://ftaportal.dfat.gov.au/</w:t>
        </w:r>
      </w:hyperlink>
      <w:r>
        <w:rPr>
          <w:lang w:val="it-I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138C0F3A"/>
    <w:multiLevelType w:val="hybridMultilevel"/>
    <w:tmpl w:val="9D707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197CDE"/>
    <w:multiLevelType w:val="hybridMultilevel"/>
    <w:tmpl w:val="2820C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9181756"/>
    <w:multiLevelType w:val="hybridMultilevel"/>
    <w:tmpl w:val="6AD009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6ED4107A"/>
    <w:multiLevelType w:val="hybridMultilevel"/>
    <w:tmpl w:val="B7805B66"/>
    <w:lvl w:ilvl="0" w:tplc="0C090013">
      <w:start w:val="1"/>
      <w:numFmt w:val="upp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A2A7BB6"/>
    <w:multiLevelType w:val="hybridMultilevel"/>
    <w:tmpl w:val="AA8642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E665FA9"/>
    <w:multiLevelType w:val="hybridMultilevel"/>
    <w:tmpl w:val="0C6A95D6"/>
    <w:lvl w:ilvl="0" w:tplc="F55C7162">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AF"/>
    <w:rsid w:val="00561A7F"/>
    <w:rsid w:val="00590B18"/>
    <w:rsid w:val="005E177C"/>
    <w:rsid w:val="0072340A"/>
    <w:rsid w:val="007538AF"/>
    <w:rsid w:val="007E77B7"/>
    <w:rsid w:val="00812CC3"/>
    <w:rsid w:val="008F4BFA"/>
    <w:rsid w:val="00A410BC"/>
    <w:rsid w:val="00B56B20"/>
    <w:rsid w:val="00D84F4A"/>
    <w:rsid w:val="00DD7C9B"/>
    <w:rsid w:val="00E92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09E4"/>
  <w15:chartTrackingRefBased/>
  <w15:docId w15:val="{6CCAE22D-0DE1-4310-96F6-7258D9A7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paragraph" w:styleId="Titolo1">
    <w:name w:val="heading 1"/>
    <w:basedOn w:val="Normale"/>
    <w:link w:val="Titolo1Carattere"/>
    <w:uiPriority w:val="9"/>
    <w:qFormat/>
    <w:rsid w:val="00812CC3"/>
    <w:pPr>
      <w:spacing w:before="100" w:beforeAutospacing="1" w:after="100" w:afterAutospacing="1" w:line="240" w:lineRule="auto"/>
      <w:outlineLvl w:val="0"/>
    </w:pPr>
    <w:rPr>
      <w:rFonts w:ascii="Times New Roman" w:eastAsia="Times New Roman" w:hAnsi="Times New Roman"/>
      <w:b/>
      <w:bCs/>
      <w:kern w:val="36"/>
      <w:sz w:val="48"/>
      <w:szCs w:val="48"/>
      <w:lang w:val="en-AU" w:eastAsia="en-AU"/>
    </w:rPr>
  </w:style>
  <w:style w:type="paragraph" w:styleId="Titolo2">
    <w:name w:val="heading 2"/>
    <w:basedOn w:val="Normale"/>
    <w:next w:val="Normale"/>
    <w:link w:val="Titolo2Carattere"/>
    <w:uiPriority w:val="9"/>
    <w:semiHidden/>
    <w:unhideWhenUsed/>
    <w:qFormat/>
    <w:rsid w:val="00812CC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character" w:customStyle="1" w:styleId="Titolo1Carattere">
    <w:name w:val="Titolo 1 Carattere"/>
    <w:basedOn w:val="Carpredefinitoparagrafo"/>
    <w:link w:val="Titolo1"/>
    <w:uiPriority w:val="9"/>
    <w:rsid w:val="00812CC3"/>
    <w:rPr>
      <w:rFonts w:ascii="Times New Roman" w:eastAsia="Times New Roman" w:hAnsi="Times New Roman"/>
      <w:b/>
      <w:bCs/>
      <w:kern w:val="36"/>
      <w:sz w:val="48"/>
      <w:szCs w:val="48"/>
      <w:lang w:val="en-AU" w:eastAsia="en-AU"/>
    </w:rPr>
  </w:style>
  <w:style w:type="character" w:customStyle="1" w:styleId="Titolo2Carattere">
    <w:name w:val="Titolo 2 Carattere"/>
    <w:basedOn w:val="Carpredefinitoparagrafo"/>
    <w:link w:val="Titolo2"/>
    <w:uiPriority w:val="9"/>
    <w:semiHidden/>
    <w:rsid w:val="00812CC3"/>
    <w:rPr>
      <w:rFonts w:asciiTheme="majorHAnsi" w:eastAsiaTheme="majorEastAsia" w:hAnsiTheme="majorHAnsi" w:cstheme="majorBidi"/>
      <w:color w:val="2E74B5" w:themeColor="accent1" w:themeShade="BF"/>
      <w:sz w:val="26"/>
      <w:szCs w:val="26"/>
      <w:lang w:val="en-US" w:eastAsia="en-US"/>
    </w:rPr>
  </w:style>
  <w:style w:type="character" w:styleId="Collegamentoipertestuale">
    <w:name w:val="Hyperlink"/>
    <w:basedOn w:val="Carpredefinitoparagrafo"/>
    <w:uiPriority w:val="99"/>
    <w:semiHidden/>
    <w:unhideWhenUsed/>
    <w:rsid w:val="00812CC3"/>
    <w:rPr>
      <w:color w:val="0563C1"/>
      <w:u w:val="single"/>
    </w:rPr>
  </w:style>
  <w:style w:type="paragraph" w:styleId="Testonotaapidipagina">
    <w:name w:val="footnote text"/>
    <w:basedOn w:val="Normale"/>
    <w:link w:val="TestonotaapidipaginaCarattere"/>
    <w:uiPriority w:val="99"/>
    <w:semiHidden/>
    <w:unhideWhenUsed/>
    <w:rsid w:val="00812CC3"/>
    <w:pPr>
      <w:spacing w:after="0" w:line="240" w:lineRule="auto"/>
    </w:pPr>
    <w:rPr>
      <w:rFonts w:eastAsiaTheme="minorHAnsi" w:hAnsiTheme="minorHAnsi" w:cstheme="minorBidi"/>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812CC3"/>
    <w:rPr>
      <w:rFonts w:eastAsiaTheme="minorHAnsi" w:hAnsiTheme="minorHAnsi" w:cstheme="minorBidi"/>
      <w:lang w:val="en-US" w:eastAsia="en-US"/>
    </w:rPr>
  </w:style>
  <w:style w:type="character" w:styleId="Rimandonotaapidipagina">
    <w:name w:val="footnote reference"/>
    <w:basedOn w:val="Carpredefinitoparagrafo"/>
    <w:uiPriority w:val="99"/>
    <w:semiHidden/>
    <w:unhideWhenUsed/>
    <w:rsid w:val="00812CC3"/>
    <w:rPr>
      <w:vertAlign w:val="superscript"/>
    </w:rPr>
  </w:style>
  <w:style w:type="character" w:customStyle="1" w:styleId="y2iqfc">
    <w:name w:val="y2iqfc"/>
    <w:basedOn w:val="Carpredefinitoparagrafo"/>
    <w:rsid w:val="00812CC3"/>
  </w:style>
  <w:style w:type="character" w:customStyle="1" w:styleId="markedcontent">
    <w:name w:val="markedcontent"/>
    <w:basedOn w:val="Carpredefinitoparagrafo"/>
    <w:rsid w:val="0081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FIRB_Notification.aspx" TargetMode="External"/><Relationship Id="rId13" Type="http://schemas.openxmlformats.org/officeDocument/2006/relationships/hyperlink" Target="https://firb.gov.au/sites/firb.gov.au/files/guidance-notes/GN08_NationalSecurity.pdf" TargetMode="External"/><Relationship Id="rId18" Type="http://schemas.openxmlformats.org/officeDocument/2006/relationships/hyperlink" Target="https://www.ato.gov.au/General/Foreign-investment-in-Australia/Contact-us-about-foreign-invest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irb.gov.au/sites/firb.gov.au/files/2021-01/Australias_foreign_investment_policy.pdf" TargetMode="External"/><Relationship Id="rId7" Type="http://schemas.openxmlformats.org/officeDocument/2006/relationships/hyperlink" Target="https://portal.firb.gov.au/" TargetMode="External"/><Relationship Id="rId12" Type="http://schemas.openxmlformats.org/officeDocument/2006/relationships/hyperlink" Target="https://www.ato.gov.au/General/Foreign-investment-in-Australia/Residential-real-estate-application---instructions/" TargetMode="External"/><Relationship Id="rId17" Type="http://schemas.openxmlformats.org/officeDocument/2006/relationships/hyperlink" Target="https://firb.gov.au/sites/firb.gov.au/files/guidance-notes/GN09_Exemptioncertificates.pdf" TargetMode="External"/><Relationship Id="rId25" Type="http://schemas.openxmlformats.org/officeDocument/2006/relationships/hyperlink" Target="http://atrio.esteri.it/Ricerca_Documenti/wfrmRicerca_Documenti.aspx" TargetMode="External"/><Relationship Id="rId2" Type="http://schemas.openxmlformats.org/officeDocument/2006/relationships/styles" Target="styles.xml"/><Relationship Id="rId16" Type="http://schemas.openxmlformats.org/officeDocument/2006/relationships/hyperlink" Target="https://www.ato.gov.au/General/Foreign-investment-in-Australia/Residential-investment/Exemption-certificates-for-foreign-investors-of-residential-real-estate/" TargetMode="External"/><Relationship Id="rId20" Type="http://schemas.openxmlformats.org/officeDocument/2006/relationships/hyperlink" Target="http://www.pitcherflaccomio.com/blog/wp-content/uploads/For_Articles/Italia_Australia_DPR_1970-n143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o.gov.au/General/Foreign-investment-in-Australia/Residential-investment/" TargetMode="External"/><Relationship Id="rId24" Type="http://schemas.openxmlformats.org/officeDocument/2006/relationships/hyperlink" Target="http://www.firb.gov.au/content/policy.asp" TargetMode="External"/><Relationship Id="rId5" Type="http://schemas.openxmlformats.org/officeDocument/2006/relationships/footnotes" Target="footnotes.xml"/><Relationship Id="rId15" Type="http://schemas.openxmlformats.org/officeDocument/2006/relationships/hyperlink" Target="https://firb.gov.au/sites/firb.gov.au/files/guidance-notes/GN10_Fees.pdf" TargetMode="External"/><Relationship Id="rId23" Type="http://schemas.openxmlformats.org/officeDocument/2006/relationships/hyperlink" Target="https://firb.gov.au/apply-now" TargetMode="External"/><Relationship Id="rId10" Type="http://schemas.openxmlformats.org/officeDocument/2006/relationships/hyperlink" Target="https://firb.gov.au/sites/firb.gov.au/files/guidance-notes/GN06_Residentialland_0.pdf" TargetMode="External"/><Relationship Id="rId19" Type="http://schemas.openxmlformats.org/officeDocument/2006/relationships/hyperlink" Target="https://firb.gov.au/about-firb/contact-us" TargetMode="External"/><Relationship Id="rId4" Type="http://schemas.openxmlformats.org/officeDocument/2006/relationships/webSettings" Target="webSettings.xml"/><Relationship Id="rId9" Type="http://schemas.openxmlformats.org/officeDocument/2006/relationships/hyperlink" Target="https://firb.gov.au/sites/firb.gov.au/files/guidance-notes/GN02_Keyconcepts.pdf" TargetMode="External"/><Relationship Id="rId14" Type="http://schemas.openxmlformats.org/officeDocument/2006/relationships/hyperlink" Target="https://firb.gov.au/sites/firb.gov.au/files/2021-05/Monetarythresholds.pdf" TargetMode="External"/><Relationship Id="rId22" Type="http://schemas.openxmlformats.org/officeDocument/2006/relationships/hyperlink" Target="https://firb.gov.au/guidance-note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taportal.dfat.gov.au/" TargetMode="External"/><Relationship Id="rId1" Type="http://schemas.openxmlformats.org/officeDocument/2006/relationships/hyperlink" Target="https://ministers.treasury.gov.au/ministers/josh-frydenberg-2018/media-releases/major-reforms-australias-foreign-investmen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2601</Words>
  <Characters>14832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17399</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Toti Simona</dc:creator>
  <cp:keywords/>
  <dc:description/>
  <cp:lastModifiedBy>Tomassetti Fabio</cp:lastModifiedBy>
  <cp:revision>2</cp:revision>
  <dcterms:created xsi:type="dcterms:W3CDTF">2021-12-01T13:59:00Z</dcterms:created>
  <dcterms:modified xsi:type="dcterms:W3CDTF">2021-12-01T13:59:00Z</dcterms:modified>
</cp:coreProperties>
</file>