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DC" w:rsidRDefault="008C34DC" w:rsidP="009D2CF7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r w:rsidRPr="008C34DC">
        <w:rPr>
          <w:rFonts w:cs="Calibri"/>
          <w:b/>
          <w:bCs/>
          <w:lang w:val="it-IT"/>
        </w:rPr>
        <w:t xml:space="preserve">COMMONWEALTH DELLE BAHAMAS </w:t>
      </w:r>
    </w:p>
    <w:p w:rsidR="009D2CF7" w:rsidRDefault="009D2CF7" w:rsidP="009D2CF7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9D2CF7" w:rsidRPr="00100314" w:rsidRDefault="009D2CF7" w:rsidP="009D2CF7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INFORMAZIONI GENERALI</w:t>
      </w:r>
    </w:p>
    <w:p w:rsidR="008C34DC" w:rsidRPr="008C34DC" w:rsidRDefault="008C34DC" w:rsidP="008C34DC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bookmarkStart w:id="0" w:name="_GoBack"/>
      <w:bookmarkEnd w:id="0"/>
      <w:r w:rsidRPr="008C34DC">
        <w:rPr>
          <w:rFonts w:cs="Calibri"/>
          <w:lang w:val="it-IT"/>
        </w:rPr>
        <w:t xml:space="preserve">Nelle Bahamas è verificata la condizione di reciprocità per le persone fisiche ed esiste un clima generalmente favorevole agli investimenti stranieri, i cui maggiori attori risultano provenire dagli gli Stati Uniti, Canada, Hong Kong e Sud Africa. Quanto alla reciprocità per le persone giuridiche, è opportuno sottolineare che è il locale “Foreign Investment Board° a determinare, esaminando caso per caso, le tipologie di investimento e a concederne l’autorizzazione. Tramite l’intervento di tale ente è possibile infatti acquistare fabbricati ad uso abitativo ed anche commerciale, sebbene tali investimenti siano soggetti a cosiddetti “exchange controls” esperiti dalla Banca Centrale. Gli acquisti di proprietà immobiliari ad uso commerciale o quelli di terreni che consistono in più di cinque acri, da parte di persone giuridiche, in particolare, necessitano di un permesso ad hoc da parte dell’Investment Board. </w:t>
      </w:r>
    </w:p>
    <w:p w:rsidR="009D2CF7" w:rsidRPr="00100314" w:rsidRDefault="009D2CF7" w:rsidP="009D2CF7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B56B20" w:rsidRPr="009D2CF7" w:rsidRDefault="00B56B20" w:rsidP="009D2CF7">
      <w:pPr>
        <w:rPr>
          <w:lang w:val="it-IT"/>
        </w:rPr>
      </w:pPr>
    </w:p>
    <w:sectPr w:rsidR="00B56B20" w:rsidRPr="009D2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9BB" w:rsidRDefault="000759BB" w:rsidP="009D2CF7">
      <w:pPr>
        <w:spacing w:after="0" w:line="240" w:lineRule="auto"/>
      </w:pPr>
      <w:r>
        <w:separator/>
      </w:r>
    </w:p>
  </w:endnote>
  <w:endnote w:type="continuationSeparator" w:id="0">
    <w:p w:rsidR="000759BB" w:rsidRDefault="000759BB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9BB" w:rsidRDefault="000759BB" w:rsidP="009D2CF7">
      <w:pPr>
        <w:spacing w:after="0" w:line="240" w:lineRule="auto"/>
      </w:pPr>
      <w:r>
        <w:separator/>
      </w:r>
    </w:p>
  </w:footnote>
  <w:footnote w:type="continuationSeparator" w:id="0">
    <w:p w:rsidR="000759BB" w:rsidRDefault="000759BB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759BB"/>
    <w:rsid w:val="00561A7F"/>
    <w:rsid w:val="00590B18"/>
    <w:rsid w:val="005E177C"/>
    <w:rsid w:val="006B37FF"/>
    <w:rsid w:val="0072340A"/>
    <w:rsid w:val="007538AF"/>
    <w:rsid w:val="007E77B7"/>
    <w:rsid w:val="008C34DC"/>
    <w:rsid w:val="008F4BFA"/>
    <w:rsid w:val="009D2CF7"/>
    <w:rsid w:val="00A410BC"/>
    <w:rsid w:val="00B56B20"/>
    <w:rsid w:val="00D84F4A"/>
    <w:rsid w:val="00DD7C9B"/>
    <w:rsid w:val="00E9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5736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972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Silvestri Andrea</cp:lastModifiedBy>
  <cp:revision>2</cp:revision>
  <dcterms:created xsi:type="dcterms:W3CDTF">2020-08-25T16:51:00Z</dcterms:created>
  <dcterms:modified xsi:type="dcterms:W3CDTF">2020-08-25T16:51:00Z</dcterms:modified>
</cp:coreProperties>
</file>