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DB" w:rsidRPr="00297EA1" w:rsidRDefault="00720D14" w:rsidP="00B36F4A">
      <w:pPr>
        <w:autoSpaceDE w:val="0"/>
        <w:autoSpaceDN w:val="0"/>
        <w:adjustRightInd w:val="0"/>
        <w:spacing w:before="120" w:after="0" w:line="240" w:lineRule="auto"/>
        <w:jc w:val="both"/>
        <w:rPr>
          <w:rFonts w:cs="Calibri"/>
          <w:b/>
          <w:bCs/>
          <w:color w:val="000000" w:themeColor="text1"/>
          <w:sz w:val="28"/>
          <w:szCs w:val="28"/>
          <w:lang w:val="it-IT"/>
        </w:rPr>
      </w:pPr>
      <w:r w:rsidRPr="00297EA1">
        <w:rPr>
          <w:rFonts w:cs="Calibri"/>
          <w:b/>
          <w:bCs/>
          <w:color w:val="000000" w:themeColor="text1"/>
          <w:sz w:val="28"/>
          <w:szCs w:val="28"/>
          <w:lang w:val="it-IT"/>
        </w:rPr>
        <w:t>CANADA</w:t>
      </w:r>
    </w:p>
    <w:p w:rsidR="00B36F4A" w:rsidRPr="00297EA1" w:rsidRDefault="00B36F4A" w:rsidP="00B36F4A">
      <w:pPr>
        <w:autoSpaceDE w:val="0"/>
        <w:autoSpaceDN w:val="0"/>
        <w:adjustRightInd w:val="0"/>
        <w:spacing w:before="120" w:after="0" w:line="240" w:lineRule="auto"/>
        <w:jc w:val="both"/>
        <w:rPr>
          <w:rFonts w:cs="Calibri"/>
          <w:b/>
          <w:bCs/>
          <w:color w:val="000000" w:themeColor="text1"/>
          <w:sz w:val="16"/>
          <w:szCs w:val="16"/>
          <w:lang w:val="it-IT"/>
        </w:rPr>
      </w:pPr>
      <w:bookmarkStart w:id="0" w:name="_GoBack"/>
      <w:bookmarkEnd w:id="0"/>
    </w:p>
    <w:p w:rsidR="00667593" w:rsidRPr="005C384E" w:rsidRDefault="00073C9C" w:rsidP="00667593">
      <w:pPr>
        <w:autoSpaceDE w:val="0"/>
        <w:autoSpaceDN w:val="0"/>
        <w:spacing w:before="120"/>
        <w:jc w:val="both"/>
        <w:rPr>
          <w:bCs/>
          <w:color w:val="000000"/>
          <w:sz w:val="24"/>
          <w:szCs w:val="24"/>
          <w:lang w:val="it-IT"/>
        </w:rPr>
      </w:pPr>
      <w:r w:rsidRPr="005C384E">
        <w:rPr>
          <w:bCs/>
          <w:color w:val="000000"/>
          <w:sz w:val="24"/>
          <w:szCs w:val="24"/>
          <w:lang w:val="it-IT"/>
        </w:rPr>
        <w:t>ACQUISTO DI IMMOBILI</w:t>
      </w:r>
    </w:p>
    <w:p w:rsidR="00071DDB" w:rsidRPr="005C384E" w:rsidRDefault="00071DDB" w:rsidP="00667593">
      <w:pPr>
        <w:autoSpaceDE w:val="0"/>
        <w:autoSpaceDN w:val="0"/>
        <w:spacing w:before="120"/>
        <w:jc w:val="both"/>
        <w:rPr>
          <w:color w:val="000000"/>
          <w:sz w:val="2"/>
          <w:szCs w:val="2"/>
          <w:lang w:val="it-IT"/>
        </w:rPr>
      </w:pPr>
    </w:p>
    <w:p w:rsidR="003A2740" w:rsidRPr="003A2740" w:rsidRDefault="003A2740" w:rsidP="003A2740">
      <w:pPr>
        <w:autoSpaceDE w:val="0"/>
        <w:autoSpaceDN w:val="0"/>
        <w:spacing w:before="120"/>
        <w:jc w:val="both"/>
        <w:rPr>
          <w:color w:val="000000"/>
          <w:u w:val="single"/>
          <w:lang w:val="it-IT"/>
        </w:rPr>
      </w:pPr>
      <w:r w:rsidRPr="003A2740">
        <w:rPr>
          <w:color w:val="000000"/>
          <w:u w:val="single"/>
          <w:lang w:val="it-IT"/>
        </w:rPr>
        <w:t>Il divieto di acquisto di proprietà residenziali in Canada da parte di cittadini stranieri</w:t>
      </w:r>
    </w:p>
    <w:p w:rsidR="003A2740" w:rsidRPr="003A2740" w:rsidRDefault="008F6B31" w:rsidP="003A2740">
      <w:pPr>
        <w:autoSpaceDE w:val="0"/>
        <w:autoSpaceDN w:val="0"/>
        <w:spacing w:before="120"/>
        <w:jc w:val="both"/>
        <w:rPr>
          <w:color w:val="000000"/>
          <w:lang w:val="en-US"/>
        </w:rPr>
      </w:pPr>
      <w:r>
        <w:rPr>
          <w:color w:val="000000"/>
          <w:lang w:val="en-US"/>
        </w:rPr>
        <w:t>“</w:t>
      </w:r>
      <w:r w:rsidR="003A2740" w:rsidRPr="003A2740">
        <w:rPr>
          <w:color w:val="000000"/>
          <w:lang w:val="en-US"/>
        </w:rPr>
        <w:t>Prohibition on the Purchase of Residential Property by Non-Canadians Act</w:t>
      </w:r>
      <w:r>
        <w:rPr>
          <w:color w:val="000000"/>
          <w:lang w:val="en-US"/>
        </w:rPr>
        <w:t>”</w:t>
      </w:r>
    </w:p>
    <w:p w:rsidR="003A2740" w:rsidRPr="005C384E" w:rsidRDefault="00C545CC" w:rsidP="003A2740">
      <w:pPr>
        <w:autoSpaceDE w:val="0"/>
        <w:autoSpaceDN w:val="0"/>
        <w:spacing w:before="120"/>
        <w:jc w:val="both"/>
        <w:rPr>
          <w:color w:val="000000"/>
          <w:lang w:val="en-US"/>
        </w:rPr>
      </w:pPr>
      <w:hyperlink r:id="rId8" w:history="1">
        <w:r w:rsidR="003A2740" w:rsidRPr="005C384E">
          <w:rPr>
            <w:color w:val="000000"/>
            <w:lang w:val="en-US"/>
          </w:rPr>
          <w:t>https://laws-lois.justice.gc.ca/PDF/P-25.2.pdf</w:t>
        </w:r>
      </w:hyperlink>
      <w:r w:rsidR="003A2740" w:rsidRPr="005C384E">
        <w:rPr>
          <w:color w:val="000000"/>
          <w:lang w:val="en-US"/>
        </w:rPr>
        <w:t xml:space="preserve"> </w:t>
      </w:r>
    </w:p>
    <w:p w:rsidR="003A2740" w:rsidRPr="005C384E" w:rsidRDefault="008F6B31" w:rsidP="003A2740">
      <w:pPr>
        <w:autoSpaceDE w:val="0"/>
        <w:autoSpaceDN w:val="0"/>
        <w:spacing w:before="120"/>
        <w:jc w:val="both"/>
        <w:rPr>
          <w:color w:val="000000"/>
          <w:lang w:val="en-US"/>
        </w:rPr>
      </w:pPr>
      <w:r>
        <w:rPr>
          <w:color w:val="000000"/>
          <w:lang w:val="en-US"/>
        </w:rPr>
        <w:t>“</w:t>
      </w:r>
      <w:r w:rsidR="003A2740" w:rsidRPr="005C384E">
        <w:rPr>
          <w:color w:val="000000"/>
          <w:lang w:val="en-US"/>
        </w:rPr>
        <w:t>Prohibition on the Purchase of Residential Property by Non-Canadians Regulations</w:t>
      </w:r>
      <w:r>
        <w:rPr>
          <w:color w:val="000000"/>
          <w:lang w:val="en-US"/>
        </w:rPr>
        <w:t>”</w:t>
      </w:r>
    </w:p>
    <w:p w:rsidR="003A2740" w:rsidRPr="005C384E" w:rsidRDefault="00C545CC" w:rsidP="003A2740">
      <w:pPr>
        <w:autoSpaceDE w:val="0"/>
        <w:autoSpaceDN w:val="0"/>
        <w:spacing w:before="120"/>
        <w:jc w:val="both"/>
        <w:rPr>
          <w:color w:val="000000"/>
          <w:lang w:val="en-US"/>
        </w:rPr>
      </w:pPr>
      <w:hyperlink r:id="rId9" w:history="1">
        <w:r w:rsidR="003A2740" w:rsidRPr="005C384E">
          <w:rPr>
            <w:color w:val="000000"/>
            <w:lang w:val="en-US"/>
          </w:rPr>
          <w:t>https://laws-lois.justice.gc.ca/PDF/SOR-2022-250.pdf</w:t>
        </w:r>
      </w:hyperlink>
    </w:p>
    <w:p w:rsidR="003A2740" w:rsidRPr="005C384E" w:rsidRDefault="003A2740" w:rsidP="003A2740">
      <w:pPr>
        <w:autoSpaceDE w:val="0"/>
        <w:autoSpaceDN w:val="0"/>
        <w:spacing w:before="120"/>
        <w:jc w:val="both"/>
        <w:rPr>
          <w:color w:val="000000"/>
          <w:sz w:val="6"/>
          <w:szCs w:val="6"/>
          <w:lang w:val="en-US"/>
        </w:rPr>
      </w:pPr>
    </w:p>
    <w:p w:rsidR="003A2740" w:rsidRPr="003A2740" w:rsidRDefault="003A2740" w:rsidP="003A2740">
      <w:pPr>
        <w:autoSpaceDE w:val="0"/>
        <w:autoSpaceDN w:val="0"/>
        <w:spacing w:before="120"/>
        <w:jc w:val="both"/>
        <w:rPr>
          <w:color w:val="000000"/>
          <w:lang w:val="it-IT"/>
        </w:rPr>
      </w:pPr>
      <w:r w:rsidRPr="003A2740">
        <w:rPr>
          <w:color w:val="000000"/>
          <w:lang w:val="it-IT"/>
        </w:rPr>
        <w:t>Il 1 gennaio 2023 è entrato in vigore in Canada il c.d. “Prohibition on the Purchase of Residential Property by Non-Canadians Act”, il quale ha introdotto il divieto di acquisto diretto o indiretto di proprietà residenziali per i “non canadesi” (art. 4.1). L’atto legislativo ha una vigenza stabilita in due anni ed è integrato da un Regolamento attuativo che ne definisce gli aspetti di dettaglio.</w:t>
      </w:r>
    </w:p>
    <w:p w:rsidR="003A2740" w:rsidRPr="003A2740" w:rsidRDefault="003A2740" w:rsidP="003A2740">
      <w:pPr>
        <w:autoSpaceDE w:val="0"/>
        <w:autoSpaceDN w:val="0"/>
        <w:spacing w:before="120"/>
        <w:jc w:val="both"/>
        <w:rPr>
          <w:color w:val="000000"/>
          <w:sz w:val="2"/>
          <w:szCs w:val="2"/>
          <w:lang w:val="it-IT"/>
        </w:rPr>
      </w:pPr>
    </w:p>
    <w:p w:rsidR="003A2740" w:rsidRPr="003A2740" w:rsidRDefault="003A2740" w:rsidP="003A2740">
      <w:pPr>
        <w:autoSpaceDE w:val="0"/>
        <w:autoSpaceDN w:val="0"/>
        <w:spacing w:before="120"/>
        <w:jc w:val="both"/>
        <w:rPr>
          <w:color w:val="000000"/>
          <w:lang w:val="it-IT"/>
        </w:rPr>
      </w:pPr>
      <w:r w:rsidRPr="003A2740">
        <w:rPr>
          <w:color w:val="000000"/>
          <w:lang w:val="it-IT"/>
        </w:rPr>
        <w:t>APPLICAZIONE OGGETTIVA</w:t>
      </w:r>
    </w:p>
    <w:p w:rsidR="003A2740" w:rsidRPr="003A2740" w:rsidRDefault="003A2740" w:rsidP="003A2740">
      <w:pPr>
        <w:autoSpaceDE w:val="0"/>
        <w:autoSpaceDN w:val="0"/>
        <w:spacing w:before="120"/>
        <w:jc w:val="both"/>
        <w:rPr>
          <w:color w:val="000000"/>
          <w:lang w:val="it-IT"/>
        </w:rPr>
      </w:pPr>
      <w:r w:rsidRPr="003A2740">
        <w:rPr>
          <w:color w:val="000000"/>
          <w:lang w:val="it-IT"/>
        </w:rPr>
        <w:t>Il testo di legge si applica alle proprietà residenziali (</w:t>
      </w:r>
      <w:r w:rsidR="008F6B31">
        <w:rPr>
          <w:color w:val="000000"/>
          <w:lang w:val="it-IT"/>
        </w:rPr>
        <w:t>“</w:t>
      </w:r>
      <w:r w:rsidRPr="003A2740">
        <w:rPr>
          <w:color w:val="000000"/>
          <w:lang w:val="it-IT"/>
        </w:rPr>
        <w:t>residential property</w:t>
      </w:r>
      <w:r w:rsidR="008F6B31">
        <w:rPr>
          <w:color w:val="000000"/>
          <w:lang w:val="it-IT"/>
        </w:rPr>
        <w:t>”</w:t>
      </w:r>
      <w:r w:rsidRPr="003A2740">
        <w:rPr>
          <w:color w:val="000000"/>
          <w:lang w:val="it-IT"/>
        </w:rPr>
        <w:t>), come definite all’art. 2 dell’atto. In particolare, si tratta di:</w:t>
      </w:r>
    </w:p>
    <w:p w:rsidR="003A2740" w:rsidRPr="00B36F4A" w:rsidRDefault="003A2740" w:rsidP="00B36F4A">
      <w:pPr>
        <w:pStyle w:val="Paragrafoelenco"/>
        <w:numPr>
          <w:ilvl w:val="0"/>
          <w:numId w:val="9"/>
        </w:numPr>
        <w:autoSpaceDE w:val="0"/>
        <w:autoSpaceDN w:val="0"/>
        <w:spacing w:before="120"/>
        <w:jc w:val="both"/>
        <w:rPr>
          <w:color w:val="000000"/>
          <w:lang w:val="it-IT"/>
        </w:rPr>
      </w:pPr>
      <w:r w:rsidRPr="00B36F4A">
        <w:rPr>
          <w:color w:val="000000"/>
          <w:lang w:val="it-IT"/>
        </w:rPr>
        <w:t>abitazioni indipendenti o simili, fino ad un massimo di tre unità abitative;</w:t>
      </w:r>
    </w:p>
    <w:p w:rsidR="003A2740" w:rsidRPr="00B36F4A" w:rsidRDefault="003A2740" w:rsidP="00B36F4A">
      <w:pPr>
        <w:pStyle w:val="Paragrafoelenco"/>
        <w:numPr>
          <w:ilvl w:val="0"/>
          <w:numId w:val="9"/>
        </w:numPr>
        <w:autoSpaceDE w:val="0"/>
        <w:autoSpaceDN w:val="0"/>
        <w:spacing w:before="120"/>
        <w:jc w:val="both"/>
        <w:rPr>
          <w:color w:val="000000"/>
          <w:lang w:val="it-IT"/>
        </w:rPr>
      </w:pPr>
      <w:r w:rsidRPr="00B36F4A">
        <w:rPr>
          <w:color w:val="000000"/>
          <w:lang w:val="it-IT"/>
        </w:rPr>
        <w:t>abitazioni semi-indipendenti, unità condominiali o simili;</w:t>
      </w:r>
    </w:p>
    <w:p w:rsidR="00185A50" w:rsidRPr="00B36F4A" w:rsidRDefault="00185A50" w:rsidP="00B36F4A">
      <w:pPr>
        <w:pStyle w:val="Paragrafoelenco"/>
        <w:numPr>
          <w:ilvl w:val="0"/>
          <w:numId w:val="9"/>
        </w:numPr>
        <w:autoSpaceDE w:val="0"/>
        <w:autoSpaceDN w:val="0"/>
        <w:spacing w:before="120"/>
        <w:jc w:val="both"/>
        <w:rPr>
          <w:color w:val="000000"/>
          <w:lang w:val="it-IT"/>
        </w:rPr>
      </w:pPr>
      <w:r w:rsidRPr="00B36F4A">
        <w:rPr>
          <w:color w:val="000000"/>
          <w:lang w:val="it-IT"/>
        </w:rPr>
        <w:t>altri immobili assimilati alle proprietà residenziali ai fini della presente normativa;</w:t>
      </w:r>
    </w:p>
    <w:p w:rsidR="003A2740" w:rsidRDefault="003A2740" w:rsidP="003A2740">
      <w:pPr>
        <w:autoSpaceDE w:val="0"/>
        <w:autoSpaceDN w:val="0"/>
        <w:spacing w:before="120"/>
        <w:jc w:val="both"/>
        <w:rPr>
          <w:color w:val="000000"/>
          <w:lang w:val="it-IT"/>
        </w:rPr>
      </w:pPr>
      <w:r w:rsidRPr="003A2740">
        <w:rPr>
          <w:color w:val="000000"/>
          <w:lang w:val="it-IT"/>
        </w:rPr>
        <w:t xml:space="preserve">Il Regolamento precisa, poi, all’art. 3 che non rientrano nella definizione di proprietà residenziali (residential property) le proprietà locate al di fuori degli agglomerati censuari (Census Agglomeration - CA) e delle aree metropolitane censuarie (census metropolitan area - CMA), le quali sono definite, invece, proprietà reali (real property) o immobili (immovable). </w:t>
      </w:r>
    </w:p>
    <w:p w:rsidR="00B36F4A" w:rsidRDefault="003A2740" w:rsidP="003A2740">
      <w:pPr>
        <w:autoSpaceDE w:val="0"/>
        <w:autoSpaceDN w:val="0"/>
        <w:spacing w:before="120"/>
        <w:jc w:val="both"/>
        <w:rPr>
          <w:color w:val="000000"/>
          <w:lang w:val="it-IT"/>
        </w:rPr>
      </w:pPr>
      <w:r w:rsidRPr="003A2740">
        <w:rPr>
          <w:color w:val="000000"/>
          <w:lang w:val="it-IT"/>
        </w:rPr>
        <w:t xml:space="preserve">Le CA-CMA sono entità urbane composte da più municipalità adiacenti e tra loro integrate (minimo 10 mila abitanti per le CA e minimo 100 mila per le CMA) e rappresentano le aree più urbanizzate del Paese, dove, secondo </w:t>
      </w:r>
      <w:r w:rsidR="008F6B31">
        <w:rPr>
          <w:color w:val="000000"/>
          <w:lang w:val="it-IT"/>
        </w:rPr>
        <w:t>“</w:t>
      </w:r>
      <w:r w:rsidRPr="003A2740">
        <w:rPr>
          <w:color w:val="000000"/>
          <w:lang w:val="it-IT"/>
        </w:rPr>
        <w:t>Statistics Canada</w:t>
      </w:r>
      <w:r w:rsidR="008F6B31">
        <w:rPr>
          <w:color w:val="000000"/>
          <w:lang w:val="it-IT"/>
        </w:rPr>
        <w:t>”</w:t>
      </w:r>
      <w:r w:rsidR="00B36F4A">
        <w:rPr>
          <w:color w:val="000000"/>
          <w:lang w:val="it-IT"/>
        </w:rPr>
        <w:t>, risiede l’84% degli abitanti.</w:t>
      </w:r>
    </w:p>
    <w:p w:rsidR="003A2740" w:rsidRPr="003A2740" w:rsidRDefault="003A2740" w:rsidP="003A2740">
      <w:pPr>
        <w:autoSpaceDE w:val="0"/>
        <w:autoSpaceDN w:val="0"/>
        <w:spacing w:before="120"/>
        <w:jc w:val="both"/>
        <w:rPr>
          <w:color w:val="000000"/>
          <w:lang w:val="it-IT"/>
        </w:rPr>
      </w:pPr>
      <w:r w:rsidRPr="003A2740">
        <w:rPr>
          <w:color w:val="000000"/>
          <w:lang w:val="it-IT"/>
        </w:rPr>
        <w:t>Il regolamento, inoltre, considera come proprietà reali o immobili (e quindi li esclude dall’applicazione</w:t>
      </w:r>
      <w:r w:rsidR="008F6B31">
        <w:rPr>
          <w:color w:val="000000"/>
          <w:lang w:val="it-IT"/>
        </w:rPr>
        <w:t xml:space="preserve"> della normativa qui menzionata</w:t>
      </w:r>
      <w:r w:rsidRPr="003A2740">
        <w:rPr>
          <w:color w:val="000000"/>
          <w:lang w:val="it-IT"/>
        </w:rPr>
        <w:t>) anche i terreni ubicati all’interno delle CA-CMA, a condizione che:</w:t>
      </w:r>
    </w:p>
    <w:p w:rsidR="003A2740" w:rsidRPr="00B36F4A" w:rsidRDefault="003A2740" w:rsidP="00B36F4A">
      <w:pPr>
        <w:pStyle w:val="Paragrafoelenco"/>
        <w:numPr>
          <w:ilvl w:val="0"/>
          <w:numId w:val="9"/>
        </w:numPr>
        <w:autoSpaceDE w:val="0"/>
        <w:autoSpaceDN w:val="0"/>
        <w:spacing w:before="120"/>
        <w:jc w:val="both"/>
        <w:rPr>
          <w:color w:val="000000"/>
          <w:lang w:val="it-IT"/>
        </w:rPr>
      </w:pPr>
      <w:r w:rsidRPr="00B36F4A">
        <w:rPr>
          <w:color w:val="000000"/>
          <w:lang w:val="it-IT"/>
        </w:rPr>
        <w:t>non contengano unità abitative;</w:t>
      </w:r>
    </w:p>
    <w:p w:rsidR="002411E1" w:rsidRPr="00B36F4A" w:rsidRDefault="003A2740" w:rsidP="00B36F4A">
      <w:pPr>
        <w:pStyle w:val="Paragrafoelenco"/>
        <w:numPr>
          <w:ilvl w:val="0"/>
          <w:numId w:val="9"/>
        </w:numPr>
        <w:autoSpaceDE w:val="0"/>
        <w:autoSpaceDN w:val="0"/>
        <w:spacing w:before="120"/>
        <w:jc w:val="both"/>
        <w:rPr>
          <w:color w:val="000000"/>
          <w:lang w:val="it-IT"/>
        </w:rPr>
      </w:pPr>
      <w:r w:rsidRPr="00B36F4A">
        <w:rPr>
          <w:color w:val="000000"/>
          <w:lang w:val="it-IT"/>
        </w:rPr>
        <w:t xml:space="preserve">siano destinati ad uso residenziale o misto. </w:t>
      </w:r>
    </w:p>
    <w:p w:rsidR="007A7DB9" w:rsidRPr="00B36F4A" w:rsidRDefault="002411E1" w:rsidP="003A2740">
      <w:pPr>
        <w:autoSpaceDE w:val="0"/>
        <w:autoSpaceDN w:val="0"/>
        <w:spacing w:before="120"/>
        <w:jc w:val="both"/>
        <w:rPr>
          <w:color w:val="000000"/>
          <w:lang w:val="it-IT"/>
        </w:rPr>
      </w:pPr>
      <w:r>
        <w:rPr>
          <w:color w:val="000000"/>
          <w:lang w:val="it-IT"/>
        </w:rPr>
        <w:t>Vi sono, infine, ulteriori casi di esclusione dall’ambito di applicazione dell’atto per cui si rimanda ad attenta lettura della normativa citata.</w:t>
      </w:r>
    </w:p>
    <w:p w:rsidR="003A2740" w:rsidRPr="003A2740" w:rsidRDefault="003A2740" w:rsidP="003A2740">
      <w:pPr>
        <w:autoSpaceDE w:val="0"/>
        <w:autoSpaceDN w:val="0"/>
        <w:spacing w:before="120"/>
        <w:jc w:val="both"/>
        <w:rPr>
          <w:color w:val="000000"/>
          <w:sz w:val="2"/>
          <w:szCs w:val="2"/>
          <w:lang w:val="it-IT"/>
        </w:rPr>
      </w:pPr>
    </w:p>
    <w:p w:rsidR="003A2740" w:rsidRPr="003A2740" w:rsidRDefault="003A2740" w:rsidP="003A2740">
      <w:pPr>
        <w:autoSpaceDE w:val="0"/>
        <w:autoSpaceDN w:val="0"/>
        <w:spacing w:before="120"/>
        <w:jc w:val="both"/>
        <w:rPr>
          <w:color w:val="000000"/>
          <w:lang w:val="it-IT"/>
        </w:rPr>
      </w:pPr>
      <w:r w:rsidRPr="003A2740">
        <w:rPr>
          <w:color w:val="000000"/>
          <w:lang w:val="it-IT"/>
        </w:rPr>
        <w:t>APPLICAZIONE SOGGETTIVA</w:t>
      </w:r>
    </w:p>
    <w:p w:rsidR="003A2740" w:rsidRPr="00297EA1" w:rsidRDefault="002411E1" w:rsidP="003A2740">
      <w:pPr>
        <w:autoSpaceDE w:val="0"/>
        <w:autoSpaceDN w:val="0"/>
        <w:spacing w:before="120"/>
        <w:jc w:val="both"/>
        <w:rPr>
          <w:color w:val="000000"/>
          <w:lang w:val="it-IT"/>
        </w:rPr>
      </w:pPr>
      <w:r w:rsidRPr="00297EA1">
        <w:rPr>
          <w:color w:val="000000"/>
          <w:lang w:val="it-IT"/>
        </w:rPr>
        <w:t>Ai fini del “Prohibition on the Purchase of Residential Property by Non-Canadians Act”</w:t>
      </w:r>
      <w:r w:rsidR="003A2740" w:rsidRPr="00297EA1">
        <w:rPr>
          <w:color w:val="000000"/>
          <w:lang w:val="it-IT"/>
        </w:rPr>
        <w:t>, sono considerati non-canadesi:</w:t>
      </w:r>
    </w:p>
    <w:p w:rsidR="003A2740" w:rsidRPr="00B36F4A" w:rsidRDefault="003A2740" w:rsidP="00B36F4A">
      <w:pPr>
        <w:pStyle w:val="Paragrafoelenco"/>
        <w:numPr>
          <w:ilvl w:val="0"/>
          <w:numId w:val="9"/>
        </w:numPr>
        <w:autoSpaceDE w:val="0"/>
        <w:autoSpaceDN w:val="0"/>
        <w:spacing w:before="120"/>
        <w:jc w:val="both"/>
        <w:rPr>
          <w:color w:val="000000"/>
          <w:lang w:val="it-IT"/>
        </w:rPr>
      </w:pPr>
      <w:r w:rsidRPr="00B36F4A">
        <w:rPr>
          <w:color w:val="000000"/>
          <w:lang w:val="it-IT"/>
        </w:rPr>
        <w:lastRenderedPageBreak/>
        <w:t xml:space="preserve">gli individui che non posseggono la cittadinanza canadese, che non siano residenti permanenti o registrati ai sensi dell’Indian Act, a meno che </w:t>
      </w:r>
      <w:r w:rsidR="00205E3A" w:rsidRPr="00B36F4A">
        <w:rPr>
          <w:color w:val="000000"/>
          <w:lang w:val="it-IT"/>
        </w:rPr>
        <w:t xml:space="preserve">non procedano all’acquisto in contitolarità con </w:t>
      </w:r>
      <w:r w:rsidRPr="00B36F4A">
        <w:rPr>
          <w:color w:val="000000"/>
          <w:lang w:val="it-IT"/>
        </w:rPr>
        <w:t xml:space="preserve">il coniuge o </w:t>
      </w:r>
      <w:r w:rsidR="008F6B31" w:rsidRPr="00B36F4A">
        <w:rPr>
          <w:color w:val="000000"/>
          <w:lang w:val="it-IT"/>
        </w:rPr>
        <w:t xml:space="preserve">con </w:t>
      </w:r>
      <w:r w:rsidRPr="00B36F4A">
        <w:rPr>
          <w:color w:val="000000"/>
          <w:lang w:val="it-IT"/>
        </w:rPr>
        <w:t xml:space="preserve">il partner legale </w:t>
      </w:r>
      <w:r w:rsidR="00205E3A" w:rsidRPr="00B36F4A">
        <w:rPr>
          <w:color w:val="000000"/>
          <w:lang w:val="it-IT"/>
        </w:rPr>
        <w:t xml:space="preserve">che </w:t>
      </w:r>
      <w:r w:rsidRPr="00B36F4A">
        <w:rPr>
          <w:color w:val="000000"/>
          <w:lang w:val="it-IT"/>
        </w:rPr>
        <w:t>abbia requisiti</w:t>
      </w:r>
      <w:r w:rsidR="007912D0" w:rsidRPr="00B36F4A">
        <w:rPr>
          <w:color w:val="000000"/>
          <w:lang w:val="it-IT"/>
        </w:rPr>
        <w:t xml:space="preserve"> </w:t>
      </w:r>
      <w:r w:rsidR="008F6B31" w:rsidRPr="00B36F4A">
        <w:rPr>
          <w:color w:val="000000"/>
          <w:lang w:val="it-IT"/>
        </w:rPr>
        <w:t xml:space="preserve">di legge </w:t>
      </w:r>
      <w:r w:rsidR="00205E3A" w:rsidRPr="00B36F4A">
        <w:rPr>
          <w:color w:val="000000"/>
          <w:lang w:val="it-IT"/>
        </w:rPr>
        <w:t>(vedasi section 4 (2) dell’Atto suindicato)</w:t>
      </w:r>
      <w:r w:rsidRPr="00B36F4A">
        <w:rPr>
          <w:color w:val="000000"/>
          <w:lang w:val="it-IT"/>
        </w:rPr>
        <w:t>;</w:t>
      </w:r>
    </w:p>
    <w:p w:rsidR="003A2740" w:rsidRPr="008F6B31" w:rsidRDefault="003A2740" w:rsidP="00B36F4A">
      <w:pPr>
        <w:pStyle w:val="Paragrafoelenco"/>
        <w:numPr>
          <w:ilvl w:val="0"/>
          <w:numId w:val="9"/>
        </w:numPr>
        <w:autoSpaceDE w:val="0"/>
        <w:autoSpaceDN w:val="0"/>
        <w:spacing w:before="120"/>
        <w:jc w:val="both"/>
        <w:rPr>
          <w:color w:val="000000"/>
          <w:lang w:val="it-IT"/>
        </w:rPr>
      </w:pPr>
      <w:r w:rsidRPr="008F6B31">
        <w:rPr>
          <w:color w:val="000000"/>
          <w:lang w:val="it-IT"/>
        </w:rPr>
        <w:t xml:space="preserve">le persone giuridiche (corporation) non incorporate </w:t>
      </w:r>
      <w:r w:rsidR="007F0B8B" w:rsidRPr="00B36F4A">
        <w:rPr>
          <w:color w:val="000000"/>
          <w:lang w:val="it-IT"/>
        </w:rPr>
        <w:t xml:space="preserve">in base alle leggi </w:t>
      </w:r>
      <w:r w:rsidR="005D39D7" w:rsidRPr="00B36F4A">
        <w:rPr>
          <w:color w:val="000000"/>
          <w:lang w:val="it-IT"/>
        </w:rPr>
        <w:t>del Canada</w:t>
      </w:r>
      <w:r w:rsidR="00AD0EE9" w:rsidRPr="00B36F4A">
        <w:rPr>
          <w:color w:val="000000"/>
          <w:lang w:val="it-IT"/>
        </w:rPr>
        <w:t xml:space="preserve"> o di una Provincia</w:t>
      </w:r>
      <w:r w:rsidRPr="008F6B31">
        <w:rPr>
          <w:color w:val="000000"/>
          <w:lang w:val="it-IT"/>
        </w:rPr>
        <w:t>;</w:t>
      </w:r>
    </w:p>
    <w:p w:rsidR="003A2740" w:rsidRPr="00B36F4A" w:rsidRDefault="003A2740" w:rsidP="00B36F4A">
      <w:pPr>
        <w:pStyle w:val="Paragrafoelenco"/>
        <w:numPr>
          <w:ilvl w:val="0"/>
          <w:numId w:val="9"/>
        </w:numPr>
        <w:autoSpaceDE w:val="0"/>
        <w:autoSpaceDN w:val="0"/>
        <w:spacing w:before="120"/>
        <w:jc w:val="both"/>
        <w:rPr>
          <w:color w:val="000000"/>
          <w:lang w:val="it-IT"/>
        </w:rPr>
      </w:pPr>
      <w:r w:rsidRPr="00B36F4A">
        <w:rPr>
          <w:color w:val="000000"/>
          <w:lang w:val="it-IT"/>
        </w:rPr>
        <w:t>le persone g</w:t>
      </w:r>
      <w:r w:rsidR="00B36F4A">
        <w:rPr>
          <w:color w:val="000000"/>
          <w:lang w:val="it-IT"/>
        </w:rPr>
        <w:t>iuridiche, anche se incorporate</w:t>
      </w:r>
      <w:r w:rsidRPr="00B36F4A">
        <w:rPr>
          <w:color w:val="000000"/>
          <w:lang w:val="it-IT"/>
        </w:rPr>
        <w:t xml:space="preserve"> </w:t>
      </w:r>
      <w:r w:rsidR="007F0B8B" w:rsidRPr="00B36F4A">
        <w:rPr>
          <w:color w:val="000000"/>
          <w:lang w:val="it-IT"/>
        </w:rPr>
        <w:t xml:space="preserve">secondo le leggi del </w:t>
      </w:r>
      <w:r w:rsidRPr="00B36F4A">
        <w:rPr>
          <w:color w:val="000000"/>
          <w:lang w:val="it-IT"/>
        </w:rPr>
        <w:t>Canada</w:t>
      </w:r>
      <w:r w:rsidR="00AD0EE9" w:rsidRPr="00B36F4A">
        <w:rPr>
          <w:color w:val="000000"/>
          <w:lang w:val="it-IT"/>
        </w:rPr>
        <w:t xml:space="preserve"> o di una Provincia</w:t>
      </w:r>
      <w:r w:rsidRPr="00B36F4A">
        <w:rPr>
          <w:color w:val="000000"/>
          <w:lang w:val="it-IT"/>
        </w:rPr>
        <w:t>, nel caso in cui siano controllate da uno dei soggetti ai quali è vietato l’acquisto.</w:t>
      </w:r>
    </w:p>
    <w:p w:rsidR="003A2740" w:rsidRDefault="003A2740" w:rsidP="003A2740">
      <w:pPr>
        <w:autoSpaceDE w:val="0"/>
        <w:autoSpaceDN w:val="0"/>
        <w:spacing w:before="120"/>
        <w:jc w:val="both"/>
        <w:rPr>
          <w:color w:val="000000"/>
          <w:lang w:val="it-IT"/>
        </w:rPr>
      </w:pPr>
      <w:r w:rsidRPr="003A2740">
        <w:rPr>
          <w:color w:val="000000"/>
          <w:lang w:val="it-IT"/>
        </w:rPr>
        <w:t>Il Regolamento estende il concetto di corporation e include nella definizione di “non-canadesi” gli enti (entity) non regolati dal diritto canadese o comunque, anche se costituiti in Canada, controllati da uno dei soggetti di cui al paragrafo precedente.</w:t>
      </w:r>
    </w:p>
    <w:p w:rsidR="005D39D7" w:rsidRPr="003A2740" w:rsidRDefault="005D39D7" w:rsidP="003A2740">
      <w:pPr>
        <w:autoSpaceDE w:val="0"/>
        <w:autoSpaceDN w:val="0"/>
        <w:spacing w:before="120"/>
        <w:jc w:val="both"/>
        <w:rPr>
          <w:color w:val="000000"/>
          <w:lang w:val="it-IT"/>
        </w:rPr>
      </w:pPr>
      <w:r>
        <w:rPr>
          <w:color w:val="000000"/>
          <w:lang w:val="it-IT"/>
        </w:rPr>
        <w:t xml:space="preserve">In particolare, per le eccezioni riguardanti le persone giuridiche si rimanda ad attenta lettura delle “definitions” contenute nell’art. 2 dell’Atto. </w:t>
      </w:r>
    </w:p>
    <w:p w:rsidR="003A2740" w:rsidRPr="003A2740" w:rsidRDefault="003A2740" w:rsidP="003A2740">
      <w:pPr>
        <w:autoSpaceDE w:val="0"/>
        <w:autoSpaceDN w:val="0"/>
        <w:spacing w:before="120"/>
        <w:jc w:val="both"/>
        <w:rPr>
          <w:color w:val="000000"/>
          <w:lang w:val="it-IT"/>
        </w:rPr>
      </w:pPr>
      <w:r w:rsidRPr="003A2740">
        <w:rPr>
          <w:color w:val="000000"/>
          <w:lang w:val="it-IT"/>
        </w:rPr>
        <w:t>Sono previste</w:t>
      </w:r>
      <w:r w:rsidR="005D39D7">
        <w:rPr>
          <w:color w:val="000000"/>
          <w:lang w:val="it-IT"/>
        </w:rPr>
        <w:t>, inoltre,</w:t>
      </w:r>
      <w:r w:rsidRPr="003A2740">
        <w:rPr>
          <w:color w:val="000000"/>
          <w:lang w:val="it-IT"/>
        </w:rPr>
        <w:t xml:space="preserve"> alcune eccezioni al divieto per i residenti temporanei a determinate condizioni e restano esplicitamente esclusi dall’applicazione gli acquisti da parte di Stati stranieri per scopi diplomatici o consolari.</w:t>
      </w:r>
    </w:p>
    <w:p w:rsidR="003A2740" w:rsidRPr="003A2740" w:rsidRDefault="003A2740" w:rsidP="003A2740">
      <w:pPr>
        <w:autoSpaceDE w:val="0"/>
        <w:autoSpaceDN w:val="0"/>
        <w:spacing w:before="120"/>
        <w:jc w:val="both"/>
        <w:rPr>
          <w:color w:val="000000"/>
          <w:lang w:val="it-IT"/>
        </w:rPr>
      </w:pPr>
      <w:r w:rsidRPr="003A2740">
        <w:rPr>
          <w:color w:val="000000"/>
          <w:lang w:val="it-IT"/>
        </w:rPr>
        <w:t xml:space="preserve">Secondo la normativa, nel caso un acquisto di immobili residenziali </w:t>
      </w:r>
      <w:r w:rsidR="00AD0EE9">
        <w:rPr>
          <w:color w:val="000000"/>
          <w:lang w:val="it-IT"/>
        </w:rPr>
        <w:t>sia “</w:t>
      </w:r>
      <w:r w:rsidRPr="003A2740">
        <w:rPr>
          <w:color w:val="000000"/>
          <w:lang w:val="it-IT"/>
        </w:rPr>
        <w:t>contra legem</w:t>
      </w:r>
      <w:r w:rsidR="00AD0EE9">
        <w:rPr>
          <w:color w:val="000000"/>
          <w:lang w:val="it-IT"/>
        </w:rPr>
        <w:t>”</w:t>
      </w:r>
      <w:r w:rsidRPr="003A2740">
        <w:rPr>
          <w:color w:val="000000"/>
          <w:lang w:val="it-IT"/>
        </w:rPr>
        <w:t xml:space="preserve"> il tribunale provinciale competente ne può ordinare la vendita. Sono inoltre previste sanzioni a carico non solo degli acquirenti ma anche di chiunque partecipi o faciliti una transazione immobiliare vietata e </w:t>
      </w:r>
      <w:r w:rsidRPr="00B36F4A">
        <w:rPr>
          <w:lang w:val="it-IT"/>
        </w:rPr>
        <w:t>sia</w:t>
      </w:r>
      <w:r w:rsidRPr="003A2740">
        <w:rPr>
          <w:color w:val="000000"/>
          <w:lang w:val="it-IT"/>
        </w:rPr>
        <w:t xml:space="preserve"> consapevolmente parte di una violazione della legge. </w:t>
      </w:r>
    </w:p>
    <w:p w:rsidR="003A2740" w:rsidRPr="003A2740" w:rsidRDefault="003A2740" w:rsidP="003A2740">
      <w:pPr>
        <w:autoSpaceDE w:val="0"/>
        <w:autoSpaceDN w:val="0"/>
        <w:spacing w:before="120"/>
        <w:jc w:val="both"/>
        <w:rPr>
          <w:color w:val="000000"/>
          <w:lang w:val="it-IT"/>
        </w:rPr>
      </w:pPr>
      <w:r w:rsidRPr="003A2740">
        <w:rPr>
          <w:color w:val="000000"/>
          <w:lang w:val="it-IT"/>
        </w:rPr>
        <w:t xml:space="preserve">Il divieto non si applica ai soggetti non-canadesi </w:t>
      </w:r>
      <w:r w:rsidRPr="00B36F4A">
        <w:rPr>
          <w:lang w:val="it-IT"/>
        </w:rPr>
        <w:t xml:space="preserve">diventati responsabili </w:t>
      </w:r>
      <w:r w:rsidRPr="003A2740">
        <w:rPr>
          <w:color w:val="000000"/>
          <w:lang w:val="it-IT"/>
        </w:rPr>
        <w:t>o c</w:t>
      </w:r>
      <w:r w:rsidR="00B36F4A">
        <w:rPr>
          <w:color w:val="000000"/>
          <w:lang w:val="it-IT"/>
        </w:rPr>
        <w:t>he abbiano assunto obbligazioni</w:t>
      </w:r>
      <w:r w:rsidRPr="00B36F4A">
        <w:rPr>
          <w:color w:val="000000"/>
          <w:lang w:val="it-IT"/>
        </w:rPr>
        <w:t xml:space="preserve"> </w:t>
      </w:r>
      <w:r w:rsidR="00AD0EE9" w:rsidRPr="00B36F4A">
        <w:rPr>
          <w:color w:val="000000"/>
          <w:lang w:val="it-IT"/>
        </w:rPr>
        <w:t xml:space="preserve">in base ad </w:t>
      </w:r>
      <w:r w:rsidRPr="003A2740">
        <w:rPr>
          <w:color w:val="000000"/>
          <w:lang w:val="it-IT"/>
        </w:rPr>
        <w:t xml:space="preserve">un contratto di acquisto effettuato prima dell’entrata in vigore della legge (art. 4.5). </w:t>
      </w:r>
    </w:p>
    <w:p w:rsidR="003A2740" w:rsidRPr="003A2740" w:rsidRDefault="003A2740" w:rsidP="003A2740">
      <w:pPr>
        <w:autoSpaceDE w:val="0"/>
        <w:autoSpaceDN w:val="0"/>
        <w:spacing w:before="120"/>
        <w:jc w:val="both"/>
        <w:rPr>
          <w:color w:val="000000"/>
          <w:lang w:val="it-IT"/>
        </w:rPr>
      </w:pPr>
      <w:r w:rsidRPr="003A2740">
        <w:rPr>
          <w:color w:val="000000"/>
          <w:lang w:val="it-IT"/>
        </w:rPr>
        <w:t>Infine, va precisato che, secondo l’art. 4 del Regolamento, per “acquisto” si intende un contratto a effetti reali (</w:t>
      </w:r>
      <w:r w:rsidR="00AD0EE9">
        <w:rPr>
          <w:color w:val="000000"/>
          <w:lang w:val="it-IT"/>
        </w:rPr>
        <w:t>“</w:t>
      </w:r>
      <w:r w:rsidRPr="003A2740">
        <w:rPr>
          <w:color w:val="000000"/>
          <w:lang w:val="it-IT"/>
        </w:rPr>
        <w:t>real right</w:t>
      </w:r>
      <w:r w:rsidR="00AD0EE9">
        <w:rPr>
          <w:color w:val="000000"/>
          <w:lang w:val="it-IT"/>
        </w:rPr>
        <w:t>”</w:t>
      </w:r>
      <w:r w:rsidRPr="003A2740">
        <w:rPr>
          <w:color w:val="000000"/>
          <w:lang w:val="it-IT"/>
        </w:rPr>
        <w:t>) od obbligatori (</w:t>
      </w:r>
      <w:r w:rsidR="00AD0EE9">
        <w:rPr>
          <w:color w:val="000000"/>
          <w:lang w:val="it-IT"/>
        </w:rPr>
        <w:t>“</w:t>
      </w:r>
      <w:r w:rsidRPr="003A2740">
        <w:rPr>
          <w:color w:val="000000"/>
          <w:lang w:val="it-IT"/>
        </w:rPr>
        <w:t>legal or equitable interest</w:t>
      </w:r>
      <w:r w:rsidR="00AD0EE9">
        <w:rPr>
          <w:color w:val="000000"/>
          <w:lang w:val="it-IT"/>
        </w:rPr>
        <w:t>”</w:t>
      </w:r>
      <w:r w:rsidRPr="003A2740">
        <w:rPr>
          <w:color w:val="000000"/>
          <w:lang w:val="it-IT"/>
        </w:rPr>
        <w:t>)-</w:t>
      </w:r>
    </w:p>
    <w:p w:rsidR="003A2740" w:rsidRPr="003A2740" w:rsidRDefault="003A2740" w:rsidP="003A2740">
      <w:pPr>
        <w:autoSpaceDE w:val="0"/>
        <w:autoSpaceDN w:val="0"/>
        <w:spacing w:before="120"/>
        <w:jc w:val="both"/>
        <w:rPr>
          <w:color w:val="000000"/>
          <w:lang w:val="it-IT"/>
        </w:rPr>
      </w:pPr>
      <w:r w:rsidRPr="003A2740">
        <w:rPr>
          <w:color w:val="000000"/>
          <w:lang w:val="it-IT"/>
        </w:rPr>
        <w:t>Per ulteriori dettagli</w:t>
      </w:r>
      <w:r w:rsidR="00AD0EE9">
        <w:rPr>
          <w:color w:val="000000"/>
          <w:lang w:val="it-IT"/>
        </w:rPr>
        <w:t>,</w:t>
      </w:r>
      <w:r w:rsidRPr="003A2740">
        <w:rPr>
          <w:color w:val="000000"/>
          <w:lang w:val="it-IT"/>
        </w:rPr>
        <w:t xml:space="preserve"> </w:t>
      </w:r>
      <w:r w:rsidR="00AD0EE9" w:rsidRPr="00B36F4A">
        <w:rPr>
          <w:color w:val="000000"/>
          <w:lang w:val="it-IT"/>
        </w:rPr>
        <w:t>anche in ordine alle eccezioni all’applicazione dell’atto e del regolamento</w:t>
      </w:r>
      <w:r w:rsidR="008F6B31" w:rsidRPr="00B36F4A">
        <w:rPr>
          <w:color w:val="000000"/>
          <w:lang w:val="it-IT"/>
        </w:rPr>
        <w:t xml:space="preserve"> summenzionati</w:t>
      </w:r>
      <w:r w:rsidR="00AD0EE9" w:rsidRPr="00B36F4A">
        <w:rPr>
          <w:color w:val="000000"/>
          <w:lang w:val="it-IT"/>
        </w:rPr>
        <w:t xml:space="preserve">, </w:t>
      </w:r>
      <w:r w:rsidRPr="003A2740">
        <w:rPr>
          <w:color w:val="000000"/>
          <w:lang w:val="it-IT"/>
        </w:rPr>
        <w:t>si rimanda alla lettura dei testi normativi.</w:t>
      </w:r>
    </w:p>
    <w:p w:rsidR="003A2740" w:rsidRPr="003A2740" w:rsidRDefault="003A2740" w:rsidP="003A2740">
      <w:pPr>
        <w:autoSpaceDE w:val="0"/>
        <w:autoSpaceDN w:val="0"/>
        <w:spacing w:before="120"/>
        <w:jc w:val="both"/>
        <w:rPr>
          <w:color w:val="000000"/>
          <w:sz w:val="8"/>
          <w:szCs w:val="8"/>
          <w:lang w:val="it-IT"/>
        </w:rPr>
      </w:pPr>
    </w:p>
    <w:p w:rsidR="00667593" w:rsidRPr="003A2740" w:rsidRDefault="00071DDB" w:rsidP="00667593">
      <w:pPr>
        <w:autoSpaceDE w:val="0"/>
        <w:autoSpaceDN w:val="0"/>
        <w:spacing w:before="120"/>
        <w:jc w:val="both"/>
        <w:rPr>
          <w:color w:val="000000"/>
          <w:lang w:val="it-IT"/>
        </w:rPr>
      </w:pPr>
      <w:r>
        <w:rPr>
          <w:color w:val="000000"/>
          <w:lang w:val="it-IT"/>
        </w:rPr>
        <w:t>Esistono inoltre</w:t>
      </w:r>
      <w:r w:rsidR="00667593" w:rsidRPr="00667593">
        <w:rPr>
          <w:color w:val="000000"/>
          <w:lang w:val="it-IT"/>
        </w:rPr>
        <w:t xml:space="preserve"> alcune limitazioni per l’acquisto di terreni agricoli da parte di cittadini stranieri non residenti in alcune Province del Canada, nel senso che sono posti dei limiti alle dimensioni di terreni agricoli acquistabili da parte stranieri.</w:t>
      </w:r>
      <w:r w:rsidR="00667593">
        <w:rPr>
          <w:color w:val="000000"/>
          <w:lang w:val="it-IT"/>
        </w:rPr>
        <w:t xml:space="preserve"> In particolare:</w:t>
      </w:r>
    </w:p>
    <w:p w:rsidR="003F51C9" w:rsidRPr="003A2740" w:rsidRDefault="00EA6ED8" w:rsidP="003A2740">
      <w:pPr>
        <w:autoSpaceDE w:val="0"/>
        <w:autoSpaceDN w:val="0"/>
        <w:spacing w:before="120"/>
        <w:jc w:val="both"/>
        <w:rPr>
          <w:color w:val="000000"/>
          <w:lang w:val="it-IT"/>
        </w:rPr>
      </w:pPr>
      <w:r w:rsidRPr="003A2740">
        <w:rPr>
          <w:color w:val="000000"/>
          <w:lang w:val="it-IT"/>
        </w:rPr>
        <w:t>in Qu</w:t>
      </w:r>
      <w:r w:rsidR="00DB6F8B" w:rsidRPr="003A2740">
        <w:rPr>
          <w:color w:val="000000"/>
          <w:lang w:val="it-IT"/>
        </w:rPr>
        <w:t>e</w:t>
      </w:r>
      <w:r w:rsidRPr="003A2740">
        <w:rPr>
          <w:color w:val="000000"/>
          <w:lang w:val="it-IT"/>
        </w:rPr>
        <w:t>bec,</w:t>
      </w:r>
      <w:r w:rsidR="003F51C9" w:rsidRPr="003A2740">
        <w:rPr>
          <w:color w:val="000000"/>
          <w:lang w:val="it-IT"/>
        </w:rPr>
        <w:t xml:space="preserve"> la normativa prevede il rilascio di un'autorizzazione da richiedere ad una commissione speciale (</w:t>
      </w:r>
      <w:r w:rsidR="008F6B31">
        <w:rPr>
          <w:color w:val="000000"/>
          <w:lang w:val="it-IT"/>
        </w:rPr>
        <w:t>“</w:t>
      </w:r>
      <w:r w:rsidR="003F51C9" w:rsidRPr="003A2740">
        <w:rPr>
          <w:color w:val="000000"/>
          <w:lang w:val="it-IT"/>
        </w:rPr>
        <w:t>Commission de protection</w:t>
      </w:r>
      <w:r w:rsidR="00073C9C" w:rsidRPr="003A2740">
        <w:rPr>
          <w:color w:val="000000"/>
          <w:lang w:val="it-IT"/>
        </w:rPr>
        <w:t xml:space="preserve"> </w:t>
      </w:r>
      <w:r w:rsidR="003F51C9" w:rsidRPr="003A2740">
        <w:rPr>
          <w:color w:val="000000"/>
          <w:lang w:val="it-IT"/>
        </w:rPr>
        <w:t>du</w:t>
      </w:r>
      <w:r w:rsidR="00073C9C" w:rsidRPr="003A2740">
        <w:rPr>
          <w:color w:val="000000"/>
          <w:lang w:val="it-IT"/>
        </w:rPr>
        <w:t xml:space="preserve"> </w:t>
      </w:r>
      <w:r w:rsidR="003F51C9" w:rsidRPr="003A2740">
        <w:rPr>
          <w:color w:val="000000"/>
          <w:lang w:val="it-IT"/>
        </w:rPr>
        <w:t>territoire agricole du Quebec</w:t>
      </w:r>
      <w:r w:rsidR="008F6B31">
        <w:rPr>
          <w:color w:val="000000"/>
          <w:lang w:val="it-IT"/>
        </w:rPr>
        <w:t>”</w:t>
      </w:r>
      <w:r w:rsidR="003F51C9" w:rsidRPr="003A2740">
        <w:rPr>
          <w:color w:val="000000"/>
          <w:lang w:val="it-IT"/>
        </w:rPr>
        <w:t>): la predetta Commissione avvia una procedura di valutazione sulla base dei parametri fissati dalla legge ed emana una decis</w:t>
      </w:r>
      <w:r w:rsidRPr="003A2740">
        <w:rPr>
          <w:color w:val="000000"/>
          <w:lang w:val="it-IT"/>
        </w:rPr>
        <w:t>ione di accettazione o diniego;</w:t>
      </w:r>
    </w:p>
    <w:p w:rsidR="00EA6ED8" w:rsidRPr="003A2740" w:rsidRDefault="00EA6ED8" w:rsidP="003A2740">
      <w:pPr>
        <w:autoSpaceDE w:val="0"/>
        <w:autoSpaceDN w:val="0"/>
        <w:spacing w:before="120"/>
        <w:jc w:val="both"/>
        <w:rPr>
          <w:color w:val="000000"/>
          <w:lang w:val="it-IT"/>
        </w:rPr>
      </w:pPr>
      <w:r w:rsidRPr="003A2740">
        <w:rPr>
          <w:color w:val="000000"/>
          <w:lang w:val="it-IT"/>
        </w:rPr>
        <w:t>l’Alberta limita l’acquisto a 20 acri;</w:t>
      </w:r>
    </w:p>
    <w:p w:rsidR="00EA6ED8" w:rsidRPr="003A2740" w:rsidRDefault="00D16814" w:rsidP="003A2740">
      <w:pPr>
        <w:autoSpaceDE w:val="0"/>
        <w:autoSpaceDN w:val="0"/>
        <w:spacing w:before="120"/>
        <w:jc w:val="both"/>
        <w:rPr>
          <w:color w:val="000000"/>
          <w:lang w:val="it-IT"/>
        </w:rPr>
      </w:pPr>
      <w:r w:rsidRPr="003A2740">
        <w:rPr>
          <w:color w:val="000000"/>
          <w:lang w:val="it-IT"/>
        </w:rPr>
        <w:t>il</w:t>
      </w:r>
      <w:r w:rsidR="00073C9C" w:rsidRPr="003A2740">
        <w:rPr>
          <w:color w:val="000000"/>
          <w:lang w:val="it-IT"/>
        </w:rPr>
        <w:t xml:space="preserve"> </w:t>
      </w:r>
      <w:r w:rsidRPr="003A2740">
        <w:rPr>
          <w:color w:val="000000"/>
          <w:lang w:val="it-IT"/>
        </w:rPr>
        <w:t>Saskatchewan </w:t>
      </w:r>
      <w:r w:rsidR="00EA6ED8" w:rsidRPr="003A2740">
        <w:rPr>
          <w:color w:val="000000"/>
          <w:lang w:val="it-IT"/>
        </w:rPr>
        <w:t>limita l’acquisto a 10 acri;</w:t>
      </w:r>
    </w:p>
    <w:p w:rsidR="00EA6ED8" w:rsidRPr="003A2740" w:rsidRDefault="00EA6ED8" w:rsidP="003A2740">
      <w:pPr>
        <w:autoSpaceDE w:val="0"/>
        <w:autoSpaceDN w:val="0"/>
        <w:spacing w:before="120"/>
        <w:jc w:val="both"/>
        <w:rPr>
          <w:color w:val="000000"/>
          <w:lang w:val="it-IT"/>
        </w:rPr>
      </w:pPr>
      <w:r w:rsidRPr="003A2740">
        <w:rPr>
          <w:color w:val="000000"/>
          <w:lang w:val="it-IT"/>
        </w:rPr>
        <w:t>il Manitoba limita l’acquisto a 40 acri.</w:t>
      </w:r>
    </w:p>
    <w:p w:rsidR="0096013D" w:rsidRPr="008F7718" w:rsidRDefault="00707D8B" w:rsidP="003A2740">
      <w:pPr>
        <w:autoSpaceDE w:val="0"/>
        <w:autoSpaceDN w:val="0"/>
        <w:spacing w:before="120"/>
        <w:jc w:val="both"/>
        <w:rPr>
          <w:rFonts w:cs="Calibri"/>
          <w:color w:val="000000" w:themeColor="text1"/>
          <w:lang w:val="it-IT"/>
        </w:rPr>
      </w:pPr>
      <w:r w:rsidRPr="003A2740">
        <w:rPr>
          <w:color w:val="000000"/>
          <w:lang w:val="it-IT"/>
        </w:rPr>
        <w:t>n</w:t>
      </w:r>
      <w:r w:rsidR="00DB6F8B" w:rsidRPr="003A2740">
        <w:rPr>
          <w:color w:val="000000"/>
          <w:lang w:val="it-IT"/>
        </w:rPr>
        <w:t>el</w:t>
      </w:r>
      <w:r w:rsidR="00073C9C" w:rsidRPr="003A2740">
        <w:rPr>
          <w:color w:val="000000"/>
          <w:lang w:val="it-IT"/>
        </w:rPr>
        <w:t xml:space="preserve"> </w:t>
      </w:r>
      <w:r w:rsidR="00DB6F8B" w:rsidRPr="003A2740">
        <w:rPr>
          <w:color w:val="000000"/>
          <w:lang w:val="it-IT"/>
        </w:rPr>
        <w:t>Territorio autonomo di Nunavut</w:t>
      </w:r>
      <w:r w:rsidR="0096013D" w:rsidRPr="003A2740">
        <w:rPr>
          <w:color w:val="000000"/>
          <w:lang w:val="it-IT"/>
        </w:rPr>
        <w:t xml:space="preserve"> è teoricamente </w:t>
      </w:r>
      <w:r w:rsidR="004E5133" w:rsidRPr="003A2740">
        <w:rPr>
          <w:color w:val="000000"/>
          <w:lang w:val="it-IT"/>
        </w:rPr>
        <w:t>possibile acquistare terre, ma per via della sua peculiarità etnico-culturale, quasi la totalità delle stesse è di proprietà collettiva, gestita dalle Municipalità, e non</w:t>
      </w:r>
      <w:r w:rsidR="004E5133" w:rsidRPr="008F7718">
        <w:rPr>
          <w:rFonts w:cs="Calibri"/>
          <w:color w:val="000000" w:themeColor="text1"/>
          <w:lang w:val="it-IT"/>
        </w:rPr>
        <w:t xml:space="preserve"> può essere venduta, nemmeno ai </w:t>
      </w:r>
      <w:r w:rsidR="0038184D" w:rsidRPr="008F7718">
        <w:rPr>
          <w:rFonts w:cs="Calibri"/>
          <w:color w:val="000000" w:themeColor="text1"/>
          <w:lang w:val="it-IT"/>
        </w:rPr>
        <w:t>cittadini canadesi che risiedono lì</w:t>
      </w:r>
      <w:r w:rsidR="004E5133" w:rsidRPr="008F7718">
        <w:rPr>
          <w:rFonts w:cs="Calibri"/>
          <w:color w:val="000000" w:themeColor="text1"/>
          <w:lang w:val="it-IT"/>
        </w:rPr>
        <w:t xml:space="preserve">, ma solo affittata. È la norma quindi che una persona sia proprietaria di un immobile, ma non del terreno su cui sorge. </w:t>
      </w:r>
    </w:p>
    <w:p w:rsidR="008B3088" w:rsidRPr="008F7718" w:rsidRDefault="00707D8B" w:rsidP="00476A5A">
      <w:pPr>
        <w:pStyle w:val="Paragrafoelenco"/>
        <w:numPr>
          <w:ilvl w:val="0"/>
          <w:numId w:val="4"/>
        </w:numPr>
        <w:autoSpaceDE w:val="0"/>
        <w:autoSpaceDN w:val="0"/>
        <w:adjustRightInd w:val="0"/>
        <w:spacing w:before="120" w:after="0" w:line="240" w:lineRule="auto"/>
        <w:jc w:val="both"/>
        <w:rPr>
          <w:rFonts w:cs="Calibri"/>
          <w:color w:val="000000" w:themeColor="text1"/>
          <w:lang w:val="it-IT"/>
        </w:rPr>
      </w:pPr>
      <w:r>
        <w:rPr>
          <w:rFonts w:cs="Calibri"/>
          <w:color w:val="000000" w:themeColor="text1"/>
          <w:lang w:val="it-IT"/>
        </w:rPr>
        <w:t>n</w:t>
      </w:r>
      <w:r w:rsidR="00DB6F8B" w:rsidRPr="008F7718">
        <w:rPr>
          <w:rFonts w:cs="Calibri"/>
          <w:color w:val="000000" w:themeColor="text1"/>
          <w:lang w:val="it-IT"/>
        </w:rPr>
        <w:t>ell’</w:t>
      </w:r>
      <w:r w:rsidR="00113DA3" w:rsidRPr="008F7718">
        <w:rPr>
          <w:rFonts w:cs="Calibri"/>
          <w:color w:val="000000" w:themeColor="text1"/>
          <w:lang w:val="it-IT"/>
        </w:rPr>
        <w:t>Isola del Principe Edoardo</w:t>
      </w:r>
      <w:r w:rsidR="008B3088" w:rsidRPr="008F7718">
        <w:rPr>
          <w:rFonts w:cs="Calibri"/>
          <w:color w:val="000000" w:themeColor="text1"/>
          <w:lang w:val="it-IT"/>
        </w:rPr>
        <w:t xml:space="preserve"> i non residenti (comprese persone che vivono in altre Province del Canada) non possono acquistare proprietà che abbiano un’estensione di più di cinque acri di terra o </w:t>
      </w:r>
      <w:r w:rsidR="008B3088" w:rsidRPr="008F7718">
        <w:rPr>
          <w:rFonts w:cs="Calibri"/>
          <w:color w:val="000000" w:themeColor="text1"/>
          <w:lang w:val="it-IT"/>
        </w:rPr>
        <w:lastRenderedPageBreak/>
        <w:t xml:space="preserve">un affaccio al mare superiore ai 50 metri, a meno di non ottenere uno speciale permesso dalle autorità locali. </w:t>
      </w:r>
    </w:p>
    <w:p w:rsidR="00EF64C8" w:rsidRPr="008F7718" w:rsidRDefault="00EF64C8" w:rsidP="00476A5A">
      <w:pPr>
        <w:autoSpaceDE w:val="0"/>
        <w:autoSpaceDN w:val="0"/>
        <w:adjustRightInd w:val="0"/>
        <w:spacing w:before="120" w:after="0" w:line="240" w:lineRule="auto"/>
        <w:jc w:val="both"/>
        <w:rPr>
          <w:rFonts w:cs="Calibri"/>
          <w:b/>
          <w:color w:val="000000" w:themeColor="text1"/>
          <w:lang w:val="it-IT"/>
        </w:rPr>
      </w:pPr>
    </w:p>
    <w:p w:rsidR="008B5090" w:rsidRPr="005C384E" w:rsidRDefault="00073C9C" w:rsidP="00476A5A">
      <w:pPr>
        <w:autoSpaceDE w:val="0"/>
        <w:autoSpaceDN w:val="0"/>
        <w:adjustRightInd w:val="0"/>
        <w:spacing w:before="120" w:after="0" w:line="240" w:lineRule="auto"/>
        <w:jc w:val="both"/>
        <w:rPr>
          <w:rFonts w:cs="Calibri"/>
          <w:color w:val="000000" w:themeColor="text1"/>
          <w:sz w:val="24"/>
          <w:szCs w:val="24"/>
          <w:lang w:val="it-IT"/>
        </w:rPr>
      </w:pPr>
      <w:r w:rsidRPr="005C384E">
        <w:rPr>
          <w:rFonts w:cs="Calibri"/>
          <w:color w:val="000000" w:themeColor="text1"/>
          <w:sz w:val="24"/>
          <w:szCs w:val="24"/>
          <w:lang w:val="it-IT"/>
        </w:rPr>
        <w:t>COSTITUZIONE O ACQUISTO DI SOCIETA’</w:t>
      </w:r>
    </w:p>
    <w:p w:rsidR="00071DDB" w:rsidRPr="005C384E" w:rsidRDefault="00071DDB" w:rsidP="00476A5A">
      <w:pPr>
        <w:autoSpaceDE w:val="0"/>
        <w:autoSpaceDN w:val="0"/>
        <w:adjustRightInd w:val="0"/>
        <w:spacing w:before="120" w:after="0" w:line="240" w:lineRule="auto"/>
        <w:jc w:val="both"/>
        <w:rPr>
          <w:rFonts w:cs="Calibri"/>
          <w:color w:val="000000" w:themeColor="text1"/>
          <w:sz w:val="4"/>
          <w:szCs w:val="4"/>
          <w:lang w:val="it-IT"/>
        </w:rPr>
      </w:pPr>
    </w:p>
    <w:p w:rsidR="006A78DA" w:rsidRPr="008F7718" w:rsidRDefault="00720D14" w:rsidP="00476A5A">
      <w:pPr>
        <w:autoSpaceDE w:val="0"/>
        <w:autoSpaceDN w:val="0"/>
        <w:adjustRightInd w:val="0"/>
        <w:spacing w:before="120" w:after="0" w:line="240" w:lineRule="auto"/>
        <w:jc w:val="both"/>
        <w:rPr>
          <w:rFonts w:cs="Calibri"/>
          <w:color w:val="000000" w:themeColor="text1"/>
          <w:highlight w:val="white"/>
          <w:lang w:val="it-IT"/>
        </w:rPr>
      </w:pPr>
      <w:r w:rsidRPr="008F7718">
        <w:rPr>
          <w:rFonts w:cs="Calibri"/>
          <w:color w:val="000000" w:themeColor="text1"/>
          <w:highlight w:val="white"/>
          <w:lang w:val="it-IT"/>
        </w:rPr>
        <w:t xml:space="preserve">In Canada le società </w:t>
      </w:r>
      <w:r w:rsidR="00E6299B" w:rsidRPr="008F7718">
        <w:rPr>
          <w:rFonts w:cs="Calibri"/>
          <w:color w:val="000000" w:themeColor="text1"/>
          <w:highlight w:val="white"/>
          <w:lang w:val="it-IT"/>
        </w:rPr>
        <w:t xml:space="preserve">(Corporation) </w:t>
      </w:r>
      <w:r w:rsidRPr="008F7718">
        <w:rPr>
          <w:rFonts w:cs="Calibri"/>
          <w:color w:val="000000" w:themeColor="text1"/>
          <w:highlight w:val="white"/>
          <w:lang w:val="it-IT"/>
        </w:rPr>
        <w:t xml:space="preserve">possono essere costituite </w:t>
      </w:r>
      <w:r w:rsidR="006B2352" w:rsidRPr="008F7718">
        <w:rPr>
          <w:rFonts w:cs="Calibri"/>
          <w:color w:val="000000" w:themeColor="text1"/>
          <w:highlight w:val="white"/>
          <w:lang w:val="it-IT"/>
        </w:rPr>
        <w:t xml:space="preserve">a livello provinciale, </w:t>
      </w:r>
      <w:r w:rsidRPr="008F7718">
        <w:rPr>
          <w:rFonts w:cs="Calibri"/>
          <w:color w:val="000000" w:themeColor="text1"/>
          <w:highlight w:val="white"/>
          <w:lang w:val="it-IT"/>
        </w:rPr>
        <w:t>se operative in una sola Provincia</w:t>
      </w:r>
      <w:r w:rsidR="006B2352" w:rsidRPr="008F7718">
        <w:rPr>
          <w:rFonts w:cs="Calibri"/>
          <w:color w:val="000000" w:themeColor="text1"/>
          <w:highlight w:val="white"/>
          <w:lang w:val="it-IT"/>
        </w:rPr>
        <w:t>,</w:t>
      </w:r>
      <w:r w:rsidRPr="008F7718">
        <w:rPr>
          <w:rFonts w:cs="Calibri"/>
          <w:color w:val="000000" w:themeColor="text1"/>
          <w:highlight w:val="white"/>
          <w:lang w:val="it-IT"/>
        </w:rPr>
        <w:t xml:space="preserve"> o federale</w:t>
      </w:r>
      <w:r w:rsidR="006B2352" w:rsidRPr="008F7718">
        <w:rPr>
          <w:rFonts w:cs="Calibri"/>
          <w:color w:val="000000" w:themeColor="text1"/>
          <w:highlight w:val="white"/>
          <w:lang w:val="it-IT"/>
        </w:rPr>
        <w:t xml:space="preserve">, </w:t>
      </w:r>
      <w:r w:rsidRPr="008F7718">
        <w:rPr>
          <w:rFonts w:cs="Calibri"/>
          <w:color w:val="000000" w:themeColor="text1"/>
          <w:highlight w:val="white"/>
          <w:lang w:val="it-IT"/>
        </w:rPr>
        <w:t xml:space="preserve">con facoltà di operare in tutto il territorio nazionale. </w:t>
      </w:r>
    </w:p>
    <w:p w:rsidR="00303BE1" w:rsidRPr="008F7718" w:rsidRDefault="00795FB7" w:rsidP="00476A5A">
      <w:pPr>
        <w:autoSpaceDE w:val="0"/>
        <w:autoSpaceDN w:val="0"/>
        <w:adjustRightInd w:val="0"/>
        <w:spacing w:before="120" w:after="0" w:line="240" w:lineRule="auto"/>
        <w:jc w:val="both"/>
        <w:rPr>
          <w:rFonts w:cs="Calibri"/>
          <w:color w:val="000000" w:themeColor="text1"/>
          <w:lang w:val="it-IT"/>
        </w:rPr>
      </w:pPr>
      <w:r w:rsidRPr="008F7718">
        <w:rPr>
          <w:rFonts w:cs="Calibri"/>
          <w:color w:val="000000" w:themeColor="text1"/>
          <w:lang w:val="it-IT"/>
        </w:rPr>
        <w:t>A livello federale, a</w:t>
      </w:r>
      <w:r w:rsidR="006A78DA" w:rsidRPr="008F7718">
        <w:rPr>
          <w:rFonts w:cs="Calibri"/>
          <w:color w:val="000000" w:themeColor="text1"/>
          <w:highlight w:val="white"/>
          <w:lang w:val="it-IT"/>
        </w:rPr>
        <w:t xml:space="preserve">d eccezione delle attività operanti nel settore culturale per le quali è prevista una </w:t>
      </w:r>
      <w:r w:rsidRPr="008F7718">
        <w:rPr>
          <w:rFonts w:cs="Calibri"/>
          <w:color w:val="000000" w:themeColor="text1"/>
          <w:highlight w:val="white"/>
          <w:lang w:val="it-IT"/>
        </w:rPr>
        <w:t xml:space="preserve">specifica </w:t>
      </w:r>
      <w:r w:rsidR="006A78DA" w:rsidRPr="008F7718">
        <w:rPr>
          <w:rFonts w:cs="Calibri"/>
          <w:color w:val="000000" w:themeColor="text1"/>
          <w:highlight w:val="white"/>
          <w:lang w:val="it-IT"/>
        </w:rPr>
        <w:t>disciplina</w:t>
      </w:r>
      <w:r w:rsidRPr="008F7718">
        <w:rPr>
          <w:rFonts w:cs="Calibri"/>
          <w:color w:val="000000" w:themeColor="text1"/>
          <w:lang w:val="it-IT"/>
        </w:rPr>
        <w:t>, g</w:t>
      </w:r>
      <w:r w:rsidR="006A78DA" w:rsidRPr="008F7718">
        <w:rPr>
          <w:rFonts w:cs="Calibri"/>
          <w:color w:val="000000" w:themeColor="text1"/>
          <w:lang w:val="it-IT"/>
        </w:rPr>
        <w:t xml:space="preserve">li investitori </w:t>
      </w:r>
      <w:r w:rsidRPr="008F7718">
        <w:rPr>
          <w:rFonts w:cs="Calibri"/>
          <w:color w:val="000000" w:themeColor="text1"/>
          <w:lang w:val="it-IT"/>
        </w:rPr>
        <w:t xml:space="preserve">stranieri </w:t>
      </w:r>
      <w:r w:rsidR="006A78DA" w:rsidRPr="008F7718">
        <w:rPr>
          <w:rFonts w:cs="Calibri"/>
          <w:color w:val="000000" w:themeColor="text1"/>
          <w:lang w:val="it-IT"/>
        </w:rPr>
        <w:t>possono costituire un’impresa in Canada o acquisire il co</w:t>
      </w:r>
      <w:r w:rsidR="00303BE1" w:rsidRPr="008F7718">
        <w:rPr>
          <w:rFonts w:cs="Calibri"/>
          <w:color w:val="000000" w:themeColor="text1"/>
          <w:lang w:val="it-IT"/>
        </w:rPr>
        <w:t xml:space="preserve">ntrollo di un’impresa canadese, </w:t>
      </w:r>
      <w:r w:rsidRPr="008F7718">
        <w:rPr>
          <w:rFonts w:cs="Calibri"/>
          <w:color w:val="000000" w:themeColor="text1"/>
          <w:lang w:val="it-IT"/>
        </w:rPr>
        <w:t>al</w:t>
      </w:r>
      <w:r w:rsidR="00303BE1" w:rsidRPr="008F7718">
        <w:rPr>
          <w:rFonts w:cs="Calibri"/>
          <w:color w:val="000000" w:themeColor="text1"/>
          <w:lang w:val="it-IT"/>
        </w:rPr>
        <w:t xml:space="preserve">le seguenti </w:t>
      </w:r>
      <w:r w:rsidRPr="008F7718">
        <w:rPr>
          <w:rFonts w:cs="Calibri"/>
          <w:color w:val="000000" w:themeColor="text1"/>
          <w:lang w:val="it-IT"/>
        </w:rPr>
        <w:t>condizioni</w:t>
      </w:r>
      <w:r w:rsidR="00303BE1" w:rsidRPr="008F7718">
        <w:rPr>
          <w:rFonts w:cs="Calibri"/>
          <w:color w:val="000000" w:themeColor="text1"/>
          <w:lang w:val="it-IT"/>
        </w:rPr>
        <w:t>:</w:t>
      </w:r>
    </w:p>
    <w:p w:rsidR="00303BE1" w:rsidRPr="008F7718" w:rsidRDefault="00303BE1" w:rsidP="00476A5A">
      <w:pPr>
        <w:pStyle w:val="Paragrafoelenco"/>
        <w:numPr>
          <w:ilvl w:val="0"/>
          <w:numId w:val="3"/>
        </w:numPr>
        <w:autoSpaceDE w:val="0"/>
        <w:autoSpaceDN w:val="0"/>
        <w:adjustRightInd w:val="0"/>
        <w:spacing w:before="120" w:after="0" w:line="240" w:lineRule="auto"/>
        <w:jc w:val="both"/>
        <w:rPr>
          <w:rFonts w:cs="Calibri"/>
          <w:color w:val="000000" w:themeColor="text1"/>
          <w:lang w:val="it-IT"/>
        </w:rPr>
      </w:pPr>
      <w:r w:rsidRPr="008F7718">
        <w:rPr>
          <w:rFonts w:cs="Calibri"/>
          <w:color w:val="000000" w:themeColor="text1"/>
          <w:lang w:val="it-IT"/>
        </w:rPr>
        <w:t>s</w:t>
      </w:r>
      <w:r w:rsidR="006A78DA" w:rsidRPr="008F7718">
        <w:rPr>
          <w:rFonts w:cs="Calibri"/>
          <w:color w:val="000000" w:themeColor="text1"/>
          <w:lang w:val="it-IT"/>
        </w:rPr>
        <w:t xml:space="preserve">e l’operazione è superiore a 1,5 miliardi CAD (soglia valida per i Paesi CETA) si avvia una </w:t>
      </w:r>
      <w:r w:rsidRPr="008F7718">
        <w:rPr>
          <w:rFonts w:cs="Calibri"/>
          <w:color w:val="000000" w:themeColor="text1"/>
          <w:lang w:val="it-IT"/>
        </w:rPr>
        <w:t xml:space="preserve">specifica </w:t>
      </w:r>
      <w:r w:rsidR="006A78DA" w:rsidRPr="008F7718">
        <w:rPr>
          <w:rFonts w:cs="Calibri"/>
          <w:color w:val="000000" w:themeColor="text1"/>
          <w:lang w:val="it-IT"/>
        </w:rPr>
        <w:t>procedura di revisione</w:t>
      </w:r>
      <w:r w:rsidR="00C73CE3" w:rsidRPr="008F7718">
        <w:rPr>
          <w:rFonts w:cs="Calibri"/>
          <w:color w:val="000000" w:themeColor="text1"/>
          <w:lang w:val="it-IT"/>
        </w:rPr>
        <w:t xml:space="preserve"> che si svolge presso il Ministero dell’Innovazione</w:t>
      </w:r>
      <w:r w:rsidRPr="008F7718">
        <w:rPr>
          <w:rFonts w:cs="Calibri"/>
          <w:color w:val="000000" w:themeColor="text1"/>
          <w:lang w:val="it-IT"/>
        </w:rPr>
        <w:t xml:space="preserve">, il quale effettua una valutazione sulla sussistenza di un beneficio netto per il Paese (c.d. </w:t>
      </w:r>
      <w:r w:rsidR="00795FB7" w:rsidRPr="008F7718">
        <w:rPr>
          <w:rFonts w:cs="Calibri"/>
          <w:color w:val="000000" w:themeColor="text1"/>
          <w:lang w:val="it-IT"/>
        </w:rPr>
        <w:t>n</w:t>
      </w:r>
      <w:r w:rsidRPr="008F7718">
        <w:rPr>
          <w:rFonts w:cs="Calibri"/>
          <w:color w:val="000000" w:themeColor="text1"/>
          <w:lang w:val="it-IT"/>
        </w:rPr>
        <w:t xml:space="preserve">et </w:t>
      </w:r>
      <w:r w:rsidR="00795FB7" w:rsidRPr="008F7718">
        <w:rPr>
          <w:rFonts w:cs="Calibri"/>
          <w:color w:val="000000" w:themeColor="text1"/>
          <w:lang w:val="it-IT"/>
        </w:rPr>
        <w:t>b</w:t>
      </w:r>
      <w:r w:rsidRPr="008F7718">
        <w:rPr>
          <w:rFonts w:cs="Calibri"/>
          <w:color w:val="000000" w:themeColor="text1"/>
          <w:lang w:val="it-IT"/>
        </w:rPr>
        <w:t>enefit);</w:t>
      </w:r>
    </w:p>
    <w:p w:rsidR="00C73CE3" w:rsidRPr="008F7718" w:rsidRDefault="00303BE1" w:rsidP="00476A5A">
      <w:pPr>
        <w:pStyle w:val="Paragrafoelenco"/>
        <w:numPr>
          <w:ilvl w:val="0"/>
          <w:numId w:val="3"/>
        </w:numPr>
        <w:autoSpaceDE w:val="0"/>
        <w:autoSpaceDN w:val="0"/>
        <w:adjustRightInd w:val="0"/>
        <w:spacing w:before="120" w:after="0" w:line="240" w:lineRule="auto"/>
        <w:jc w:val="both"/>
        <w:rPr>
          <w:rFonts w:cs="Calibri"/>
          <w:color w:val="000000" w:themeColor="text1"/>
          <w:lang w:val="it-IT"/>
        </w:rPr>
      </w:pPr>
      <w:r w:rsidRPr="008F7718">
        <w:rPr>
          <w:rFonts w:cs="Calibri"/>
          <w:color w:val="000000" w:themeColor="text1"/>
          <w:highlight w:val="white"/>
          <w:lang w:val="it-IT"/>
        </w:rPr>
        <w:t>per tutte le operazioni</w:t>
      </w:r>
      <w:r w:rsidR="00B90FF9" w:rsidRPr="008F7718">
        <w:rPr>
          <w:rFonts w:cs="Calibri"/>
          <w:color w:val="000000" w:themeColor="text1"/>
          <w:lang w:val="it-IT"/>
        </w:rPr>
        <w:t>,</w:t>
      </w:r>
      <w:r w:rsidR="00071DDB">
        <w:rPr>
          <w:rFonts w:cs="Calibri"/>
          <w:color w:val="000000" w:themeColor="text1"/>
          <w:lang w:val="it-IT"/>
        </w:rPr>
        <w:t xml:space="preserve"> </w:t>
      </w:r>
      <w:r w:rsidR="006B2352" w:rsidRPr="008F7718">
        <w:rPr>
          <w:rFonts w:cs="Calibri"/>
          <w:color w:val="000000" w:themeColor="text1"/>
          <w:lang w:val="it-IT"/>
        </w:rPr>
        <w:t>a prescindere dal loro importo</w:t>
      </w:r>
      <w:r w:rsidR="00B90FF9" w:rsidRPr="008F7718">
        <w:rPr>
          <w:rFonts w:cs="Calibri"/>
          <w:color w:val="000000" w:themeColor="text1"/>
          <w:lang w:val="it-IT"/>
        </w:rPr>
        <w:t>,</w:t>
      </w:r>
      <w:r w:rsidR="00071DDB">
        <w:rPr>
          <w:rFonts w:cs="Calibri"/>
          <w:color w:val="000000" w:themeColor="text1"/>
          <w:lang w:val="it-IT"/>
        </w:rPr>
        <w:t xml:space="preserve"> </w:t>
      </w:r>
      <w:r w:rsidR="006A78DA" w:rsidRPr="008F7718">
        <w:rPr>
          <w:rFonts w:cs="Calibri"/>
          <w:color w:val="000000" w:themeColor="text1"/>
          <w:lang w:val="it-IT"/>
        </w:rPr>
        <w:t xml:space="preserve">è comunque </w:t>
      </w:r>
      <w:r w:rsidR="00C73CE3" w:rsidRPr="008F7718">
        <w:rPr>
          <w:rFonts w:cs="Calibri"/>
          <w:color w:val="000000" w:themeColor="text1"/>
          <w:lang w:val="it-IT"/>
        </w:rPr>
        <w:t xml:space="preserve">previsto un obbligo di </w:t>
      </w:r>
      <w:r w:rsidR="006A78DA" w:rsidRPr="008F7718">
        <w:rPr>
          <w:rFonts w:cs="Calibri"/>
          <w:color w:val="000000" w:themeColor="text1"/>
          <w:lang w:val="it-IT"/>
        </w:rPr>
        <w:t>notifica</w:t>
      </w:r>
      <w:r w:rsidR="00C73CE3" w:rsidRPr="008F7718">
        <w:rPr>
          <w:rFonts w:cs="Calibri"/>
          <w:color w:val="000000" w:themeColor="text1"/>
          <w:lang w:val="it-IT"/>
        </w:rPr>
        <w:t xml:space="preserve">. Il Governo canadese si riserva </w:t>
      </w:r>
      <w:r w:rsidRPr="008F7718">
        <w:rPr>
          <w:rFonts w:cs="Calibri"/>
          <w:color w:val="000000" w:themeColor="text1"/>
          <w:lang w:val="it-IT"/>
        </w:rPr>
        <w:t xml:space="preserve">infatti </w:t>
      </w:r>
      <w:r w:rsidR="00C73CE3" w:rsidRPr="008F7718">
        <w:rPr>
          <w:rFonts w:cs="Calibri"/>
          <w:color w:val="000000" w:themeColor="text1"/>
          <w:lang w:val="it-IT"/>
        </w:rPr>
        <w:t xml:space="preserve">la facoltà di rivedere tutti gli investimenti proposti (compresi gli investimenti minori) </w:t>
      </w:r>
      <w:r w:rsidR="00B90FF9" w:rsidRPr="008F7718">
        <w:rPr>
          <w:rFonts w:cs="Calibri"/>
          <w:color w:val="000000" w:themeColor="text1"/>
          <w:lang w:val="it-IT"/>
        </w:rPr>
        <w:t xml:space="preserve">per valutare l’eventuale sussistenza di elementi in grado di </w:t>
      </w:r>
      <w:r w:rsidRPr="008F7718">
        <w:rPr>
          <w:rFonts w:cs="Calibri"/>
          <w:color w:val="000000" w:themeColor="text1"/>
          <w:lang w:val="it-IT"/>
        </w:rPr>
        <w:t xml:space="preserve">ledere </w:t>
      </w:r>
      <w:r w:rsidR="00B90FF9" w:rsidRPr="008F7718">
        <w:rPr>
          <w:rFonts w:cs="Calibri"/>
          <w:color w:val="000000" w:themeColor="text1"/>
          <w:lang w:val="it-IT"/>
        </w:rPr>
        <w:t xml:space="preserve">la </w:t>
      </w:r>
      <w:r w:rsidR="00C73CE3" w:rsidRPr="008F7718">
        <w:rPr>
          <w:rFonts w:cs="Calibri"/>
          <w:color w:val="000000" w:themeColor="text1"/>
          <w:lang w:val="it-IT"/>
        </w:rPr>
        <w:t xml:space="preserve">sicurezza nazionale. </w:t>
      </w:r>
    </w:p>
    <w:p w:rsidR="00303BE1" w:rsidRPr="00073C9C" w:rsidRDefault="00220881" w:rsidP="00476A5A">
      <w:pPr>
        <w:spacing w:before="120" w:after="0"/>
        <w:rPr>
          <w:rFonts w:cs="Calibri"/>
          <w:color w:val="000000" w:themeColor="text1"/>
          <w:lang w:val="it-IT"/>
        </w:rPr>
      </w:pPr>
      <w:r>
        <w:rPr>
          <w:rFonts w:cs="Calibri"/>
          <w:color w:val="000000" w:themeColor="text1"/>
          <w:lang w:val="it-IT"/>
        </w:rPr>
        <w:t>Il Ministero dell’Innovazione lancia annualmente un</w:t>
      </w:r>
      <w:r w:rsidR="00073C9C">
        <w:rPr>
          <w:rFonts w:cs="Calibri"/>
          <w:color w:val="000000" w:themeColor="text1"/>
          <w:lang w:val="it-IT"/>
        </w:rPr>
        <w:t xml:space="preserve"> </w:t>
      </w:r>
      <w:hyperlink r:id="rId10" w:history="1">
        <w:r w:rsidR="00303BE1" w:rsidRPr="00073C9C">
          <w:rPr>
            <w:rStyle w:val="Collegamentoipertestuale"/>
            <w:rFonts w:cs="Calibri"/>
            <w:color w:val="000000" w:themeColor="text1"/>
            <w:u w:val="none"/>
            <w:lang w:val="it-IT"/>
          </w:rPr>
          <w:t>rapporto ufficiale</w:t>
        </w:r>
      </w:hyperlink>
      <w:r w:rsidR="00073C9C" w:rsidRPr="00073C9C">
        <w:rPr>
          <w:lang w:val="it-IT"/>
        </w:rPr>
        <w:t xml:space="preserve"> </w:t>
      </w:r>
      <w:r w:rsidRPr="00073C9C">
        <w:rPr>
          <w:rFonts w:cs="Calibri"/>
          <w:color w:val="000000" w:themeColor="text1"/>
          <w:lang w:val="it-IT"/>
        </w:rPr>
        <w:t xml:space="preserve">contenente informazioni e statistiche </w:t>
      </w:r>
      <w:r w:rsidR="00303BE1" w:rsidRPr="00073C9C">
        <w:rPr>
          <w:rFonts w:cs="Calibri"/>
          <w:color w:val="000000" w:themeColor="text1"/>
          <w:lang w:val="it-IT"/>
        </w:rPr>
        <w:t>sull’applicazione dell’</w:t>
      </w:r>
      <w:hyperlink r:id="rId11" w:history="1">
        <w:r w:rsidR="00303BE1" w:rsidRPr="00073C9C">
          <w:rPr>
            <w:rStyle w:val="Collegamentoipertestuale"/>
            <w:rFonts w:cs="Calibri"/>
            <w:color w:val="000000" w:themeColor="text1"/>
            <w:u w:val="none"/>
            <w:lang w:val="it-IT"/>
          </w:rPr>
          <w:t>Investment Canada Act</w:t>
        </w:r>
      </w:hyperlink>
      <w:r w:rsidRPr="00073C9C">
        <w:rPr>
          <w:rFonts w:cs="Calibri"/>
          <w:color w:val="000000" w:themeColor="text1"/>
          <w:lang w:val="it-IT"/>
        </w:rPr>
        <w:t>.</w:t>
      </w:r>
    </w:p>
    <w:p w:rsidR="00720D14" w:rsidRPr="008F7718" w:rsidRDefault="00B90FF9" w:rsidP="00476A5A">
      <w:pPr>
        <w:autoSpaceDE w:val="0"/>
        <w:autoSpaceDN w:val="0"/>
        <w:adjustRightInd w:val="0"/>
        <w:spacing w:before="120" w:after="0" w:line="240" w:lineRule="auto"/>
        <w:jc w:val="both"/>
        <w:rPr>
          <w:rFonts w:cs="Calibri"/>
          <w:color w:val="000000" w:themeColor="text1"/>
          <w:highlight w:val="white"/>
          <w:lang w:val="it-IT"/>
        </w:rPr>
      </w:pPr>
      <w:r w:rsidRPr="008F7718">
        <w:rPr>
          <w:rFonts w:cs="Calibri"/>
          <w:color w:val="000000" w:themeColor="text1"/>
          <w:highlight w:val="white"/>
          <w:lang w:val="it-IT"/>
        </w:rPr>
        <w:t>A livello provinciale, p</w:t>
      </w:r>
      <w:r w:rsidR="00720D14" w:rsidRPr="008F7718">
        <w:rPr>
          <w:rFonts w:cs="Calibri"/>
          <w:color w:val="000000" w:themeColor="text1"/>
          <w:highlight w:val="white"/>
          <w:lang w:val="it-IT"/>
        </w:rPr>
        <w:t xml:space="preserve">er quanto attiene alle società </w:t>
      </w:r>
      <w:r w:rsidRPr="008F7718">
        <w:rPr>
          <w:rFonts w:cs="Calibri"/>
          <w:color w:val="000000" w:themeColor="text1"/>
          <w:highlight w:val="white"/>
          <w:lang w:val="it-IT"/>
        </w:rPr>
        <w:t>incorporate in</w:t>
      </w:r>
      <w:r w:rsidR="00073C9C">
        <w:rPr>
          <w:rFonts w:cs="Calibri"/>
          <w:color w:val="000000" w:themeColor="text1"/>
          <w:highlight w:val="white"/>
          <w:lang w:val="it-IT"/>
        </w:rPr>
        <w:t xml:space="preserve"> </w:t>
      </w:r>
      <w:r w:rsidR="00720D14" w:rsidRPr="008F7718">
        <w:rPr>
          <w:rFonts w:cs="Calibri"/>
          <w:color w:val="000000" w:themeColor="text1"/>
          <w:highlight w:val="white"/>
          <w:lang w:val="it-IT"/>
        </w:rPr>
        <w:t xml:space="preserve">British Columbia, non sussistono limiti di operatività per i cittadini italiani, né con riferimento a requisiti di cittadinanza, né di residenza, né di acquisto di partecipazioni. </w:t>
      </w:r>
    </w:p>
    <w:p w:rsidR="00EF64C8" w:rsidRPr="008F7718" w:rsidRDefault="00DB6F8B" w:rsidP="00476A5A">
      <w:pPr>
        <w:autoSpaceDE w:val="0"/>
        <w:autoSpaceDN w:val="0"/>
        <w:adjustRightInd w:val="0"/>
        <w:spacing w:before="120" w:after="0" w:line="240" w:lineRule="auto"/>
        <w:jc w:val="both"/>
        <w:rPr>
          <w:rFonts w:cs="Calibri"/>
          <w:color w:val="000000" w:themeColor="text1"/>
          <w:highlight w:val="white"/>
          <w:lang w:val="it-IT"/>
        </w:rPr>
      </w:pPr>
      <w:r w:rsidRPr="008F7718">
        <w:rPr>
          <w:rFonts w:cs="Calibri"/>
          <w:color w:val="000000" w:themeColor="text1"/>
          <w:lang w:val="it-IT"/>
        </w:rPr>
        <w:t>Nel Territorio autonomo di Nunavut</w:t>
      </w:r>
      <w:r w:rsidR="0096013D" w:rsidRPr="008F7718">
        <w:rPr>
          <w:rFonts w:cs="Calibri"/>
          <w:color w:val="000000" w:themeColor="text1"/>
          <w:highlight w:val="white"/>
          <w:lang w:val="it-IT"/>
        </w:rPr>
        <w:t xml:space="preserve">non esistono limitazioni, per quanto per ottenere incentivi ed appalti pubblici è </w:t>
      </w:r>
      <w:r w:rsidR="00592E10" w:rsidRPr="008F7718">
        <w:rPr>
          <w:rFonts w:cs="Calibri"/>
          <w:color w:val="000000" w:themeColor="text1"/>
          <w:highlight w:val="white"/>
          <w:lang w:val="it-IT"/>
        </w:rPr>
        <w:t xml:space="preserve">praticamente indispensabile associarsi a soci locali. </w:t>
      </w:r>
    </w:p>
    <w:p w:rsidR="00271DF1" w:rsidRPr="008F7718" w:rsidRDefault="00271DF1" w:rsidP="00476A5A">
      <w:pPr>
        <w:autoSpaceDE w:val="0"/>
        <w:autoSpaceDN w:val="0"/>
        <w:adjustRightInd w:val="0"/>
        <w:spacing w:before="120" w:after="0" w:line="240" w:lineRule="auto"/>
        <w:jc w:val="both"/>
        <w:rPr>
          <w:rFonts w:cs="Calibri"/>
          <w:color w:val="000000" w:themeColor="text1"/>
          <w:highlight w:val="white"/>
          <w:lang w:val="it-IT"/>
        </w:rPr>
      </w:pPr>
      <w:r w:rsidRPr="008F7718">
        <w:rPr>
          <w:rFonts w:cs="Calibri"/>
          <w:color w:val="000000" w:themeColor="text1"/>
          <w:highlight w:val="white"/>
          <w:lang w:val="it-IT"/>
        </w:rPr>
        <w:t xml:space="preserve">Non si registrano particolari restrizioni per </w:t>
      </w:r>
      <w:r w:rsidR="00113DA3" w:rsidRPr="008F7718">
        <w:rPr>
          <w:rFonts w:cs="Calibri"/>
          <w:color w:val="000000" w:themeColor="text1"/>
          <w:highlight w:val="white"/>
          <w:lang w:val="it-IT"/>
        </w:rPr>
        <w:t>Nuovo Brunswick</w:t>
      </w:r>
      <w:r w:rsidRPr="008F7718">
        <w:rPr>
          <w:rFonts w:cs="Calibri"/>
          <w:color w:val="000000" w:themeColor="text1"/>
          <w:highlight w:val="white"/>
          <w:lang w:val="it-IT"/>
        </w:rPr>
        <w:t xml:space="preserve">, </w:t>
      </w:r>
      <w:r w:rsidR="00113DA3" w:rsidRPr="008F7718">
        <w:rPr>
          <w:rFonts w:cs="Calibri"/>
          <w:color w:val="000000" w:themeColor="text1"/>
          <w:highlight w:val="white"/>
          <w:lang w:val="it-IT"/>
        </w:rPr>
        <w:t>Isola del Principe Edoardo</w:t>
      </w:r>
      <w:r w:rsidRPr="008F7718">
        <w:rPr>
          <w:rFonts w:cs="Calibri"/>
          <w:color w:val="000000" w:themeColor="text1"/>
          <w:highlight w:val="white"/>
          <w:lang w:val="it-IT"/>
        </w:rPr>
        <w:t xml:space="preserve">, </w:t>
      </w:r>
      <w:r w:rsidR="00113DA3" w:rsidRPr="008F7718">
        <w:rPr>
          <w:rFonts w:cs="Calibri"/>
          <w:color w:val="000000" w:themeColor="text1"/>
          <w:highlight w:val="white"/>
          <w:lang w:val="it-IT"/>
        </w:rPr>
        <w:t>Nuova Scozia</w:t>
      </w:r>
      <w:r w:rsidRPr="008F7718">
        <w:rPr>
          <w:rFonts w:cs="Calibri"/>
          <w:color w:val="000000" w:themeColor="text1"/>
          <w:highlight w:val="white"/>
          <w:lang w:val="it-IT"/>
        </w:rPr>
        <w:t xml:space="preserve">, </w:t>
      </w:r>
      <w:r w:rsidR="00AC7D4E" w:rsidRPr="008F7718">
        <w:rPr>
          <w:rFonts w:cs="Calibri"/>
          <w:color w:val="000000" w:themeColor="text1"/>
          <w:highlight w:val="white"/>
          <w:lang w:val="it-IT"/>
        </w:rPr>
        <w:t>Qu</w:t>
      </w:r>
      <w:r w:rsidR="00DB6F8B" w:rsidRPr="008F7718">
        <w:rPr>
          <w:rFonts w:cs="Calibri"/>
          <w:color w:val="000000" w:themeColor="text1"/>
          <w:highlight w:val="white"/>
          <w:lang w:val="it-IT"/>
        </w:rPr>
        <w:t>e</w:t>
      </w:r>
      <w:r w:rsidR="00AC7D4E" w:rsidRPr="008F7718">
        <w:rPr>
          <w:rFonts w:cs="Calibri"/>
          <w:color w:val="000000" w:themeColor="text1"/>
          <w:highlight w:val="white"/>
          <w:lang w:val="it-IT"/>
        </w:rPr>
        <w:t xml:space="preserve">bec e </w:t>
      </w:r>
      <w:r w:rsidR="00113DA3" w:rsidRPr="008F7718">
        <w:rPr>
          <w:rFonts w:cs="Calibri"/>
          <w:color w:val="000000" w:themeColor="text1"/>
          <w:highlight w:val="white"/>
          <w:lang w:val="it-IT"/>
        </w:rPr>
        <w:t>Terranova</w:t>
      </w:r>
      <w:r w:rsidR="00AC7D4E" w:rsidRPr="008F7718">
        <w:rPr>
          <w:rFonts w:cs="Calibri"/>
          <w:color w:val="000000" w:themeColor="text1"/>
          <w:highlight w:val="white"/>
          <w:lang w:val="it-IT"/>
        </w:rPr>
        <w:t xml:space="preserve">. </w:t>
      </w:r>
    </w:p>
    <w:p w:rsidR="00071DDB" w:rsidRDefault="00071DDB" w:rsidP="00476A5A">
      <w:pPr>
        <w:autoSpaceDE w:val="0"/>
        <w:autoSpaceDN w:val="0"/>
        <w:adjustRightInd w:val="0"/>
        <w:spacing w:before="120" w:after="0" w:line="240" w:lineRule="auto"/>
        <w:jc w:val="both"/>
        <w:rPr>
          <w:rFonts w:cs="Calibri"/>
          <w:color w:val="000000" w:themeColor="text1"/>
          <w:highlight w:val="white"/>
          <w:lang w:val="it-IT"/>
        </w:rPr>
      </w:pPr>
    </w:p>
    <w:p w:rsidR="008B5090" w:rsidRPr="005C384E" w:rsidRDefault="008B5090" w:rsidP="00476A5A">
      <w:pPr>
        <w:autoSpaceDE w:val="0"/>
        <w:autoSpaceDN w:val="0"/>
        <w:adjustRightInd w:val="0"/>
        <w:spacing w:before="120" w:after="0" w:line="240" w:lineRule="auto"/>
        <w:jc w:val="both"/>
        <w:rPr>
          <w:rFonts w:cs="Calibri"/>
          <w:color w:val="000000" w:themeColor="text1"/>
          <w:sz w:val="24"/>
          <w:szCs w:val="24"/>
          <w:highlight w:val="white"/>
          <w:lang w:val="it-IT"/>
        </w:rPr>
      </w:pPr>
      <w:r w:rsidRPr="005C384E">
        <w:rPr>
          <w:rFonts w:cs="Calibri"/>
          <w:color w:val="000000" w:themeColor="text1"/>
          <w:sz w:val="24"/>
          <w:szCs w:val="24"/>
          <w:highlight w:val="white"/>
          <w:lang w:val="it-IT"/>
        </w:rPr>
        <w:t>A</w:t>
      </w:r>
      <w:r w:rsidR="00073C9C" w:rsidRPr="005C384E">
        <w:rPr>
          <w:rFonts w:cs="Calibri"/>
          <w:color w:val="000000" w:themeColor="text1"/>
          <w:sz w:val="24"/>
          <w:szCs w:val="24"/>
          <w:highlight w:val="white"/>
          <w:lang w:val="it-IT"/>
        </w:rPr>
        <w:t>SSUNZIONE DI CARICHE SOCIALI</w:t>
      </w:r>
    </w:p>
    <w:p w:rsidR="00071DDB" w:rsidRPr="00071DDB" w:rsidRDefault="00071DDB" w:rsidP="00476A5A">
      <w:pPr>
        <w:autoSpaceDE w:val="0"/>
        <w:autoSpaceDN w:val="0"/>
        <w:adjustRightInd w:val="0"/>
        <w:spacing w:before="120" w:after="0" w:line="240" w:lineRule="auto"/>
        <w:jc w:val="both"/>
        <w:rPr>
          <w:rFonts w:cs="Calibri"/>
          <w:color w:val="000000" w:themeColor="text1"/>
          <w:sz w:val="2"/>
          <w:szCs w:val="2"/>
          <w:highlight w:val="white"/>
          <w:lang w:val="it-IT"/>
        </w:rPr>
      </w:pPr>
    </w:p>
    <w:p w:rsidR="008B5090" w:rsidRPr="008F7718" w:rsidRDefault="008B5090" w:rsidP="00476A5A">
      <w:pPr>
        <w:autoSpaceDE w:val="0"/>
        <w:autoSpaceDN w:val="0"/>
        <w:adjustRightInd w:val="0"/>
        <w:spacing w:before="120" w:after="0" w:line="240" w:lineRule="auto"/>
        <w:jc w:val="both"/>
        <w:rPr>
          <w:rFonts w:cs="Calibri"/>
          <w:color w:val="000000" w:themeColor="text1"/>
          <w:lang w:val="it-IT"/>
        </w:rPr>
      </w:pPr>
      <w:r w:rsidRPr="008F7718">
        <w:rPr>
          <w:rFonts w:cs="Calibri"/>
          <w:color w:val="000000" w:themeColor="text1"/>
          <w:lang w:val="it-IT"/>
        </w:rPr>
        <w:t xml:space="preserve">Come regola generale, a livello </w:t>
      </w:r>
      <w:r w:rsidR="008D54B5" w:rsidRPr="00073C9C">
        <w:rPr>
          <w:rFonts w:cs="Calibri"/>
          <w:color w:val="000000" w:themeColor="text1"/>
          <w:lang w:val="it-IT"/>
        </w:rPr>
        <w:t>f</w:t>
      </w:r>
      <w:r w:rsidRPr="00073C9C">
        <w:rPr>
          <w:rFonts w:cs="Calibri"/>
          <w:color w:val="000000" w:themeColor="text1"/>
          <w:lang w:val="it-IT"/>
        </w:rPr>
        <w:t>ederale</w:t>
      </w:r>
      <w:r w:rsidR="00073C9C" w:rsidRPr="00073C9C">
        <w:rPr>
          <w:rFonts w:cs="Calibri"/>
          <w:color w:val="000000" w:themeColor="text1"/>
          <w:lang w:val="it-IT"/>
        </w:rPr>
        <w:t xml:space="preserve"> </w:t>
      </w:r>
      <w:r w:rsidRPr="00073C9C">
        <w:rPr>
          <w:rFonts w:cs="Calibri"/>
          <w:color w:val="000000" w:themeColor="text1"/>
          <w:lang w:val="it-IT"/>
        </w:rPr>
        <w:t xml:space="preserve">il </w:t>
      </w:r>
      <w:hyperlink r:id="rId12" w:history="1">
        <w:r w:rsidRPr="00073C9C">
          <w:rPr>
            <w:rStyle w:val="Collegamentoipertestuale"/>
            <w:rFonts w:cs="Calibri"/>
            <w:color w:val="000000" w:themeColor="text1"/>
            <w:u w:val="none"/>
            <w:lang w:val="it-IT"/>
          </w:rPr>
          <w:t>Canadian</w:t>
        </w:r>
        <w:r w:rsidR="00073C9C" w:rsidRPr="00073C9C">
          <w:rPr>
            <w:rStyle w:val="Collegamentoipertestuale"/>
            <w:rFonts w:cs="Calibri"/>
            <w:color w:val="000000" w:themeColor="text1"/>
            <w:u w:val="none"/>
            <w:lang w:val="it-IT"/>
          </w:rPr>
          <w:t xml:space="preserve"> </w:t>
        </w:r>
        <w:r w:rsidRPr="00073C9C">
          <w:rPr>
            <w:rStyle w:val="Collegamentoipertestuale"/>
            <w:rFonts w:cs="Calibri"/>
            <w:color w:val="000000" w:themeColor="text1"/>
            <w:u w:val="none"/>
            <w:lang w:val="it-IT"/>
          </w:rPr>
          <w:t>Business Corporations</w:t>
        </w:r>
        <w:r w:rsidR="00073C9C" w:rsidRPr="00073C9C">
          <w:rPr>
            <w:rStyle w:val="Collegamentoipertestuale"/>
            <w:rFonts w:cs="Calibri"/>
            <w:color w:val="000000" w:themeColor="text1"/>
            <w:u w:val="none"/>
            <w:lang w:val="it-IT"/>
          </w:rPr>
          <w:t xml:space="preserve"> </w:t>
        </w:r>
        <w:r w:rsidRPr="00073C9C">
          <w:rPr>
            <w:rStyle w:val="Collegamentoipertestuale"/>
            <w:rFonts w:cs="Calibri"/>
            <w:color w:val="000000" w:themeColor="text1"/>
            <w:u w:val="none"/>
            <w:lang w:val="it-IT"/>
          </w:rPr>
          <w:t>Act</w:t>
        </w:r>
      </w:hyperlink>
      <w:r w:rsidRPr="00073C9C">
        <w:rPr>
          <w:rFonts w:cs="Calibri"/>
          <w:color w:val="000000" w:themeColor="text1"/>
          <w:lang w:val="it-IT"/>
        </w:rPr>
        <w:t xml:space="preserve"> prevede che almeno il 25% degli </w:t>
      </w:r>
      <w:r w:rsidR="008D54B5" w:rsidRPr="00073C9C">
        <w:rPr>
          <w:rFonts w:cs="Calibri"/>
          <w:color w:val="000000" w:themeColor="text1"/>
          <w:lang w:val="it-IT"/>
        </w:rPr>
        <w:t>a</w:t>
      </w:r>
      <w:r w:rsidRPr="00073C9C">
        <w:rPr>
          <w:rFonts w:cs="Calibri"/>
          <w:color w:val="000000" w:themeColor="text1"/>
          <w:lang w:val="it-IT"/>
        </w:rPr>
        <w:t xml:space="preserve">mministratori </w:t>
      </w:r>
      <w:r w:rsidR="00E6299B" w:rsidRPr="00073C9C">
        <w:rPr>
          <w:rFonts w:cs="Calibri"/>
          <w:color w:val="000000" w:themeColor="text1"/>
          <w:lang w:val="it-IT"/>
        </w:rPr>
        <w:t xml:space="preserve">di una società (Corporation) </w:t>
      </w:r>
      <w:r w:rsidRPr="00073C9C">
        <w:rPr>
          <w:rFonts w:cs="Calibri"/>
          <w:color w:val="000000" w:themeColor="text1"/>
          <w:lang w:val="it-IT"/>
        </w:rPr>
        <w:t>debba essere residente in Canada. Nel caso in cui gli amministratori siano meno di quattro, almeno uno di</w:t>
      </w:r>
      <w:r w:rsidRPr="008F7718">
        <w:rPr>
          <w:rFonts w:cs="Calibri"/>
          <w:color w:val="000000" w:themeColor="text1"/>
          <w:lang w:val="it-IT"/>
        </w:rPr>
        <w:t xml:space="preserve"> essi deve essere residente in Canada. </w:t>
      </w:r>
    </w:p>
    <w:p w:rsidR="00E6299B" w:rsidRDefault="003F19E6" w:rsidP="00476A5A">
      <w:pPr>
        <w:autoSpaceDE w:val="0"/>
        <w:autoSpaceDN w:val="0"/>
        <w:adjustRightInd w:val="0"/>
        <w:spacing w:before="120" w:after="0" w:line="240" w:lineRule="auto"/>
        <w:jc w:val="both"/>
        <w:rPr>
          <w:rFonts w:cs="Calibri"/>
          <w:color w:val="000000" w:themeColor="text1"/>
          <w:lang w:val="it-IT"/>
        </w:rPr>
      </w:pPr>
      <w:r w:rsidRPr="008F7718">
        <w:rPr>
          <w:rFonts w:cs="Calibri"/>
          <w:color w:val="000000" w:themeColor="text1"/>
          <w:lang w:val="it-IT"/>
        </w:rPr>
        <w:t>Lo s</w:t>
      </w:r>
      <w:r w:rsidR="008D54B5" w:rsidRPr="008F7718">
        <w:rPr>
          <w:rFonts w:cs="Calibri"/>
          <w:color w:val="000000" w:themeColor="text1"/>
          <w:lang w:val="it-IT"/>
        </w:rPr>
        <w:t>tesso principio si applica in Ontario</w:t>
      </w:r>
      <w:r w:rsidR="00AC7D4E" w:rsidRPr="008F7718">
        <w:rPr>
          <w:rFonts w:cs="Calibri"/>
          <w:color w:val="000000" w:themeColor="text1"/>
          <w:lang w:val="it-IT"/>
        </w:rPr>
        <w:t xml:space="preserve"> e in </w:t>
      </w:r>
      <w:r w:rsidR="00113DA3" w:rsidRPr="008F7718">
        <w:rPr>
          <w:rFonts w:cs="Calibri"/>
          <w:color w:val="000000" w:themeColor="text1"/>
          <w:lang w:val="it-IT"/>
        </w:rPr>
        <w:t xml:space="preserve">Terranova.  La provincia dell'Alberta prevede che almeno il 25% degli amministratori di una </w:t>
      </w:r>
      <w:r w:rsidR="00DB6F8B" w:rsidRPr="008F7718">
        <w:rPr>
          <w:rFonts w:cs="Calibri"/>
          <w:color w:val="000000" w:themeColor="text1"/>
          <w:lang w:val="it-IT"/>
        </w:rPr>
        <w:t>Società</w:t>
      </w:r>
      <w:r w:rsidR="00113DA3" w:rsidRPr="008F7718">
        <w:rPr>
          <w:rFonts w:cs="Calibri"/>
          <w:color w:val="000000" w:themeColor="text1"/>
          <w:lang w:val="it-IT"/>
        </w:rPr>
        <w:t xml:space="preserve"> (Corporation) </w:t>
      </w:r>
      <w:r w:rsidR="00DB6F8B" w:rsidRPr="008F7718">
        <w:rPr>
          <w:rFonts w:cs="Calibri"/>
          <w:color w:val="000000" w:themeColor="text1"/>
          <w:lang w:val="it-IT"/>
        </w:rPr>
        <w:t>siano</w:t>
      </w:r>
      <w:r w:rsidR="00113DA3" w:rsidRPr="008F7718">
        <w:rPr>
          <w:rFonts w:cs="Calibri"/>
          <w:color w:val="000000" w:themeColor="text1"/>
          <w:lang w:val="it-IT"/>
        </w:rPr>
        <w:t xml:space="preserve"> residenti in Alberta, </w:t>
      </w:r>
      <w:r w:rsidR="008D54B5" w:rsidRPr="008F7718">
        <w:rPr>
          <w:rFonts w:cs="Calibri"/>
          <w:color w:val="000000" w:themeColor="text1"/>
          <w:lang w:val="it-IT"/>
        </w:rPr>
        <w:t xml:space="preserve">mentre </w:t>
      </w:r>
      <w:r w:rsidR="00113DA3" w:rsidRPr="008F7718">
        <w:rPr>
          <w:rFonts w:cs="Calibri"/>
          <w:color w:val="000000" w:themeColor="text1"/>
          <w:lang w:val="it-IT"/>
        </w:rPr>
        <w:t>Columbia Britannica</w:t>
      </w:r>
      <w:r w:rsidR="008B5090" w:rsidRPr="008F7718">
        <w:rPr>
          <w:rFonts w:cs="Calibri"/>
          <w:color w:val="000000" w:themeColor="text1"/>
          <w:lang w:val="it-IT"/>
        </w:rPr>
        <w:t xml:space="preserve">, Quebec, </w:t>
      </w:r>
      <w:r w:rsidR="00113DA3" w:rsidRPr="008F7718">
        <w:rPr>
          <w:rFonts w:cs="Calibri"/>
          <w:color w:val="000000" w:themeColor="text1"/>
          <w:lang w:val="it-IT"/>
        </w:rPr>
        <w:t>Nuovo Brunswick</w:t>
      </w:r>
      <w:r w:rsidR="008B5090" w:rsidRPr="008F7718">
        <w:rPr>
          <w:rFonts w:cs="Calibri"/>
          <w:color w:val="000000" w:themeColor="text1"/>
          <w:lang w:val="it-IT"/>
        </w:rPr>
        <w:t>, Nuova Scozia, Isola del Principe Edoardo</w:t>
      </w:r>
      <w:r w:rsidR="008D54B5" w:rsidRPr="008F7718">
        <w:rPr>
          <w:rFonts w:cs="Calibri"/>
          <w:color w:val="000000" w:themeColor="text1"/>
          <w:lang w:val="it-IT"/>
        </w:rPr>
        <w:t xml:space="preserve">, </w:t>
      </w:r>
      <w:r w:rsidR="008B5090" w:rsidRPr="008F7718">
        <w:rPr>
          <w:rFonts w:cs="Calibri"/>
          <w:color w:val="000000" w:themeColor="text1"/>
          <w:lang w:val="it-IT"/>
        </w:rPr>
        <w:t xml:space="preserve">Nunavut, Territori del Nord Ovest </w:t>
      </w:r>
      <w:r w:rsidR="00E6299B" w:rsidRPr="008F7718">
        <w:rPr>
          <w:rFonts w:cs="Calibri"/>
          <w:color w:val="000000" w:themeColor="text1"/>
          <w:lang w:val="it-IT"/>
        </w:rPr>
        <w:t xml:space="preserve">e </w:t>
      </w:r>
      <w:r w:rsidR="008B5090" w:rsidRPr="008F7718">
        <w:rPr>
          <w:rFonts w:cs="Calibri"/>
          <w:color w:val="000000" w:themeColor="text1"/>
          <w:lang w:val="it-IT"/>
        </w:rPr>
        <w:t xml:space="preserve">Yukon non impongono requisiti di residenza per gli </w:t>
      </w:r>
      <w:r w:rsidR="008D54B5" w:rsidRPr="008F7718">
        <w:rPr>
          <w:rFonts w:cs="Calibri"/>
          <w:color w:val="000000" w:themeColor="text1"/>
          <w:lang w:val="it-IT"/>
        </w:rPr>
        <w:t>a</w:t>
      </w:r>
      <w:r w:rsidR="008B5090" w:rsidRPr="008F7718">
        <w:rPr>
          <w:rFonts w:cs="Calibri"/>
          <w:color w:val="000000" w:themeColor="text1"/>
          <w:lang w:val="it-IT"/>
        </w:rPr>
        <w:t xml:space="preserve">mministratori. </w:t>
      </w:r>
    </w:p>
    <w:p w:rsidR="00B36F4A" w:rsidRPr="008F7718" w:rsidRDefault="00B36F4A" w:rsidP="00476A5A">
      <w:pPr>
        <w:autoSpaceDE w:val="0"/>
        <w:autoSpaceDN w:val="0"/>
        <w:adjustRightInd w:val="0"/>
        <w:spacing w:before="120" w:after="0" w:line="240" w:lineRule="auto"/>
        <w:jc w:val="both"/>
        <w:rPr>
          <w:rFonts w:cs="Calibri"/>
          <w:color w:val="000000" w:themeColor="text1"/>
          <w:lang w:val="it-IT"/>
        </w:rPr>
      </w:pPr>
    </w:p>
    <w:p w:rsidR="00720D14" w:rsidRPr="00073C9C" w:rsidRDefault="00720D14" w:rsidP="00476A5A">
      <w:pPr>
        <w:autoSpaceDE w:val="0"/>
        <w:autoSpaceDN w:val="0"/>
        <w:adjustRightInd w:val="0"/>
        <w:spacing w:before="120" w:after="0" w:line="240" w:lineRule="auto"/>
        <w:jc w:val="both"/>
        <w:rPr>
          <w:rFonts w:cs="Calibri"/>
          <w:color w:val="000000" w:themeColor="text1"/>
          <w:lang w:val="it-IT"/>
        </w:rPr>
      </w:pPr>
      <w:r w:rsidRPr="00073C9C">
        <w:rPr>
          <w:rFonts w:cs="Calibri"/>
          <w:color w:val="000000" w:themeColor="text1"/>
        </w:rPr>
        <w:t>ACCORDI IN VIGORE:</w:t>
      </w:r>
    </w:p>
    <w:p w:rsidR="00720D14" w:rsidRPr="008F7718" w:rsidRDefault="00720D14" w:rsidP="00476A5A">
      <w:pPr>
        <w:pStyle w:val="Paragrafoelenco"/>
        <w:numPr>
          <w:ilvl w:val="0"/>
          <w:numId w:val="3"/>
        </w:numPr>
        <w:autoSpaceDE w:val="0"/>
        <w:autoSpaceDN w:val="0"/>
        <w:adjustRightInd w:val="0"/>
        <w:spacing w:before="120" w:after="0" w:line="240" w:lineRule="auto"/>
        <w:jc w:val="both"/>
        <w:rPr>
          <w:rFonts w:cs="Calibri"/>
          <w:color w:val="000000" w:themeColor="text1"/>
          <w:lang w:val="it-IT"/>
        </w:rPr>
      </w:pPr>
      <w:r w:rsidRPr="00D83FC4">
        <w:rPr>
          <w:rFonts w:cs="Calibri"/>
          <w:color w:val="00B050"/>
          <w:lang w:val="it-IT"/>
        </w:rPr>
        <w:t>ACCORDO DI COOPERAZIONE ECONOMICA E INDUSTRIALE</w:t>
      </w:r>
      <w:r w:rsidRPr="008F7718">
        <w:rPr>
          <w:rFonts w:cs="Calibri"/>
          <w:color w:val="000000" w:themeColor="text1"/>
          <w:lang w:val="it-IT"/>
        </w:rPr>
        <w:t xml:space="preserve"> (firmato a Roma, il 01.8.1988, in vigore dal 01.8.1988)</w:t>
      </w:r>
    </w:p>
    <w:p w:rsidR="003C14B9" w:rsidRPr="00B36F4A" w:rsidRDefault="003A2740" w:rsidP="00B36F4A">
      <w:pPr>
        <w:autoSpaceDE w:val="0"/>
        <w:autoSpaceDN w:val="0"/>
        <w:adjustRightInd w:val="0"/>
        <w:spacing w:before="40" w:after="40" w:line="240" w:lineRule="auto"/>
        <w:ind w:left="360"/>
        <w:jc w:val="both"/>
        <w:rPr>
          <w:rFonts w:cs="Calibri"/>
          <w:lang w:val="it-IT"/>
        </w:rPr>
      </w:pPr>
      <w:r>
        <w:rPr>
          <w:lang w:val="it-IT"/>
        </w:rPr>
        <w:t xml:space="preserve">       </w:t>
      </w:r>
      <w:hyperlink r:id="rId13" w:history="1">
        <w:r w:rsidR="00D83FC4" w:rsidRPr="003A2740">
          <w:rPr>
            <w:rFonts w:cs="Calibri"/>
            <w:color w:val="0000FF"/>
            <w:u w:val="single"/>
            <w:lang w:val="it-IT"/>
          </w:rPr>
          <w:t>http://atrio.esteri.it/Ricerca_Documenti/wfrmRicerca_Documenti.aspx</w:t>
        </w:r>
      </w:hyperlink>
    </w:p>
    <w:p w:rsidR="00720D14" w:rsidRPr="008F7718" w:rsidRDefault="00720D14" w:rsidP="00476A5A">
      <w:pPr>
        <w:pStyle w:val="Paragrafoelenco"/>
        <w:numPr>
          <w:ilvl w:val="0"/>
          <w:numId w:val="3"/>
        </w:numPr>
        <w:autoSpaceDE w:val="0"/>
        <w:autoSpaceDN w:val="0"/>
        <w:adjustRightInd w:val="0"/>
        <w:spacing w:before="120" w:after="0" w:line="240" w:lineRule="auto"/>
        <w:jc w:val="both"/>
        <w:rPr>
          <w:rFonts w:cs="Calibri"/>
          <w:color w:val="000000" w:themeColor="text1"/>
          <w:lang w:val="it-IT"/>
        </w:rPr>
      </w:pPr>
      <w:r w:rsidRPr="00D83FC4">
        <w:rPr>
          <w:rFonts w:cs="Calibri"/>
          <w:color w:val="00B050"/>
          <w:lang w:val="it-IT"/>
        </w:rPr>
        <w:t>CONVENZIONE PER EVITARE LE DOPPIE IMPOSIZIONI IN MATERIA DI IMPOSTE SUL REDDITO E PER PREVENIRE LE EVASIONI FISCALI, CON PROTOCOLLO FINALE</w:t>
      </w:r>
      <w:r w:rsidRPr="008F7718">
        <w:rPr>
          <w:rFonts w:cs="Calibri"/>
          <w:color w:val="000000" w:themeColor="text1"/>
          <w:lang w:val="it-IT"/>
        </w:rPr>
        <w:t xml:space="preserve"> (firmata ad Ottawa il 03.6.2002, in vigore dal 25.11.2011)</w:t>
      </w:r>
    </w:p>
    <w:p w:rsidR="00B56B20" w:rsidRPr="003A2740" w:rsidRDefault="003A2740" w:rsidP="003A2740">
      <w:pPr>
        <w:autoSpaceDE w:val="0"/>
        <w:autoSpaceDN w:val="0"/>
        <w:adjustRightInd w:val="0"/>
        <w:spacing w:before="120" w:after="0" w:line="240" w:lineRule="auto"/>
        <w:ind w:left="360"/>
        <w:jc w:val="both"/>
        <w:rPr>
          <w:color w:val="000000" w:themeColor="text1"/>
          <w:lang w:val="it-IT"/>
        </w:rPr>
      </w:pPr>
      <w:r>
        <w:rPr>
          <w:lang w:val="it-IT"/>
        </w:rPr>
        <w:t xml:space="preserve">       </w:t>
      </w:r>
      <w:hyperlink r:id="rId14" w:history="1">
        <w:r w:rsidR="00D83FC4" w:rsidRPr="003A2740">
          <w:rPr>
            <w:rFonts w:cs="Calibri"/>
            <w:color w:val="0000FF"/>
            <w:u w:val="single"/>
            <w:lang w:val="it-IT"/>
          </w:rPr>
          <w:t>http://atrio.esteri.it/Ricerca_Documenti/wfrmRicerca_Documenti.aspx</w:t>
        </w:r>
      </w:hyperlink>
    </w:p>
    <w:sectPr w:rsidR="00B56B20" w:rsidRPr="003A2740" w:rsidSect="00A158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CC" w:rsidRDefault="00C545CC" w:rsidP="009D2CF7">
      <w:pPr>
        <w:spacing w:after="0" w:line="240" w:lineRule="auto"/>
      </w:pPr>
      <w:r>
        <w:separator/>
      </w:r>
    </w:p>
  </w:endnote>
  <w:endnote w:type="continuationSeparator" w:id="0">
    <w:p w:rsidR="00C545CC" w:rsidRDefault="00C545CC"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CC" w:rsidRDefault="00C545CC" w:rsidP="009D2CF7">
      <w:pPr>
        <w:spacing w:after="0" w:line="240" w:lineRule="auto"/>
      </w:pPr>
      <w:r>
        <w:separator/>
      </w:r>
    </w:p>
  </w:footnote>
  <w:footnote w:type="continuationSeparator" w:id="0">
    <w:p w:rsidR="00C545CC" w:rsidRDefault="00C545CC"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064A7684"/>
    <w:multiLevelType w:val="hybridMultilevel"/>
    <w:tmpl w:val="AFC8083A"/>
    <w:lvl w:ilvl="0" w:tplc="2682C5C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67EAC"/>
    <w:multiLevelType w:val="hybridMultilevel"/>
    <w:tmpl w:val="C3205DBE"/>
    <w:lvl w:ilvl="0" w:tplc="D0280CEA">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6A552D"/>
    <w:multiLevelType w:val="hybridMultilevel"/>
    <w:tmpl w:val="C574A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CC361F"/>
    <w:multiLevelType w:val="hybridMultilevel"/>
    <w:tmpl w:val="8DF8C70E"/>
    <w:lvl w:ilvl="0" w:tplc="15885E88">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650C74"/>
    <w:multiLevelType w:val="hybridMultilevel"/>
    <w:tmpl w:val="0E44B4B8"/>
    <w:lvl w:ilvl="0" w:tplc="E102B6DE">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4BE073A"/>
    <w:multiLevelType w:val="hybridMultilevel"/>
    <w:tmpl w:val="14FC7E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1206B1"/>
    <w:multiLevelType w:val="hybridMultilevel"/>
    <w:tmpl w:val="3E0EF3D6"/>
    <w:lvl w:ilvl="0" w:tplc="002A83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5"/>
  </w:num>
  <w:num w:numId="4">
    <w:abstractNumId w:val="2"/>
  </w:num>
  <w:num w:numId="5">
    <w:abstractNumId w:val="3"/>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011BDC"/>
    <w:rsid w:val="00014E61"/>
    <w:rsid w:val="00071C9D"/>
    <w:rsid w:val="00071DDB"/>
    <w:rsid w:val="00073C9C"/>
    <w:rsid w:val="00113DA3"/>
    <w:rsid w:val="00185A50"/>
    <w:rsid w:val="001B6FA3"/>
    <w:rsid w:val="00205E3A"/>
    <w:rsid w:val="0021574C"/>
    <w:rsid w:val="00220881"/>
    <w:rsid w:val="002411E1"/>
    <w:rsid w:val="00271DF1"/>
    <w:rsid w:val="00281EF6"/>
    <w:rsid w:val="00297EA1"/>
    <w:rsid w:val="002B7155"/>
    <w:rsid w:val="00303BE1"/>
    <w:rsid w:val="00354A8F"/>
    <w:rsid w:val="00372FF1"/>
    <w:rsid w:val="0038184D"/>
    <w:rsid w:val="0039085D"/>
    <w:rsid w:val="003A2740"/>
    <w:rsid w:val="003C14B9"/>
    <w:rsid w:val="003F19E6"/>
    <w:rsid w:val="003F51C9"/>
    <w:rsid w:val="003F75F8"/>
    <w:rsid w:val="004441F1"/>
    <w:rsid w:val="00476A5A"/>
    <w:rsid w:val="004D1D22"/>
    <w:rsid w:val="004E5133"/>
    <w:rsid w:val="00557A7E"/>
    <w:rsid w:val="00561A7F"/>
    <w:rsid w:val="00590B18"/>
    <w:rsid w:val="00592E10"/>
    <w:rsid w:val="005C384E"/>
    <w:rsid w:val="005D39D7"/>
    <w:rsid w:val="005E177C"/>
    <w:rsid w:val="00667593"/>
    <w:rsid w:val="00673B16"/>
    <w:rsid w:val="006A78DA"/>
    <w:rsid w:val="006B2352"/>
    <w:rsid w:val="006B37FF"/>
    <w:rsid w:val="00707D8B"/>
    <w:rsid w:val="00715F04"/>
    <w:rsid w:val="00720D14"/>
    <w:rsid w:val="0072340A"/>
    <w:rsid w:val="00724358"/>
    <w:rsid w:val="0075377D"/>
    <w:rsid w:val="007538AF"/>
    <w:rsid w:val="007552EC"/>
    <w:rsid w:val="00777D35"/>
    <w:rsid w:val="007912D0"/>
    <w:rsid w:val="0079281B"/>
    <w:rsid w:val="00795FB7"/>
    <w:rsid w:val="007A7DB9"/>
    <w:rsid w:val="007E77B7"/>
    <w:rsid w:val="007F0B8B"/>
    <w:rsid w:val="00831973"/>
    <w:rsid w:val="008B3088"/>
    <w:rsid w:val="008B5090"/>
    <w:rsid w:val="008C1E30"/>
    <w:rsid w:val="008D54B5"/>
    <w:rsid w:val="008F0B74"/>
    <w:rsid w:val="008F4BFA"/>
    <w:rsid w:val="008F6B31"/>
    <w:rsid w:val="008F7718"/>
    <w:rsid w:val="0096013D"/>
    <w:rsid w:val="00960950"/>
    <w:rsid w:val="009941CD"/>
    <w:rsid w:val="00994435"/>
    <w:rsid w:val="009D2CF7"/>
    <w:rsid w:val="009D701B"/>
    <w:rsid w:val="00A06D3B"/>
    <w:rsid w:val="00A13D21"/>
    <w:rsid w:val="00A15844"/>
    <w:rsid w:val="00A410BC"/>
    <w:rsid w:val="00A92E64"/>
    <w:rsid w:val="00AC0CE7"/>
    <w:rsid w:val="00AC7D4E"/>
    <w:rsid w:val="00AD0EE9"/>
    <w:rsid w:val="00B36F4A"/>
    <w:rsid w:val="00B56B20"/>
    <w:rsid w:val="00B90FF9"/>
    <w:rsid w:val="00BA2C7A"/>
    <w:rsid w:val="00C23FDE"/>
    <w:rsid w:val="00C30F2F"/>
    <w:rsid w:val="00C545CC"/>
    <w:rsid w:val="00C73CE3"/>
    <w:rsid w:val="00D01EBE"/>
    <w:rsid w:val="00D04DAF"/>
    <w:rsid w:val="00D16814"/>
    <w:rsid w:val="00D83FC4"/>
    <w:rsid w:val="00D842D5"/>
    <w:rsid w:val="00D84F4A"/>
    <w:rsid w:val="00DB6F8B"/>
    <w:rsid w:val="00DD7C9B"/>
    <w:rsid w:val="00DE3BD6"/>
    <w:rsid w:val="00E00175"/>
    <w:rsid w:val="00E26323"/>
    <w:rsid w:val="00E6299B"/>
    <w:rsid w:val="00E81A05"/>
    <w:rsid w:val="00E92369"/>
    <w:rsid w:val="00EA6ED8"/>
    <w:rsid w:val="00EF64C8"/>
    <w:rsid w:val="00F2752F"/>
    <w:rsid w:val="00F9015C"/>
    <w:rsid w:val="00FF41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0243D-3620-4C26-B004-A86BD8DA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 w:type="character" w:styleId="Collegamentoipertestuale">
    <w:name w:val="Hyperlink"/>
    <w:basedOn w:val="Carpredefinitoparagrafo"/>
    <w:uiPriority w:val="99"/>
    <w:unhideWhenUsed/>
    <w:rsid w:val="00303BE1"/>
    <w:rPr>
      <w:color w:val="0563C1" w:themeColor="hyperlink"/>
      <w:u w:val="single"/>
    </w:rPr>
  </w:style>
  <w:style w:type="character" w:styleId="Collegamentovisitato">
    <w:name w:val="FollowedHyperlink"/>
    <w:basedOn w:val="Carpredefinitoparagrafo"/>
    <w:uiPriority w:val="99"/>
    <w:semiHidden/>
    <w:unhideWhenUsed/>
    <w:rsid w:val="00220881"/>
    <w:rPr>
      <w:color w:val="954F72" w:themeColor="followedHyperlink"/>
      <w:u w:val="single"/>
    </w:rPr>
  </w:style>
  <w:style w:type="paragraph" w:styleId="Testofumetto">
    <w:name w:val="Balloon Text"/>
    <w:basedOn w:val="Normale"/>
    <w:link w:val="TestofumettoCarattere"/>
    <w:uiPriority w:val="99"/>
    <w:semiHidden/>
    <w:unhideWhenUsed/>
    <w:rsid w:val="007243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4358"/>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08130">
      <w:bodyDiv w:val="1"/>
      <w:marLeft w:val="0"/>
      <w:marRight w:val="0"/>
      <w:marTop w:val="0"/>
      <w:marBottom w:val="0"/>
      <w:divBdr>
        <w:top w:val="none" w:sz="0" w:space="0" w:color="auto"/>
        <w:left w:val="none" w:sz="0" w:space="0" w:color="auto"/>
        <w:bottom w:val="none" w:sz="0" w:space="0" w:color="auto"/>
        <w:right w:val="none" w:sz="0" w:space="0" w:color="auto"/>
      </w:divBdr>
      <w:divsChild>
        <w:div w:id="1841460920">
          <w:marLeft w:val="0"/>
          <w:marRight w:val="0"/>
          <w:marTop w:val="0"/>
          <w:marBottom w:val="0"/>
          <w:divBdr>
            <w:top w:val="none" w:sz="0" w:space="0" w:color="auto"/>
            <w:left w:val="none" w:sz="0" w:space="0" w:color="auto"/>
            <w:bottom w:val="none" w:sz="0" w:space="0" w:color="auto"/>
            <w:right w:val="none" w:sz="0" w:space="0" w:color="auto"/>
          </w:divBdr>
          <w:divsChild>
            <w:div w:id="1546866236">
              <w:marLeft w:val="0"/>
              <w:marRight w:val="0"/>
              <w:marTop w:val="0"/>
              <w:marBottom w:val="0"/>
              <w:divBdr>
                <w:top w:val="none" w:sz="0" w:space="0" w:color="auto"/>
                <w:left w:val="none" w:sz="0" w:space="0" w:color="auto"/>
                <w:bottom w:val="none" w:sz="0" w:space="0" w:color="auto"/>
                <w:right w:val="none" w:sz="0" w:space="0" w:color="auto"/>
              </w:divBdr>
              <w:divsChild>
                <w:div w:id="831264171">
                  <w:marLeft w:val="0"/>
                  <w:marRight w:val="0"/>
                  <w:marTop w:val="0"/>
                  <w:marBottom w:val="0"/>
                  <w:divBdr>
                    <w:top w:val="none" w:sz="0" w:space="0" w:color="auto"/>
                    <w:left w:val="none" w:sz="0" w:space="0" w:color="auto"/>
                    <w:bottom w:val="none" w:sz="0" w:space="0" w:color="auto"/>
                    <w:right w:val="none" w:sz="0" w:space="0" w:color="auto"/>
                  </w:divBdr>
                  <w:divsChild>
                    <w:div w:id="842546895">
                      <w:marLeft w:val="0"/>
                      <w:marRight w:val="0"/>
                      <w:marTop w:val="0"/>
                      <w:marBottom w:val="0"/>
                      <w:divBdr>
                        <w:top w:val="none" w:sz="0" w:space="0" w:color="auto"/>
                        <w:left w:val="none" w:sz="0" w:space="0" w:color="auto"/>
                        <w:bottom w:val="none" w:sz="0" w:space="0" w:color="auto"/>
                        <w:right w:val="none" w:sz="0" w:space="0" w:color="auto"/>
                      </w:divBdr>
                      <w:divsChild>
                        <w:div w:id="791363556">
                          <w:marLeft w:val="0"/>
                          <w:marRight w:val="0"/>
                          <w:marTop w:val="0"/>
                          <w:marBottom w:val="0"/>
                          <w:divBdr>
                            <w:top w:val="none" w:sz="0" w:space="0" w:color="auto"/>
                            <w:left w:val="none" w:sz="0" w:space="0" w:color="auto"/>
                            <w:bottom w:val="none" w:sz="0" w:space="0" w:color="auto"/>
                            <w:right w:val="none" w:sz="0" w:space="0" w:color="auto"/>
                          </w:divBdr>
                          <w:divsChild>
                            <w:div w:id="1402603218">
                              <w:marLeft w:val="0"/>
                              <w:marRight w:val="300"/>
                              <w:marTop w:val="180"/>
                              <w:marBottom w:val="0"/>
                              <w:divBdr>
                                <w:top w:val="none" w:sz="0" w:space="0" w:color="auto"/>
                                <w:left w:val="none" w:sz="0" w:space="0" w:color="auto"/>
                                <w:bottom w:val="none" w:sz="0" w:space="0" w:color="auto"/>
                                <w:right w:val="none" w:sz="0" w:space="0" w:color="auto"/>
                              </w:divBdr>
                              <w:divsChild>
                                <w:div w:id="21042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12755">
          <w:marLeft w:val="0"/>
          <w:marRight w:val="0"/>
          <w:marTop w:val="0"/>
          <w:marBottom w:val="0"/>
          <w:divBdr>
            <w:top w:val="none" w:sz="0" w:space="0" w:color="auto"/>
            <w:left w:val="none" w:sz="0" w:space="0" w:color="auto"/>
            <w:bottom w:val="none" w:sz="0" w:space="0" w:color="auto"/>
            <w:right w:val="none" w:sz="0" w:space="0" w:color="auto"/>
          </w:divBdr>
          <w:divsChild>
            <w:div w:id="1907955086">
              <w:marLeft w:val="0"/>
              <w:marRight w:val="0"/>
              <w:marTop w:val="0"/>
              <w:marBottom w:val="0"/>
              <w:divBdr>
                <w:top w:val="none" w:sz="0" w:space="0" w:color="auto"/>
                <w:left w:val="none" w:sz="0" w:space="0" w:color="auto"/>
                <w:bottom w:val="none" w:sz="0" w:space="0" w:color="auto"/>
                <w:right w:val="none" w:sz="0" w:space="0" w:color="auto"/>
              </w:divBdr>
              <w:divsChild>
                <w:div w:id="1829636476">
                  <w:marLeft w:val="0"/>
                  <w:marRight w:val="0"/>
                  <w:marTop w:val="0"/>
                  <w:marBottom w:val="0"/>
                  <w:divBdr>
                    <w:top w:val="none" w:sz="0" w:space="0" w:color="auto"/>
                    <w:left w:val="none" w:sz="0" w:space="0" w:color="auto"/>
                    <w:bottom w:val="none" w:sz="0" w:space="0" w:color="auto"/>
                    <w:right w:val="none" w:sz="0" w:space="0" w:color="auto"/>
                  </w:divBdr>
                  <w:divsChild>
                    <w:div w:id="735737640">
                      <w:marLeft w:val="0"/>
                      <w:marRight w:val="0"/>
                      <w:marTop w:val="0"/>
                      <w:marBottom w:val="0"/>
                      <w:divBdr>
                        <w:top w:val="none" w:sz="0" w:space="0" w:color="auto"/>
                        <w:left w:val="none" w:sz="0" w:space="0" w:color="auto"/>
                        <w:bottom w:val="none" w:sz="0" w:space="0" w:color="auto"/>
                        <w:right w:val="none" w:sz="0" w:space="0" w:color="auto"/>
                      </w:divBdr>
                      <w:divsChild>
                        <w:div w:id="680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PDF/P-25.2.pdf" TargetMode="External"/><Relationship Id="rId13" Type="http://schemas.openxmlformats.org/officeDocument/2006/relationships/hyperlink" Target="http://atrio.esteri.it/Ricerca_Documenti/wfrmRicerca_Documenti.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s-lois.justice.gc.ca/eng/acts/C-44/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gc.ca/eic/site/ica-lic.nsf/eng/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gc.ca/eic/site/ica-lic.nsf/vwapj/2018-19AnnualReport_eng.pdf/$file/2018-19AnnualReport_eng.pdf" TargetMode="External"/><Relationship Id="rId4" Type="http://schemas.openxmlformats.org/officeDocument/2006/relationships/settings" Target="settings.xml"/><Relationship Id="rId9" Type="http://schemas.openxmlformats.org/officeDocument/2006/relationships/hyperlink" Target="https://laws-lois.justice.gc.ca/PDF/SOR-2022-250.pdf" TargetMode="External"/><Relationship Id="rId14" Type="http://schemas.openxmlformats.org/officeDocument/2006/relationships/hyperlink" Target="http://atrio.esteri.it/Ricerca_Documenti/wfrmRicerca_Documenti.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6809-1C44-4EB4-A30D-6BA20C22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8099</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9501</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Mauri Chiara</cp:lastModifiedBy>
  <cp:revision>4</cp:revision>
  <dcterms:created xsi:type="dcterms:W3CDTF">2023-03-15T14:54:00Z</dcterms:created>
  <dcterms:modified xsi:type="dcterms:W3CDTF">2023-03-15T14:58:00Z</dcterms:modified>
</cp:coreProperties>
</file>