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34CFB" w14:textId="40FB3097" w:rsidR="00D80D39" w:rsidRPr="00D80D39" w:rsidRDefault="00C809D2" w:rsidP="00D80D3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it-IT"/>
        </w:rPr>
      </w:pPr>
      <w:r w:rsidRPr="00D80D39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it-IT"/>
        </w:rPr>
        <w:t>GAMBIA</w:t>
      </w:r>
    </w:p>
    <w:p w14:paraId="036CEA7F" w14:textId="77777777" w:rsidR="00D80D39" w:rsidRDefault="00D80D39" w:rsidP="00D80D3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</w:p>
    <w:p w14:paraId="47FE16D3" w14:textId="77777777" w:rsidR="00B41710" w:rsidRPr="00B41710" w:rsidRDefault="00B41710" w:rsidP="002D48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it-IT"/>
        </w:rPr>
      </w:pPr>
      <w:r w:rsidRPr="00B41710">
        <w:rPr>
          <w:rFonts w:ascii="Calibri" w:eastAsia="Times New Roman" w:hAnsi="Calibri" w:cs="Calibri"/>
          <w:color w:val="212121"/>
          <w:lang w:eastAsia="it-IT"/>
        </w:rPr>
        <w:t>ACQUISTO DI FABBRICATI AD USO ABITATIVO</w:t>
      </w:r>
    </w:p>
    <w:p w14:paraId="79BE7763" w14:textId="5C82345E" w:rsidR="00B41710" w:rsidRPr="00B41710" w:rsidRDefault="00B41710" w:rsidP="002D48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it-IT"/>
        </w:rPr>
      </w:pPr>
      <w:r w:rsidRPr="00B41710">
        <w:rPr>
          <w:rFonts w:ascii="Calibri" w:eastAsia="Times New Roman" w:hAnsi="Calibri" w:cs="Calibri"/>
          <w:color w:val="212121"/>
          <w:lang w:eastAsia="it-IT"/>
        </w:rPr>
        <w:t xml:space="preserve">In </w:t>
      </w:r>
      <w:r>
        <w:rPr>
          <w:rFonts w:ascii="Calibri" w:eastAsia="Times New Roman" w:hAnsi="Calibri" w:cs="Calibri"/>
          <w:color w:val="212121"/>
          <w:lang w:eastAsia="it-IT"/>
        </w:rPr>
        <w:t>Gambia</w:t>
      </w:r>
      <w:r w:rsidRPr="00B41710">
        <w:rPr>
          <w:rFonts w:ascii="Calibri" w:eastAsia="Times New Roman" w:hAnsi="Calibri" w:cs="Calibri"/>
          <w:color w:val="212121"/>
          <w:lang w:eastAsia="it-IT"/>
        </w:rPr>
        <w:t xml:space="preserve"> per una persona fisica o giuridica italiana è possibile acquistare fabbricati a uso abitativo.</w:t>
      </w:r>
    </w:p>
    <w:p w14:paraId="1AF70FE5" w14:textId="77777777" w:rsidR="00B41710" w:rsidRPr="00B41710" w:rsidRDefault="00B41710" w:rsidP="002D48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it-IT"/>
        </w:rPr>
      </w:pPr>
    </w:p>
    <w:p w14:paraId="132992A5" w14:textId="77777777" w:rsidR="00B41710" w:rsidRPr="00B41710" w:rsidRDefault="00B41710" w:rsidP="002D48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it-IT"/>
        </w:rPr>
      </w:pPr>
      <w:r w:rsidRPr="00B41710">
        <w:rPr>
          <w:rFonts w:ascii="Calibri" w:eastAsia="Times New Roman" w:hAnsi="Calibri" w:cs="Calibri"/>
          <w:color w:val="212121"/>
          <w:lang w:eastAsia="it-IT"/>
        </w:rPr>
        <w:t>ACQUISTARE DI FABBRICATI AD USO COMMERCIALE</w:t>
      </w:r>
    </w:p>
    <w:p w14:paraId="3CEB7E3C" w14:textId="05AC3934" w:rsidR="00B41710" w:rsidRPr="00B41710" w:rsidRDefault="00B41710" w:rsidP="002D48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it-IT"/>
        </w:rPr>
      </w:pPr>
      <w:r w:rsidRPr="00B41710">
        <w:rPr>
          <w:rFonts w:ascii="Calibri" w:eastAsia="Times New Roman" w:hAnsi="Calibri" w:cs="Calibri"/>
          <w:color w:val="212121"/>
          <w:lang w:eastAsia="it-IT"/>
        </w:rPr>
        <w:t xml:space="preserve">In </w:t>
      </w:r>
      <w:r>
        <w:rPr>
          <w:rFonts w:ascii="Calibri" w:eastAsia="Times New Roman" w:hAnsi="Calibri" w:cs="Calibri"/>
          <w:color w:val="212121"/>
          <w:lang w:eastAsia="it-IT"/>
        </w:rPr>
        <w:t>Gambia</w:t>
      </w:r>
      <w:r w:rsidRPr="00B41710">
        <w:rPr>
          <w:rFonts w:ascii="Calibri" w:eastAsia="Times New Roman" w:hAnsi="Calibri" w:cs="Calibri"/>
          <w:color w:val="212121"/>
          <w:lang w:eastAsia="it-IT"/>
        </w:rPr>
        <w:t xml:space="preserve"> per una persona fisica o giuridica italiana è possibile acquistare fabbricati a uso commerciale.</w:t>
      </w:r>
    </w:p>
    <w:p w14:paraId="3156A9C7" w14:textId="77777777" w:rsidR="00B41710" w:rsidRPr="00B41710" w:rsidRDefault="00B41710" w:rsidP="002D48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it-IT"/>
        </w:rPr>
      </w:pPr>
    </w:p>
    <w:p w14:paraId="64BBF2EF" w14:textId="77777777" w:rsidR="00B41710" w:rsidRPr="00B41710" w:rsidRDefault="00B41710" w:rsidP="002D48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it-IT"/>
        </w:rPr>
      </w:pPr>
      <w:r w:rsidRPr="00B41710">
        <w:rPr>
          <w:rFonts w:ascii="Calibri" w:eastAsia="Times New Roman" w:hAnsi="Calibri" w:cs="Calibri"/>
          <w:color w:val="212121"/>
          <w:lang w:eastAsia="it-IT"/>
        </w:rPr>
        <w:t>ACQUISTO DI TERRENI</w:t>
      </w:r>
    </w:p>
    <w:p w14:paraId="1963AB25" w14:textId="46513239" w:rsidR="00B41710" w:rsidRPr="00B41710" w:rsidRDefault="00B41710" w:rsidP="002D48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it-IT"/>
        </w:rPr>
      </w:pPr>
      <w:r>
        <w:rPr>
          <w:rFonts w:ascii="Calibri" w:eastAsia="Times New Roman" w:hAnsi="Calibri" w:cs="Calibri"/>
          <w:color w:val="212121"/>
          <w:lang w:eastAsia="it-IT"/>
        </w:rPr>
        <w:t>Attualmente, in</w:t>
      </w:r>
      <w:r w:rsidRPr="00B41710">
        <w:rPr>
          <w:rFonts w:ascii="Calibri" w:eastAsia="Times New Roman" w:hAnsi="Calibri" w:cs="Calibri"/>
          <w:color w:val="212121"/>
          <w:lang w:eastAsia="it-IT"/>
        </w:rPr>
        <w:t xml:space="preserve"> G</w:t>
      </w:r>
      <w:r>
        <w:rPr>
          <w:rFonts w:ascii="Calibri" w:eastAsia="Times New Roman" w:hAnsi="Calibri" w:cs="Calibri"/>
          <w:color w:val="212121"/>
          <w:lang w:eastAsia="it-IT"/>
        </w:rPr>
        <w:t>ambia</w:t>
      </w:r>
      <w:r w:rsidRPr="00B41710">
        <w:rPr>
          <w:rFonts w:ascii="Calibri" w:eastAsia="Times New Roman" w:hAnsi="Calibri" w:cs="Calibri"/>
          <w:color w:val="212121"/>
          <w:lang w:eastAsia="it-IT"/>
        </w:rPr>
        <w:t xml:space="preserve"> per una persona fisica o giuridica italiana è possibile acquistare terreni.</w:t>
      </w:r>
      <w:r w:rsidRPr="00B41710">
        <w:t xml:space="preserve"> </w:t>
      </w:r>
      <w:r w:rsidRPr="00B41710">
        <w:rPr>
          <w:rFonts w:ascii="Calibri" w:eastAsia="Times New Roman" w:hAnsi="Calibri" w:cs="Calibri"/>
          <w:color w:val="212121"/>
          <w:lang w:eastAsia="it-IT"/>
        </w:rPr>
        <w:t>È peraltro in discussione un cambiamento della Costituzione, in base al quale i terreni acquistati da persone di nazionalità non Gambiana potr</w:t>
      </w:r>
      <w:r w:rsidR="003176FF">
        <w:rPr>
          <w:rFonts w:ascii="Calibri" w:eastAsia="Times New Roman" w:hAnsi="Calibri" w:cs="Calibri"/>
          <w:color w:val="212121"/>
          <w:lang w:eastAsia="it-IT"/>
        </w:rPr>
        <w:t>ebber</w:t>
      </w:r>
      <w:r w:rsidRPr="00B41710">
        <w:rPr>
          <w:rFonts w:ascii="Calibri" w:eastAsia="Times New Roman" w:hAnsi="Calibri" w:cs="Calibri"/>
          <w:color w:val="212121"/>
          <w:lang w:eastAsia="it-IT"/>
        </w:rPr>
        <w:t>o essere mantenuti in proprietà per un periodo di soli 30 anni, rinnovabile per tre volte successive. Alla fine del terzo rinnovo il terreno dovrebbe obbligatoriamente essere ceduto o venduto a persona di nazionalità gambiana.</w:t>
      </w:r>
    </w:p>
    <w:p w14:paraId="1FA968A2" w14:textId="77777777" w:rsidR="00B41710" w:rsidRPr="00B41710" w:rsidRDefault="00B41710" w:rsidP="002D48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it-IT"/>
        </w:rPr>
      </w:pPr>
    </w:p>
    <w:p w14:paraId="411FDF8D" w14:textId="77777777" w:rsidR="00B41710" w:rsidRPr="00B41710" w:rsidRDefault="00B41710" w:rsidP="002D48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it-IT"/>
        </w:rPr>
      </w:pPr>
      <w:r w:rsidRPr="00B41710">
        <w:rPr>
          <w:rFonts w:ascii="Calibri" w:eastAsia="Times New Roman" w:hAnsi="Calibri" w:cs="Calibri"/>
          <w:color w:val="212121"/>
          <w:lang w:eastAsia="it-IT"/>
        </w:rPr>
        <w:t>COSTITUZIONE O ACQUISTO DI QUOTE DI SOCIETÀ</w:t>
      </w:r>
    </w:p>
    <w:p w14:paraId="7ECFEFBF" w14:textId="2A0467CC" w:rsidR="00B41710" w:rsidRPr="00B41710" w:rsidRDefault="00B41710" w:rsidP="002D48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it-IT"/>
        </w:rPr>
      </w:pPr>
      <w:r w:rsidRPr="00B41710">
        <w:rPr>
          <w:rFonts w:ascii="Calibri" w:eastAsia="Times New Roman" w:hAnsi="Calibri" w:cs="Calibri"/>
          <w:color w:val="212121"/>
          <w:lang w:eastAsia="it-IT"/>
        </w:rPr>
        <w:t xml:space="preserve">In </w:t>
      </w:r>
      <w:r>
        <w:rPr>
          <w:rFonts w:ascii="Calibri" w:eastAsia="Times New Roman" w:hAnsi="Calibri" w:cs="Calibri"/>
          <w:color w:val="212121"/>
          <w:lang w:eastAsia="it-IT"/>
        </w:rPr>
        <w:t>Gambia</w:t>
      </w:r>
      <w:r w:rsidRPr="00B41710">
        <w:rPr>
          <w:rFonts w:ascii="Calibri" w:eastAsia="Times New Roman" w:hAnsi="Calibri" w:cs="Calibri"/>
          <w:color w:val="212121"/>
          <w:lang w:eastAsia="it-IT"/>
        </w:rPr>
        <w:t xml:space="preserve"> per un cittadino italiano è possibile costituir</w:t>
      </w:r>
      <w:bookmarkStart w:id="0" w:name="_GoBack"/>
      <w:bookmarkEnd w:id="0"/>
      <w:r w:rsidRPr="00B41710">
        <w:rPr>
          <w:rFonts w:ascii="Calibri" w:eastAsia="Times New Roman" w:hAnsi="Calibri" w:cs="Calibri"/>
          <w:color w:val="212121"/>
          <w:lang w:eastAsia="it-IT"/>
        </w:rPr>
        <w:t>e o acquistare quote di società.</w:t>
      </w:r>
    </w:p>
    <w:p w14:paraId="0A2D7630" w14:textId="77777777" w:rsidR="00B41710" w:rsidRPr="00B41710" w:rsidRDefault="00B41710" w:rsidP="002D48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it-IT"/>
        </w:rPr>
      </w:pPr>
    </w:p>
    <w:p w14:paraId="0D1BD666" w14:textId="77777777" w:rsidR="00B41710" w:rsidRPr="00B41710" w:rsidRDefault="00B41710" w:rsidP="002D48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it-IT"/>
        </w:rPr>
      </w:pPr>
      <w:r w:rsidRPr="00B41710">
        <w:rPr>
          <w:rFonts w:ascii="Calibri" w:eastAsia="Times New Roman" w:hAnsi="Calibri" w:cs="Calibri"/>
          <w:color w:val="212121"/>
          <w:lang w:eastAsia="it-IT"/>
        </w:rPr>
        <w:t>ASSUNZIONE DI CARICHE SOCIALI</w:t>
      </w:r>
    </w:p>
    <w:p w14:paraId="7FFCBB0D" w14:textId="7E904587" w:rsidR="00B41710" w:rsidRPr="00B41710" w:rsidRDefault="00B41710" w:rsidP="002D48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it-IT"/>
        </w:rPr>
      </w:pPr>
      <w:r w:rsidRPr="00B41710">
        <w:rPr>
          <w:rFonts w:ascii="Calibri" w:eastAsia="Times New Roman" w:hAnsi="Calibri" w:cs="Calibri"/>
          <w:color w:val="212121"/>
          <w:lang w:eastAsia="it-IT"/>
        </w:rPr>
        <w:t xml:space="preserve">In </w:t>
      </w:r>
      <w:r>
        <w:rPr>
          <w:rFonts w:ascii="Calibri" w:eastAsia="Times New Roman" w:hAnsi="Calibri" w:cs="Calibri"/>
          <w:color w:val="212121"/>
          <w:lang w:eastAsia="it-IT"/>
        </w:rPr>
        <w:t>Gambia</w:t>
      </w:r>
      <w:r w:rsidRPr="00B41710">
        <w:rPr>
          <w:rFonts w:ascii="Calibri" w:eastAsia="Times New Roman" w:hAnsi="Calibri" w:cs="Calibri"/>
          <w:color w:val="212121"/>
          <w:lang w:eastAsia="it-IT"/>
        </w:rPr>
        <w:t xml:space="preserve"> per un cittadino italiano è possibile assumere cariche sociali.</w:t>
      </w:r>
    </w:p>
    <w:p w14:paraId="1DA0E42D" w14:textId="77777777" w:rsidR="00B41710" w:rsidRPr="00B41710" w:rsidRDefault="00B41710" w:rsidP="002D48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it-IT"/>
        </w:rPr>
      </w:pPr>
    </w:p>
    <w:p w14:paraId="405E4EF7" w14:textId="77777777" w:rsidR="00B41710" w:rsidRPr="00B41710" w:rsidRDefault="00B41710" w:rsidP="002D48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it-IT"/>
        </w:rPr>
      </w:pPr>
      <w:r w:rsidRPr="00B41710">
        <w:rPr>
          <w:rFonts w:ascii="Calibri" w:eastAsia="Times New Roman" w:hAnsi="Calibri" w:cs="Calibri"/>
          <w:color w:val="212121"/>
          <w:lang w:eastAsia="it-IT"/>
        </w:rPr>
        <w:t>ACCETTAZIONE DI EREDITÀ O DONAZIONI</w:t>
      </w:r>
    </w:p>
    <w:p w14:paraId="41D8A989" w14:textId="4338B204" w:rsidR="00B41710" w:rsidRDefault="00B41710" w:rsidP="002D48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it-IT"/>
        </w:rPr>
      </w:pPr>
      <w:r w:rsidRPr="00B41710">
        <w:rPr>
          <w:rFonts w:ascii="Calibri" w:eastAsia="Times New Roman" w:hAnsi="Calibri" w:cs="Calibri"/>
          <w:color w:val="212121"/>
          <w:lang w:eastAsia="it-IT"/>
        </w:rPr>
        <w:t xml:space="preserve">In </w:t>
      </w:r>
      <w:r>
        <w:rPr>
          <w:rFonts w:ascii="Calibri" w:eastAsia="Times New Roman" w:hAnsi="Calibri" w:cs="Calibri"/>
          <w:color w:val="212121"/>
          <w:lang w:eastAsia="it-IT"/>
        </w:rPr>
        <w:t>Gambia</w:t>
      </w:r>
      <w:r w:rsidRPr="00B41710">
        <w:rPr>
          <w:rFonts w:ascii="Calibri" w:eastAsia="Times New Roman" w:hAnsi="Calibri" w:cs="Calibri"/>
          <w:color w:val="212121"/>
          <w:lang w:eastAsia="it-IT"/>
        </w:rPr>
        <w:t xml:space="preserve"> per una persona fisica o giuridica italiana è possibile accettare eredità o donazioni.</w:t>
      </w:r>
    </w:p>
    <w:p w14:paraId="4BE1F764" w14:textId="77777777" w:rsidR="00C809D2" w:rsidRPr="00D80D39" w:rsidRDefault="00C809D2" w:rsidP="00D80D3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</w:p>
    <w:sectPr w:rsidR="00C809D2" w:rsidRPr="00D80D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3035"/>
    <w:multiLevelType w:val="hybridMultilevel"/>
    <w:tmpl w:val="ED989B94"/>
    <w:lvl w:ilvl="0" w:tplc="FE8A7DD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0" w:hanging="360"/>
      </w:pPr>
    </w:lvl>
    <w:lvl w:ilvl="2" w:tplc="0410001B" w:tentative="1">
      <w:start w:val="1"/>
      <w:numFmt w:val="lowerRoman"/>
      <w:lvlText w:val="%3."/>
      <w:lvlJc w:val="right"/>
      <w:pPr>
        <w:ind w:left="1950" w:hanging="180"/>
      </w:pPr>
    </w:lvl>
    <w:lvl w:ilvl="3" w:tplc="0410000F" w:tentative="1">
      <w:start w:val="1"/>
      <w:numFmt w:val="decimal"/>
      <w:lvlText w:val="%4."/>
      <w:lvlJc w:val="left"/>
      <w:pPr>
        <w:ind w:left="2670" w:hanging="360"/>
      </w:pPr>
    </w:lvl>
    <w:lvl w:ilvl="4" w:tplc="04100019" w:tentative="1">
      <w:start w:val="1"/>
      <w:numFmt w:val="lowerLetter"/>
      <w:lvlText w:val="%5."/>
      <w:lvlJc w:val="left"/>
      <w:pPr>
        <w:ind w:left="3390" w:hanging="360"/>
      </w:pPr>
    </w:lvl>
    <w:lvl w:ilvl="5" w:tplc="0410001B" w:tentative="1">
      <w:start w:val="1"/>
      <w:numFmt w:val="lowerRoman"/>
      <w:lvlText w:val="%6."/>
      <w:lvlJc w:val="right"/>
      <w:pPr>
        <w:ind w:left="4110" w:hanging="180"/>
      </w:pPr>
    </w:lvl>
    <w:lvl w:ilvl="6" w:tplc="0410000F" w:tentative="1">
      <w:start w:val="1"/>
      <w:numFmt w:val="decimal"/>
      <w:lvlText w:val="%7."/>
      <w:lvlJc w:val="left"/>
      <w:pPr>
        <w:ind w:left="4830" w:hanging="360"/>
      </w:pPr>
    </w:lvl>
    <w:lvl w:ilvl="7" w:tplc="04100019" w:tentative="1">
      <w:start w:val="1"/>
      <w:numFmt w:val="lowerLetter"/>
      <w:lvlText w:val="%8."/>
      <w:lvlJc w:val="left"/>
      <w:pPr>
        <w:ind w:left="5550" w:hanging="360"/>
      </w:pPr>
    </w:lvl>
    <w:lvl w:ilvl="8" w:tplc="0410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10C57E14"/>
    <w:multiLevelType w:val="hybridMultilevel"/>
    <w:tmpl w:val="53066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0230B"/>
    <w:multiLevelType w:val="hybridMultilevel"/>
    <w:tmpl w:val="05FE1E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A765F"/>
    <w:multiLevelType w:val="hybridMultilevel"/>
    <w:tmpl w:val="51E091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B2916"/>
    <w:multiLevelType w:val="hybridMultilevel"/>
    <w:tmpl w:val="51E091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55B0D"/>
    <w:multiLevelType w:val="hybridMultilevel"/>
    <w:tmpl w:val="80CA3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65ED6"/>
    <w:multiLevelType w:val="hybridMultilevel"/>
    <w:tmpl w:val="31A052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B405E"/>
    <w:multiLevelType w:val="hybridMultilevel"/>
    <w:tmpl w:val="0C5C95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720CA"/>
    <w:multiLevelType w:val="hybridMultilevel"/>
    <w:tmpl w:val="1FEE6A88"/>
    <w:lvl w:ilvl="0" w:tplc="E4D8BDCE">
      <w:start w:val="1"/>
      <w:numFmt w:val="decimal"/>
      <w:lvlText w:val="%1."/>
      <w:lvlJc w:val="left"/>
      <w:pPr>
        <w:ind w:left="150" w:hanging="5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6DD54AC9"/>
    <w:multiLevelType w:val="hybridMultilevel"/>
    <w:tmpl w:val="7AF8FE84"/>
    <w:lvl w:ilvl="0" w:tplc="656C75FA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D2"/>
    <w:rsid w:val="002D480C"/>
    <w:rsid w:val="003176FF"/>
    <w:rsid w:val="00514620"/>
    <w:rsid w:val="00514F69"/>
    <w:rsid w:val="005A28B5"/>
    <w:rsid w:val="00973B01"/>
    <w:rsid w:val="00A526F3"/>
    <w:rsid w:val="00B36ECE"/>
    <w:rsid w:val="00B41710"/>
    <w:rsid w:val="00C809D2"/>
    <w:rsid w:val="00D80D39"/>
    <w:rsid w:val="00DF2E0A"/>
    <w:rsid w:val="00E1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6FD9"/>
  <w15:chartTrackingRefBased/>
  <w15:docId w15:val="{168F06F2-DA0A-48BA-B3E7-B2FD21A4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0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2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83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2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1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4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Satullo</dc:creator>
  <cp:keywords/>
  <dc:description/>
  <cp:lastModifiedBy>Silvestri Andrea</cp:lastModifiedBy>
  <cp:revision>8</cp:revision>
  <dcterms:created xsi:type="dcterms:W3CDTF">2020-07-10T15:59:00Z</dcterms:created>
  <dcterms:modified xsi:type="dcterms:W3CDTF">2020-07-13T10:49:00Z</dcterms:modified>
</cp:coreProperties>
</file>