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18" w:rsidRDefault="00853D18" w:rsidP="00853D18">
      <w:pPr>
        <w:autoSpaceDE w:val="0"/>
        <w:autoSpaceDN w:val="0"/>
        <w:adjustRightInd w:val="0"/>
        <w:spacing w:after="128" w:line="240" w:lineRule="auto"/>
        <w:jc w:val="both"/>
        <w:rPr>
          <w:rFonts w:cs="Calibri"/>
          <w:i/>
          <w:iCs/>
          <w:color w:val="FF0000"/>
          <w:lang w:val="it-IT"/>
        </w:rPr>
      </w:pPr>
      <w:r>
        <w:rPr>
          <w:rFonts w:cs="Calibri"/>
          <w:b/>
          <w:bCs/>
          <w:lang w:val="it-IT"/>
        </w:rPr>
        <w:t>LIBIA</w:t>
      </w:r>
      <w:r>
        <w:rPr>
          <w:rFonts w:cs="Calibri"/>
          <w:lang w:val="it-IT"/>
        </w:rPr>
        <w:br/>
      </w:r>
    </w:p>
    <w:p w:rsidR="00853D18" w:rsidRDefault="00DE4054" w:rsidP="00853D18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INFORMAZIONI GENERALI</w:t>
      </w:r>
    </w:p>
    <w:p w:rsidR="00DE4054" w:rsidRDefault="00DE4054" w:rsidP="00347A7C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La Libia attraversa dal 2011 un periodo di instabilità diffusa, che ha portato in alcuni momenti a scontri</w:t>
      </w:r>
      <w:r w:rsidR="00730879">
        <w:rPr>
          <w:rFonts w:cs="Calibri"/>
          <w:lang w:val="it-IT"/>
        </w:rPr>
        <w:t xml:space="preserve"> diffusi e prolungati</w:t>
      </w:r>
      <w:r>
        <w:rPr>
          <w:rFonts w:cs="Calibri"/>
          <w:lang w:val="it-IT"/>
        </w:rPr>
        <w:t xml:space="preserve">. All’inizio del 2016 si è instaurato un nuovo Governo a Tripoli, </w:t>
      </w:r>
      <w:r w:rsidR="00730879">
        <w:rPr>
          <w:rFonts w:cs="Calibri"/>
          <w:lang w:val="it-IT"/>
        </w:rPr>
        <w:t>istituito con il “</w:t>
      </w:r>
      <w:proofErr w:type="spellStart"/>
      <w:r w:rsidR="00730879">
        <w:rPr>
          <w:rFonts w:cs="Calibri"/>
          <w:lang w:val="it-IT"/>
        </w:rPr>
        <w:t>Libyan</w:t>
      </w:r>
      <w:proofErr w:type="spellEnd"/>
      <w:r w:rsidR="00730879">
        <w:rPr>
          <w:rFonts w:cs="Calibri"/>
          <w:lang w:val="it-IT"/>
        </w:rPr>
        <w:t xml:space="preserve"> </w:t>
      </w:r>
      <w:proofErr w:type="spellStart"/>
      <w:r w:rsidR="00730879">
        <w:rPr>
          <w:rFonts w:cs="Calibri"/>
          <w:lang w:val="it-IT"/>
        </w:rPr>
        <w:t>Political</w:t>
      </w:r>
      <w:proofErr w:type="spellEnd"/>
      <w:r w:rsidR="00730879">
        <w:rPr>
          <w:rFonts w:cs="Calibri"/>
          <w:lang w:val="it-IT"/>
        </w:rPr>
        <w:t xml:space="preserve"> Agreement” raggiunto nel 2015 </w:t>
      </w:r>
      <w:r>
        <w:rPr>
          <w:rFonts w:cs="Calibri"/>
          <w:lang w:val="it-IT"/>
        </w:rPr>
        <w:t xml:space="preserve">sotto l’egida delle Nazioni Unite, che tuttavia non ha riunito il Paese. </w:t>
      </w:r>
      <w:r w:rsidR="00730879">
        <w:rPr>
          <w:rFonts w:cs="Calibri"/>
          <w:lang w:val="it-IT"/>
        </w:rPr>
        <w:t xml:space="preserve">Al momento vi </w:t>
      </w:r>
      <w:r>
        <w:rPr>
          <w:rFonts w:cs="Calibri"/>
          <w:lang w:val="it-IT"/>
        </w:rPr>
        <w:t>sono quindi sostanzialmente due autorità, il Governo di Accordo Nazionale</w:t>
      </w:r>
      <w:r w:rsidR="00075BC9">
        <w:rPr>
          <w:rFonts w:cs="Calibri"/>
          <w:lang w:val="it-IT"/>
        </w:rPr>
        <w:t>, riconosciuto dalla comunità internazionale,</w:t>
      </w:r>
      <w:r>
        <w:rPr>
          <w:rFonts w:cs="Calibri"/>
          <w:lang w:val="it-IT"/>
        </w:rPr>
        <w:t xml:space="preserve"> che controlla la capital</w:t>
      </w:r>
      <w:bookmarkStart w:id="0" w:name="_GoBack"/>
      <w:bookmarkEnd w:id="0"/>
      <w:r>
        <w:rPr>
          <w:rFonts w:cs="Calibri"/>
          <w:lang w:val="it-IT"/>
        </w:rPr>
        <w:t>e e la regione della Tripolitania, mentre a est vi è un Governo</w:t>
      </w:r>
      <w:r w:rsidR="00730879">
        <w:rPr>
          <w:rFonts w:cs="Calibri"/>
          <w:lang w:val="it-IT"/>
        </w:rPr>
        <w:t xml:space="preserve"> “transitorio”, non riconosciuto, al quale si ricollegano anche il</w:t>
      </w:r>
      <w:r>
        <w:rPr>
          <w:rFonts w:cs="Calibri"/>
          <w:lang w:val="it-IT"/>
        </w:rPr>
        <w:t xml:space="preserve"> Generale </w:t>
      </w:r>
      <w:proofErr w:type="spellStart"/>
      <w:r>
        <w:rPr>
          <w:rFonts w:cs="Calibri"/>
          <w:lang w:val="it-IT"/>
        </w:rPr>
        <w:t>Haftar</w:t>
      </w:r>
      <w:proofErr w:type="spellEnd"/>
      <w:r w:rsidR="00730879">
        <w:rPr>
          <w:rFonts w:cs="Calibri"/>
          <w:lang w:val="it-IT"/>
        </w:rPr>
        <w:t xml:space="preserve"> e l’LNA</w:t>
      </w:r>
      <w:r>
        <w:rPr>
          <w:rFonts w:cs="Calibri"/>
          <w:lang w:val="it-IT"/>
        </w:rPr>
        <w:t>.</w:t>
      </w:r>
    </w:p>
    <w:p w:rsidR="00853D18" w:rsidRDefault="00FD5439" w:rsidP="009E6268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Si tratta di un contesto in cui poco è stato fatto per migliorare la legislazione vigente, che è rimasta </w:t>
      </w:r>
      <w:r w:rsidR="009E6268">
        <w:rPr>
          <w:rFonts w:cs="Calibri"/>
          <w:lang w:val="it-IT"/>
        </w:rPr>
        <w:t>quasi del tutto</w:t>
      </w:r>
      <w:r>
        <w:rPr>
          <w:rFonts w:cs="Calibri"/>
          <w:lang w:val="it-IT"/>
        </w:rPr>
        <w:t xml:space="preserve"> invariata</w:t>
      </w:r>
      <w:r w:rsidR="009E6268">
        <w:rPr>
          <w:rFonts w:cs="Calibri"/>
          <w:lang w:val="it-IT"/>
        </w:rPr>
        <w:t xml:space="preserve"> dal 2011</w:t>
      </w:r>
      <w:r>
        <w:rPr>
          <w:rFonts w:cs="Calibri"/>
          <w:lang w:val="it-IT"/>
        </w:rPr>
        <w:t xml:space="preserve">. </w:t>
      </w:r>
      <w:r w:rsidR="00853D18">
        <w:rPr>
          <w:rFonts w:cs="Calibri"/>
          <w:lang w:val="it-IT"/>
        </w:rPr>
        <w:t>Su un piano giuridico generale, l’Accordo per la protezione e la promozione degli investimenti sottoscritto tra Italia e Libia il 13/12/2000 ed entrato in vigore il 20/10/2004 può essere utilizzato come criterio generale di orientamento per valutare l’esistenza</w:t>
      </w:r>
      <w:r w:rsidR="00ED2DCD">
        <w:rPr>
          <w:rFonts w:cs="Calibri"/>
          <w:lang w:val="it-IT"/>
        </w:rPr>
        <w:t xml:space="preserve"> di reciprocità di trattamento.</w:t>
      </w:r>
      <w:r w:rsidR="0084705F" w:rsidRPr="0084705F">
        <w:t xml:space="preserve"> </w:t>
      </w:r>
    </w:p>
    <w:p w:rsidR="00AA755B" w:rsidRDefault="00AA755B" w:rsidP="00FD5439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INVESTIMENTI</w:t>
      </w:r>
      <w:r w:rsidR="0087073C">
        <w:rPr>
          <w:rFonts w:cs="Calibri"/>
          <w:lang w:val="it-IT"/>
        </w:rPr>
        <w:t xml:space="preserve"> E SOCIETA’ STRANIERE</w:t>
      </w:r>
    </w:p>
    <w:p w:rsidR="00B92F9C" w:rsidRPr="0084705F" w:rsidRDefault="008A35B6" w:rsidP="001A2AB9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>
        <w:rPr>
          <w:rFonts w:cs="Calibri"/>
          <w:lang w:val="it-IT"/>
        </w:rPr>
        <w:t xml:space="preserve">Tutto ciò </w:t>
      </w:r>
      <w:r w:rsidR="00853D18">
        <w:rPr>
          <w:rFonts w:cs="Calibri"/>
          <w:lang w:val="it-IT"/>
        </w:rPr>
        <w:t xml:space="preserve">premesso, nella sostanza gli investimenti italiani (e stranieri) in Libia restano </w:t>
      </w:r>
      <w:r>
        <w:rPr>
          <w:rFonts w:cs="Calibri"/>
          <w:lang w:val="it-IT"/>
        </w:rPr>
        <w:t xml:space="preserve">regolati dall’impianto di norme emanate nel 2010, </w:t>
      </w:r>
      <w:r w:rsidRPr="008A35B6">
        <w:rPr>
          <w:rFonts w:cs="Calibri"/>
          <w:lang w:val="it-IT"/>
        </w:rPr>
        <w:t xml:space="preserve">con la sola eccezione, non positiva, introdotta dalla decisione del Ministero dell’Economia n.207/2012, </w:t>
      </w:r>
      <w:r w:rsidRPr="0087073C">
        <w:rPr>
          <w:rFonts w:asciiTheme="minorHAnsi" w:hAnsiTheme="minorHAnsi" w:cstheme="minorHAnsi"/>
        </w:rPr>
        <w:t>il principale atto legislativo in materia economica della nuova Libia. Esso definisce il funzionamento dei tre canali che una compagnia estera puo’ utilizzare per entrare nel mercato libico: la joint venture, la filiale e l’ufficio di rappresentanza. Purtroppo non istituisce condizioni di particolar</w:t>
      </w:r>
      <w:r w:rsidR="009E514F" w:rsidRPr="0087073C">
        <w:rPr>
          <w:rFonts w:asciiTheme="minorHAnsi" w:hAnsiTheme="minorHAnsi" w:cstheme="minorHAnsi"/>
        </w:rPr>
        <w:t>e favore per le società estere</w:t>
      </w:r>
      <w:r w:rsidR="009E514F" w:rsidRPr="0087073C">
        <w:rPr>
          <w:rFonts w:asciiTheme="minorHAnsi" w:hAnsiTheme="minorHAnsi" w:cstheme="minorHAnsi"/>
          <w:lang w:val="it-IT"/>
        </w:rPr>
        <w:t xml:space="preserve">, infatti </w:t>
      </w:r>
      <w:r w:rsidRPr="0087073C">
        <w:rPr>
          <w:rFonts w:asciiTheme="minorHAnsi" w:hAnsiTheme="minorHAnsi" w:cstheme="minorHAnsi"/>
        </w:rPr>
        <w:t xml:space="preserve">nelle </w:t>
      </w:r>
      <w:r w:rsidRPr="0084705F">
        <w:rPr>
          <w:rFonts w:asciiTheme="minorHAnsi" w:hAnsiTheme="minorHAnsi" w:cstheme="minorHAnsi"/>
        </w:rPr>
        <w:t>joint venture di nuova creazione la parte estera non puo’ detenere piu’ del 49% del capitale, solo in casi eccezionali e non meglio specificati puo’ arrivare al 60%. In questo modo la parte estera non puo’ detenere il controllo della JV, e questo puo’ c</w:t>
      </w:r>
      <w:r w:rsidR="001A2AB9" w:rsidRPr="0084705F">
        <w:rPr>
          <w:rFonts w:asciiTheme="minorHAnsi" w:hAnsiTheme="minorHAnsi" w:cstheme="minorHAnsi"/>
        </w:rPr>
        <w:t>ostituire un forte disincentivo</w:t>
      </w:r>
      <w:r w:rsidR="00B92F9C" w:rsidRPr="0084705F">
        <w:rPr>
          <w:rFonts w:asciiTheme="minorHAnsi" w:hAnsiTheme="minorHAnsi" w:cstheme="minorHAnsi"/>
        </w:rPr>
        <w:t>.</w:t>
      </w:r>
    </w:p>
    <w:p w:rsidR="008A35B6" w:rsidRPr="0084705F" w:rsidRDefault="009E514F" w:rsidP="0087073C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84705F">
        <w:rPr>
          <w:rFonts w:asciiTheme="minorHAnsi" w:hAnsiTheme="minorHAnsi" w:cstheme="minorHAnsi"/>
          <w:lang w:val="it-IT"/>
        </w:rPr>
        <w:t>P</w:t>
      </w:r>
      <w:r w:rsidR="008A35B6" w:rsidRPr="0084705F">
        <w:rPr>
          <w:rFonts w:asciiTheme="minorHAnsi" w:hAnsiTheme="minorHAnsi" w:cstheme="minorHAnsi"/>
        </w:rPr>
        <w:t xml:space="preserve">er quanto riguarda l’apertura di filiali </w:t>
      </w:r>
      <w:r w:rsidR="00AA755B" w:rsidRPr="0084705F">
        <w:rPr>
          <w:rFonts w:asciiTheme="minorHAnsi" w:hAnsiTheme="minorHAnsi" w:cstheme="minorHAnsi"/>
          <w:lang w:val="it-IT"/>
        </w:rPr>
        <w:t>(</w:t>
      </w:r>
      <w:proofErr w:type="spellStart"/>
      <w:r w:rsidR="00AA755B" w:rsidRPr="0084705F">
        <w:rPr>
          <w:rFonts w:asciiTheme="minorHAnsi" w:hAnsiTheme="minorHAnsi" w:cstheme="minorHAnsi"/>
          <w:lang w:val="it-IT"/>
        </w:rPr>
        <w:t>branch</w:t>
      </w:r>
      <w:proofErr w:type="spellEnd"/>
      <w:r w:rsidR="00AA755B" w:rsidRPr="0084705F">
        <w:rPr>
          <w:rFonts w:asciiTheme="minorHAnsi" w:hAnsiTheme="minorHAnsi" w:cstheme="minorHAnsi"/>
          <w:lang w:val="it-IT"/>
        </w:rPr>
        <w:t xml:space="preserve">) </w:t>
      </w:r>
      <w:r w:rsidR="008A35B6" w:rsidRPr="0084705F">
        <w:rPr>
          <w:rFonts w:asciiTheme="minorHAnsi" w:hAnsiTheme="minorHAnsi" w:cstheme="minorHAnsi"/>
        </w:rPr>
        <w:t>di societa’</w:t>
      </w:r>
      <w:r w:rsidR="00AA755B" w:rsidRPr="0084705F">
        <w:rPr>
          <w:rFonts w:asciiTheme="minorHAnsi" w:hAnsiTheme="minorHAnsi" w:cstheme="minorHAnsi"/>
        </w:rPr>
        <w:t xml:space="preserve"> estere in Libia, indispensabil</w:t>
      </w:r>
      <w:r w:rsidR="00AA755B" w:rsidRPr="0084705F">
        <w:rPr>
          <w:rFonts w:asciiTheme="minorHAnsi" w:hAnsiTheme="minorHAnsi" w:cstheme="minorHAnsi"/>
          <w:lang w:val="it-IT"/>
        </w:rPr>
        <w:t>i</w:t>
      </w:r>
      <w:r w:rsidR="008A35B6" w:rsidRPr="0084705F">
        <w:rPr>
          <w:rFonts w:asciiTheme="minorHAnsi" w:hAnsiTheme="minorHAnsi" w:cstheme="minorHAnsi"/>
        </w:rPr>
        <w:t xml:space="preserve"> per poter concludere contratti, viene stabilito che il direttore di filiale e il suo vice devono essere cittadini libici. La norma, che ha l’obiettivo di favorire l’impiego di personale loca</w:t>
      </w:r>
      <w:r w:rsidR="0087073C" w:rsidRPr="0084705F">
        <w:rPr>
          <w:rFonts w:asciiTheme="minorHAnsi" w:hAnsiTheme="minorHAnsi" w:cstheme="minorHAnsi"/>
        </w:rPr>
        <w:t xml:space="preserve">le, </w:t>
      </w:r>
      <w:r w:rsidR="0087073C" w:rsidRPr="0084705F">
        <w:rPr>
          <w:rFonts w:asciiTheme="minorHAnsi" w:hAnsiTheme="minorHAnsi" w:cstheme="minorHAnsi"/>
          <w:lang w:val="it-IT"/>
        </w:rPr>
        <w:t>è</w:t>
      </w:r>
      <w:r w:rsidR="008A35B6" w:rsidRPr="0084705F">
        <w:rPr>
          <w:rFonts w:asciiTheme="minorHAnsi" w:hAnsiTheme="minorHAnsi" w:cstheme="minorHAnsi"/>
        </w:rPr>
        <w:t xml:space="preserve"> in realtà un ostacolo perché impone la ricerca di persone </w:t>
      </w:r>
      <w:r w:rsidR="008A35B6" w:rsidRPr="0084705F">
        <w:rPr>
          <w:rFonts w:asciiTheme="minorHAnsi" w:hAnsiTheme="minorHAnsi" w:cstheme="minorHAnsi"/>
        </w:rPr>
        <w:lastRenderedPageBreak/>
        <w:t xml:space="preserve">affidabili in un contesto </w:t>
      </w:r>
      <w:r w:rsidR="0087073C" w:rsidRPr="0084705F">
        <w:rPr>
          <w:rFonts w:asciiTheme="minorHAnsi" w:hAnsiTheme="minorHAnsi" w:cstheme="minorHAnsi"/>
          <w:lang w:val="it-IT"/>
        </w:rPr>
        <w:t xml:space="preserve">spesso poco conosciuto </w:t>
      </w:r>
      <w:r w:rsidR="008A35B6" w:rsidRPr="0084705F">
        <w:rPr>
          <w:rFonts w:asciiTheme="minorHAnsi" w:hAnsiTheme="minorHAnsi" w:cstheme="minorHAnsi"/>
        </w:rPr>
        <w:t>per imprese che vi si affacciano per la prima volta.</w:t>
      </w:r>
    </w:p>
    <w:p w:rsidR="0087073C" w:rsidRPr="0084705F" w:rsidRDefault="0087073C" w:rsidP="0087073C">
      <w:pPr>
        <w:autoSpaceDE w:val="0"/>
        <w:autoSpaceDN w:val="0"/>
        <w:adjustRightInd w:val="0"/>
        <w:spacing w:line="264" w:lineRule="auto"/>
        <w:jc w:val="both"/>
        <w:rPr>
          <w:rFonts w:asciiTheme="minorHAnsi" w:eastAsia="Times New Roman" w:hAnsiTheme="minorHAnsi" w:cstheme="minorHAnsi"/>
          <w:lang w:val="it-IT"/>
        </w:rPr>
      </w:pPr>
      <w:r w:rsidRPr="0084705F">
        <w:rPr>
          <w:rFonts w:asciiTheme="minorHAnsi" w:eastAsia="Times New Roman" w:hAnsiTheme="minorHAnsi" w:cstheme="minorHAnsi"/>
          <w:lang w:val="it-IT"/>
        </w:rPr>
        <w:t>L’ufficio di rappresentanza è la forma più semplice di presenza di società stranire, ma non gli è consentito stipulare direttamente contratti o esercitare attività commerciale, ma solo effettuare studi o ricerche di mercato.</w:t>
      </w:r>
    </w:p>
    <w:p w:rsidR="008A35B6" w:rsidRPr="0084705F" w:rsidRDefault="008A35B6" w:rsidP="0087073C">
      <w:pPr>
        <w:jc w:val="both"/>
        <w:rPr>
          <w:rFonts w:asciiTheme="minorHAnsi" w:hAnsiTheme="minorHAnsi" w:cstheme="minorHAnsi"/>
        </w:rPr>
      </w:pPr>
      <w:r w:rsidRPr="0084705F">
        <w:rPr>
          <w:rFonts w:asciiTheme="minorHAnsi" w:hAnsiTheme="minorHAnsi" w:cstheme="minorHAnsi"/>
        </w:rPr>
        <w:t>A</w:t>
      </w:r>
      <w:r w:rsidR="0087073C" w:rsidRPr="0084705F">
        <w:rPr>
          <w:rFonts w:asciiTheme="minorHAnsi" w:hAnsiTheme="minorHAnsi" w:cstheme="minorHAnsi"/>
        </w:rPr>
        <w:t xml:space="preserve"> parte la decisione n.207/2012</w:t>
      </w:r>
      <w:r w:rsidR="0087073C" w:rsidRPr="0084705F">
        <w:rPr>
          <w:rFonts w:asciiTheme="minorHAnsi" w:hAnsiTheme="minorHAnsi" w:cstheme="minorHAnsi"/>
          <w:lang w:val="it-IT"/>
        </w:rPr>
        <w:t xml:space="preserve">, </w:t>
      </w:r>
      <w:r w:rsidRPr="0084705F">
        <w:rPr>
          <w:rFonts w:asciiTheme="minorHAnsi" w:hAnsiTheme="minorHAnsi" w:cstheme="minorHAnsi"/>
        </w:rPr>
        <w:t xml:space="preserve">il quadro normativo si deve riferire a quanto stabilito prima della rivoluzione, in particolare alla legge n.9 del 2010 in materia di promozione degli investimenti. Questa legislazione </w:t>
      </w:r>
      <w:r w:rsidR="00B92F9C" w:rsidRPr="0084705F">
        <w:rPr>
          <w:rFonts w:asciiTheme="minorHAnsi" w:hAnsiTheme="minorHAnsi" w:cstheme="minorHAnsi"/>
          <w:lang w:val="it-IT"/>
        </w:rPr>
        <w:t>ha</w:t>
      </w:r>
      <w:r w:rsidRPr="0084705F">
        <w:rPr>
          <w:rFonts w:asciiTheme="minorHAnsi" w:hAnsiTheme="minorHAnsi" w:cstheme="minorHAnsi"/>
        </w:rPr>
        <w:t xml:space="preserve"> tra i suoi obiettivi la qualificazione professionale dei quadri locali, il trasferimento di know-how e tecnologia, lo sviluppo delle aree interessate dagli investimenti, l’incremento e la diversif</w:t>
      </w:r>
      <w:r w:rsidR="00B92F9C" w:rsidRPr="0084705F">
        <w:rPr>
          <w:rFonts w:asciiTheme="minorHAnsi" w:hAnsiTheme="minorHAnsi" w:cstheme="minorHAnsi"/>
        </w:rPr>
        <w:t>icazione delle fonti di reddito</w:t>
      </w:r>
      <w:r w:rsidRPr="0084705F">
        <w:rPr>
          <w:rFonts w:asciiTheme="minorHAnsi" w:hAnsiTheme="minorHAnsi" w:cstheme="minorHAnsi"/>
        </w:rPr>
        <w:t>.</w:t>
      </w:r>
    </w:p>
    <w:p w:rsidR="008A35B6" w:rsidRPr="0087073C" w:rsidRDefault="008A35B6" w:rsidP="008A35B6">
      <w:pPr>
        <w:jc w:val="both"/>
        <w:rPr>
          <w:rFonts w:asciiTheme="minorHAnsi" w:hAnsiTheme="minorHAnsi" w:cstheme="minorHAnsi"/>
        </w:rPr>
      </w:pPr>
      <w:r w:rsidRPr="0084705F">
        <w:rPr>
          <w:rFonts w:asciiTheme="minorHAnsi" w:hAnsiTheme="minorHAnsi" w:cstheme="minorHAnsi"/>
        </w:rPr>
        <w:t>Gli investimenti che ricadono nell’ambito applicativo della legge n. 9/2010 beneficiano di particolari incentivi, agevolazioni fiscali, diritti e garanzie quali l’esenzione</w:t>
      </w:r>
      <w:r w:rsidRPr="0087073C">
        <w:rPr>
          <w:rFonts w:asciiTheme="minorHAnsi" w:hAnsiTheme="minorHAnsi" w:cstheme="minorHAnsi"/>
        </w:rPr>
        <w:t xml:space="preserve"> per 5 anni dall’imposta sugli utili; l’esenzione dai dazi doganali ed altre tasse sull’importazione di attrezzature e macchinari per la realizzazione del progetto; l’esenzione dal prelievo doganale ed altre tasse sull’import degli input necessari al suo funzionamento per i primi cinque anni di attività; l’esenzione dei prodotti destinati all’esportazione dall’imposta sulla produzione e da tutte le altre tasse; il diritto di accedere a prestiti da istituzioni bancarie e finanziarie; il diritto di riesportare il capitale investito in caso di prematura conclusione o cessione del progetto; il diritto di riesportare il capitale investito in caso di mancato avvio del progetto entro sei mesi dalla sua approvazione per fattori estranei all’investitore; il diritto di trasferire all’estero utili ed interessi annuali del capitale investito; il diritto di impiegare personale espatriato in mancanza di personale locale qualificato e la possibilità di ottenere permessi di residenza rinnovabili per 5 anni e visti d’ingresso multipli per il personale impiegato nel progetto.</w:t>
      </w:r>
    </w:p>
    <w:p w:rsidR="0087073C" w:rsidRDefault="0087073C" w:rsidP="00853D18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ACQUISTO IMMOBILI E TERRENI</w:t>
      </w:r>
    </w:p>
    <w:p w:rsidR="00853D18" w:rsidRDefault="00853D18" w:rsidP="0087073C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Per quanto riguarda gli acquisiti immobiliari, </w:t>
      </w:r>
      <w:r w:rsidR="0087073C">
        <w:rPr>
          <w:rFonts w:cs="Calibri"/>
          <w:lang w:val="it-IT"/>
        </w:rPr>
        <w:t xml:space="preserve">è ancora in vigore la legislazione del 1992 </w:t>
      </w:r>
      <w:r w:rsidR="00205EC1">
        <w:rPr>
          <w:rFonts w:cs="Calibri"/>
          <w:lang w:val="it-IT"/>
        </w:rPr>
        <w:t>che non consente ai soggetti stranieri di acquistare e di trascrivere l’acquisto dell’immobile nel registro immobiliare, eccetto che per i cittadini di quei Paesi con cui la Libia ha stipulato delle apposite intese. Tra l’Italia e la Libia non sono stati conclusi accordi in tal senso.</w:t>
      </w:r>
    </w:p>
    <w:p w:rsidR="0084705F" w:rsidRDefault="0084705F" w:rsidP="0084705F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84705F">
        <w:rPr>
          <w:rFonts w:cs="Calibri"/>
          <w:lang w:val="it-IT"/>
        </w:rPr>
        <w:lastRenderedPageBreak/>
        <w:t>Quanto precede attiene a quanto disposto in via generale dall’ordinamento giuridico libico e dalle prassi, ferme restando le incertezze collegate alle condizioni politiche e di sicurezza attuali.</w:t>
      </w:r>
    </w:p>
    <w:p w:rsidR="00853D18" w:rsidRDefault="00853D18" w:rsidP="00853D18">
      <w:pPr>
        <w:autoSpaceDE w:val="0"/>
        <w:autoSpaceDN w:val="0"/>
        <w:adjustRightInd w:val="0"/>
        <w:spacing w:after="128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853D18" w:rsidRDefault="00853D18" w:rsidP="00853D18">
      <w:pPr>
        <w:numPr>
          <w:ilvl w:val="0"/>
          <w:numId w:val="1"/>
        </w:numPr>
        <w:autoSpaceDE w:val="0"/>
        <w:autoSpaceDN w:val="0"/>
        <w:adjustRightInd w:val="0"/>
        <w:spacing w:after="128" w:line="240" w:lineRule="auto"/>
        <w:ind w:left="1077" w:hanging="340"/>
        <w:jc w:val="both"/>
        <w:rPr>
          <w:rFonts w:cs="Calibri"/>
          <w:lang w:val="it-IT"/>
        </w:rPr>
      </w:pPr>
      <w:r>
        <w:rPr>
          <w:rFonts w:cs="Calibri"/>
          <w:color w:val="00B050"/>
          <w:lang w:val="it-IT"/>
        </w:rPr>
        <w:t>ACCORDO SULLA PROMOZIONE E PROTEZIONE DEGLI INVESTIMENTI</w:t>
      </w:r>
      <w:r>
        <w:rPr>
          <w:rFonts w:cs="Calibri"/>
          <w:color w:val="484848"/>
          <w:lang w:val="it-IT"/>
        </w:rPr>
        <w:t xml:space="preserve"> </w:t>
      </w:r>
      <w:r>
        <w:rPr>
          <w:rFonts w:cs="Calibri"/>
          <w:lang w:val="it-IT"/>
        </w:rPr>
        <w:t>(firmato a Roma il 13.12.2000, in vigore dal 20.10.2004)</w:t>
      </w:r>
    </w:p>
    <w:p w:rsidR="00853D18" w:rsidRDefault="006E6B2B" w:rsidP="00853D18">
      <w:pPr>
        <w:autoSpaceDE w:val="0"/>
        <w:autoSpaceDN w:val="0"/>
        <w:adjustRightInd w:val="0"/>
        <w:spacing w:after="128" w:line="240" w:lineRule="auto"/>
        <w:ind w:left="360"/>
        <w:jc w:val="both"/>
        <w:rPr>
          <w:rFonts w:cs="Calibri"/>
          <w:color w:val="484848"/>
          <w:lang w:val="it-IT"/>
        </w:rPr>
      </w:pPr>
      <w:hyperlink r:id="rId5" w:history="1">
        <w:r w:rsidR="00853D18">
          <w:rPr>
            <w:rStyle w:val="Collegamentoipertestuale"/>
            <w:rFonts w:cs="Calibri"/>
            <w:color w:val="0000FF"/>
            <w:lang w:val="it-IT"/>
          </w:rPr>
          <w:t>http://atrio.esteri.it/Ricerca_Documenti/wfrmRicerca_Documenti.aspx</w:t>
        </w:r>
      </w:hyperlink>
      <w:r w:rsidR="00853D18">
        <w:rPr>
          <w:rFonts w:cs="Calibri"/>
          <w:color w:val="484848"/>
          <w:lang w:val="it-IT"/>
        </w:rPr>
        <w:t xml:space="preserve"> </w:t>
      </w:r>
    </w:p>
    <w:p w:rsidR="00505039" w:rsidRPr="00853D18" w:rsidRDefault="00505039">
      <w:pPr>
        <w:rPr>
          <w:lang w:val="it-IT"/>
        </w:rPr>
      </w:pPr>
    </w:p>
    <w:sectPr w:rsidR="00505039" w:rsidRPr="00853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18"/>
    <w:rsid w:val="00075BC9"/>
    <w:rsid w:val="001A2AB9"/>
    <w:rsid w:val="00205EC1"/>
    <w:rsid w:val="00233CB7"/>
    <w:rsid w:val="00240D16"/>
    <w:rsid w:val="00347A7C"/>
    <w:rsid w:val="00415D5E"/>
    <w:rsid w:val="00505039"/>
    <w:rsid w:val="005C62AD"/>
    <w:rsid w:val="006E6B2B"/>
    <w:rsid w:val="00730879"/>
    <w:rsid w:val="00836D84"/>
    <w:rsid w:val="0084705F"/>
    <w:rsid w:val="00853D18"/>
    <w:rsid w:val="0087073C"/>
    <w:rsid w:val="008A35B6"/>
    <w:rsid w:val="009E514F"/>
    <w:rsid w:val="009E6268"/>
    <w:rsid w:val="00AA755B"/>
    <w:rsid w:val="00B92F9C"/>
    <w:rsid w:val="00D55011"/>
    <w:rsid w:val="00DE4054"/>
    <w:rsid w:val="00ED2DCD"/>
    <w:rsid w:val="00EE648E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BECFA-23BE-4F7C-B0F4-3748261A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3D18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53D1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B2B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trio.esteri.it/Ricerca_Documenti/wfrmRicerca_Document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Silvestri Andrea</cp:lastModifiedBy>
  <cp:revision>2</cp:revision>
  <dcterms:created xsi:type="dcterms:W3CDTF">2020-08-24T16:21:00Z</dcterms:created>
  <dcterms:modified xsi:type="dcterms:W3CDTF">2020-08-24T16:21:00Z</dcterms:modified>
</cp:coreProperties>
</file>