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B9" w:rsidRPr="008B57A8" w:rsidRDefault="00006FB9" w:rsidP="00006FB9">
      <w:pPr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b/>
          <w:bCs/>
          <w:sz w:val="22"/>
          <w:szCs w:val="22"/>
        </w:rPr>
      </w:pPr>
      <w:r w:rsidRPr="008B57A8">
        <w:rPr>
          <w:rFonts w:ascii="Calibri" w:hAnsi="Calibri" w:cs="Calibri"/>
          <w:b/>
          <w:bCs/>
          <w:sz w:val="22"/>
          <w:szCs w:val="22"/>
        </w:rPr>
        <w:t>OMAN</w:t>
      </w:r>
    </w:p>
    <w:p w:rsidR="00006FB9" w:rsidRPr="008B57A8" w:rsidRDefault="00006FB9" w:rsidP="00006FB9">
      <w:pPr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2"/>
          <w:szCs w:val="22"/>
        </w:rPr>
      </w:pPr>
    </w:p>
    <w:p w:rsidR="00006FB9" w:rsidRPr="008B57A8" w:rsidRDefault="00006FB9" w:rsidP="00006FB9">
      <w:pPr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8B57A8">
        <w:rPr>
          <w:rFonts w:ascii="Calibri" w:hAnsi="Calibri" w:cs="Calibri"/>
          <w:sz w:val="22"/>
          <w:szCs w:val="22"/>
        </w:rPr>
        <w:t>ACCORDI IN VIGORE:</w:t>
      </w:r>
    </w:p>
    <w:p w:rsidR="00006FB9" w:rsidRPr="008B57A8" w:rsidRDefault="00006FB9" w:rsidP="00006FB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 w:after="40"/>
        <w:ind w:left="720"/>
        <w:jc w:val="both"/>
        <w:rPr>
          <w:rFonts w:ascii="Calibri" w:hAnsi="Calibri" w:cs="Calibri"/>
          <w:sz w:val="22"/>
          <w:szCs w:val="22"/>
          <w:lang w:val="it-IT"/>
        </w:rPr>
      </w:pPr>
      <w:r w:rsidRPr="008B57A8">
        <w:rPr>
          <w:rFonts w:ascii="Calibri" w:hAnsi="Calibri" w:cs="Calibri"/>
          <w:color w:val="00B050"/>
          <w:sz w:val="22"/>
          <w:szCs w:val="22"/>
          <w:lang w:val="it-IT"/>
        </w:rPr>
        <w:t xml:space="preserve">ACCORDO PER LA PROMOZIONE E LA PROTEZIONE DEGLI INVESTIMENTI, CON PROTOCOLLO </w:t>
      </w:r>
      <w:r w:rsidRPr="008B57A8">
        <w:rPr>
          <w:rFonts w:ascii="Calibri" w:hAnsi="Calibri" w:cs="Calibri"/>
          <w:sz w:val="22"/>
          <w:szCs w:val="22"/>
          <w:lang w:val="it-IT"/>
        </w:rPr>
        <w:t>(firmato a Roma il 23.6.1993, in vigore dal 23.01.1997)</w:t>
      </w:r>
    </w:p>
    <w:p w:rsidR="00006FB9" w:rsidRPr="008B57A8" w:rsidRDefault="00006FB9" w:rsidP="00006FB9">
      <w:pPr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2"/>
          <w:szCs w:val="22"/>
          <w:lang w:val="it-IT"/>
        </w:rPr>
      </w:pPr>
      <w:r w:rsidRPr="008B57A8">
        <w:rPr>
          <w:rFonts w:ascii="Calibri" w:hAnsi="Calibri" w:cs="Calibri"/>
          <w:color w:val="0000FF"/>
          <w:sz w:val="22"/>
          <w:szCs w:val="22"/>
          <w:lang w:val="it-IT"/>
        </w:rPr>
        <w:t xml:space="preserve">      </w:t>
      </w:r>
      <w:r w:rsidR="00CD6471" w:rsidRPr="008B57A8">
        <w:rPr>
          <w:rFonts w:ascii="Calibri" w:hAnsi="Calibri" w:cs="Calibri"/>
          <w:color w:val="0000FF"/>
          <w:sz w:val="22"/>
          <w:szCs w:val="22"/>
          <w:lang w:val="it-IT"/>
        </w:rPr>
        <w:tab/>
      </w:r>
      <w:r w:rsidRPr="008B57A8">
        <w:rPr>
          <w:rFonts w:ascii="Calibri" w:hAnsi="Calibri" w:cs="Calibri"/>
          <w:color w:val="0000FF"/>
          <w:sz w:val="22"/>
          <w:szCs w:val="22"/>
          <w:lang w:val="it-IT"/>
        </w:rPr>
        <w:t xml:space="preserve"> </w:t>
      </w:r>
      <w:hyperlink r:id="rId7" w:history="1">
        <w:r w:rsidRPr="008B57A8">
          <w:rPr>
            <w:rFonts w:ascii="Calibri" w:hAnsi="Calibri" w:cs="Calibri"/>
            <w:color w:val="0000FF"/>
            <w:sz w:val="22"/>
            <w:szCs w:val="22"/>
            <w:u w:val="single"/>
            <w:lang w:val="it-IT"/>
          </w:rPr>
          <w:t>http://atrio.esteri.it/Ricerca_Documenti/wfrmRicerca_Documenti.aspx</w:t>
        </w:r>
      </w:hyperlink>
    </w:p>
    <w:p w:rsidR="00006FB9" w:rsidRPr="008B57A8" w:rsidRDefault="00006FB9" w:rsidP="00006FB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 w:after="40"/>
        <w:ind w:left="720"/>
        <w:jc w:val="both"/>
        <w:rPr>
          <w:rFonts w:ascii="Calibri" w:hAnsi="Calibri" w:cs="Calibri"/>
          <w:sz w:val="22"/>
          <w:szCs w:val="22"/>
          <w:lang w:val="it-IT"/>
        </w:rPr>
      </w:pPr>
      <w:r w:rsidRPr="008B57A8">
        <w:rPr>
          <w:rFonts w:ascii="Calibri" w:hAnsi="Calibri" w:cs="Calibri"/>
          <w:color w:val="00B050"/>
          <w:sz w:val="22"/>
          <w:szCs w:val="22"/>
          <w:lang w:val="it-IT"/>
        </w:rPr>
        <w:t xml:space="preserve">CONVENZIONE PER EVITARE LE DOPPIE IMPOSIZIONI IN MATERIA DI IMPOSTE SUL REDDITO E PER PREVENIRE LE EVASIONI FISCALI, CON PROTOCOLLO AGGIUNTIVO </w:t>
      </w:r>
      <w:r w:rsidRPr="008B57A8">
        <w:rPr>
          <w:rFonts w:ascii="Calibri" w:hAnsi="Calibri" w:cs="Calibri"/>
          <w:sz w:val="22"/>
          <w:szCs w:val="22"/>
          <w:lang w:val="it-IT"/>
        </w:rPr>
        <w:t>(firmata a Mascate il 06.5.1998, in vigore dal 22.10.2002)</w:t>
      </w:r>
    </w:p>
    <w:p w:rsidR="00006FB9" w:rsidRPr="008B57A8" w:rsidRDefault="00AC5E11" w:rsidP="00CD6471">
      <w:pPr>
        <w:autoSpaceDE w:val="0"/>
        <w:autoSpaceDN w:val="0"/>
        <w:adjustRightInd w:val="0"/>
        <w:spacing w:before="40" w:after="40"/>
        <w:ind w:left="360" w:firstLine="360"/>
        <w:jc w:val="both"/>
        <w:rPr>
          <w:rFonts w:ascii="Calibri" w:hAnsi="Calibri" w:cs="Calibri"/>
          <w:color w:val="0000FF"/>
          <w:sz w:val="22"/>
          <w:szCs w:val="22"/>
          <w:u w:val="single"/>
          <w:lang w:val="it-IT"/>
        </w:rPr>
      </w:pPr>
      <w:hyperlink r:id="rId8" w:history="1">
        <w:r w:rsidR="00006FB9" w:rsidRPr="008B57A8">
          <w:rPr>
            <w:rFonts w:ascii="Calibri" w:hAnsi="Calibri" w:cs="Calibri"/>
            <w:color w:val="0000FF"/>
            <w:sz w:val="22"/>
            <w:szCs w:val="22"/>
            <w:u w:val="single"/>
            <w:lang w:val="it-IT"/>
          </w:rPr>
          <w:t>http://atrio.esteri.it/Ricerca_Documenti/wfrmRicerca_Documenti.aspx</w:t>
        </w:r>
      </w:hyperlink>
    </w:p>
    <w:p w:rsidR="00CD6471" w:rsidRPr="008B57A8" w:rsidRDefault="00CD6471" w:rsidP="00CD6471">
      <w:pPr>
        <w:autoSpaceDE w:val="0"/>
        <w:autoSpaceDN w:val="0"/>
        <w:adjustRightInd w:val="0"/>
        <w:spacing w:before="40" w:after="40"/>
        <w:ind w:left="360" w:firstLine="36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006FB9" w:rsidRPr="008B57A8" w:rsidRDefault="00006FB9">
      <w:pPr>
        <w:pStyle w:val="Default"/>
        <w:spacing w:before="0"/>
        <w:jc w:val="both"/>
        <w:rPr>
          <w:rFonts w:ascii="Calibri" w:hAnsi="Calibri" w:cs="Calibri"/>
          <w:color w:val="212121"/>
          <w:sz w:val="22"/>
          <w:szCs w:val="22"/>
          <w:lang w:val="it-IT"/>
        </w:rPr>
      </w:pPr>
      <w:bookmarkStart w:id="0" w:name="_GoBack"/>
    </w:p>
    <w:p w:rsidR="002B5019" w:rsidRPr="008B57A8" w:rsidRDefault="00CD6471">
      <w:pPr>
        <w:pStyle w:val="Default"/>
        <w:spacing w:before="0"/>
        <w:jc w:val="both"/>
        <w:rPr>
          <w:rFonts w:ascii="Calibri" w:eastAsia="Helvetica" w:hAnsi="Calibri" w:cs="Calibri"/>
          <w:color w:val="212121"/>
          <w:sz w:val="22"/>
          <w:szCs w:val="22"/>
          <w:lang w:val="it-IT"/>
        </w:rPr>
      </w:pPr>
      <w:r w:rsidRPr="008B57A8">
        <w:rPr>
          <w:rFonts w:ascii="Calibri" w:eastAsia="Helvetica" w:hAnsi="Calibri" w:cs="Calibri"/>
          <w:color w:val="212121"/>
          <w:sz w:val="22"/>
          <w:szCs w:val="22"/>
          <w:lang w:val="it-IT"/>
        </w:rPr>
        <w:t>INFORMAZIONI GENERALI</w:t>
      </w:r>
    </w:p>
    <w:p w:rsidR="00CD6471" w:rsidRPr="008B57A8" w:rsidRDefault="00CD6471">
      <w:pPr>
        <w:pStyle w:val="Default"/>
        <w:spacing w:before="0"/>
        <w:jc w:val="both"/>
        <w:rPr>
          <w:rFonts w:ascii="Calibri" w:hAnsi="Calibri" w:cs="Calibri"/>
          <w:color w:val="212121"/>
          <w:sz w:val="22"/>
          <w:szCs w:val="22"/>
          <w:lang w:val="it-IT"/>
        </w:rPr>
      </w:pPr>
    </w:p>
    <w:p w:rsidR="002B5019" w:rsidRPr="008B57A8" w:rsidRDefault="00F54A70" w:rsidP="00CD6471">
      <w:pPr>
        <w:pStyle w:val="Default"/>
        <w:spacing w:before="0"/>
        <w:jc w:val="both"/>
        <w:rPr>
          <w:rFonts w:ascii="Calibri" w:eastAsia="Helvetica" w:hAnsi="Calibri" w:cs="Calibri"/>
          <w:color w:val="212121"/>
          <w:sz w:val="22"/>
          <w:szCs w:val="22"/>
          <w:lang w:val="it-IT"/>
        </w:rPr>
      </w:pPr>
      <w:r w:rsidRPr="00F54A70">
        <w:rPr>
          <w:rFonts w:ascii="Calibri" w:hAnsi="Calibri" w:cs="Calibri"/>
          <w:color w:val="212121"/>
          <w:sz w:val="22"/>
          <w:szCs w:val="22"/>
          <w:lang w:val="it-IT"/>
        </w:rPr>
        <w:t xml:space="preserve">Si ritiene utile segnalare che, nonostante la sussistenza dell’accordo firmato nel ’93, gli stranieri incontrano i limiti </w:t>
      </w:r>
      <w:r w:rsidR="00AC5E11">
        <w:rPr>
          <w:rFonts w:ascii="Calibri" w:hAnsi="Calibri" w:cs="Calibri"/>
          <w:color w:val="212121"/>
          <w:sz w:val="22"/>
          <w:szCs w:val="22"/>
          <w:lang w:val="it-IT"/>
        </w:rPr>
        <w:t xml:space="preserve">evidenziati di seguito </w:t>
      </w:r>
      <w:r w:rsidRPr="00F54A70">
        <w:rPr>
          <w:rFonts w:ascii="Calibri" w:hAnsi="Calibri" w:cs="Calibri"/>
          <w:color w:val="212121"/>
          <w:sz w:val="22"/>
          <w:szCs w:val="22"/>
          <w:lang w:val="it-IT"/>
        </w:rPr>
        <w:t>nell'acquisto di proprietà in Oman</w:t>
      </w:r>
      <w:r w:rsidR="0015193C" w:rsidRPr="008B57A8">
        <w:rPr>
          <w:rFonts w:ascii="Calibri" w:hAnsi="Calibri" w:cs="Calibri"/>
          <w:color w:val="212121"/>
          <w:sz w:val="22"/>
          <w:szCs w:val="22"/>
          <w:lang w:val="it-IT"/>
        </w:rPr>
        <w:t xml:space="preserve">. </w:t>
      </w:r>
    </w:p>
    <w:p w:rsidR="002B5019" w:rsidRPr="008B57A8" w:rsidRDefault="002B5019" w:rsidP="00CD6471">
      <w:pPr>
        <w:pStyle w:val="Default"/>
        <w:spacing w:before="0"/>
        <w:jc w:val="both"/>
        <w:rPr>
          <w:rFonts w:ascii="Calibri" w:eastAsia="Helvetica" w:hAnsi="Calibri" w:cs="Calibri"/>
          <w:color w:val="212121"/>
          <w:sz w:val="22"/>
          <w:szCs w:val="22"/>
          <w:lang w:val="it-IT"/>
        </w:rPr>
      </w:pPr>
    </w:p>
    <w:p w:rsidR="002B5019" w:rsidRPr="008B57A8" w:rsidRDefault="00CD6471" w:rsidP="00CD6471">
      <w:pPr>
        <w:pStyle w:val="Default"/>
        <w:spacing w:before="0"/>
        <w:jc w:val="both"/>
        <w:rPr>
          <w:rFonts w:ascii="Calibri" w:hAnsi="Calibri" w:cs="Calibri"/>
          <w:bCs/>
          <w:color w:val="212121"/>
          <w:sz w:val="22"/>
          <w:szCs w:val="22"/>
          <w:lang w:val="it-IT"/>
        </w:rPr>
      </w:pPr>
      <w:r w:rsidRPr="008B57A8">
        <w:rPr>
          <w:rFonts w:ascii="Calibri" w:hAnsi="Calibri" w:cs="Calibri"/>
          <w:bCs/>
          <w:color w:val="212121"/>
          <w:sz w:val="22"/>
          <w:szCs w:val="22"/>
          <w:lang w:val="it-IT"/>
        </w:rPr>
        <w:t>ACQUISTO DI FABBRICATI AD USO ABITATIVO/COMMERCIALE/TERRENI </w:t>
      </w:r>
    </w:p>
    <w:p w:rsidR="002B5019" w:rsidRPr="008B57A8" w:rsidRDefault="00CD6471" w:rsidP="00CD6471">
      <w:pPr>
        <w:pStyle w:val="Default"/>
        <w:spacing w:before="0"/>
        <w:jc w:val="both"/>
        <w:rPr>
          <w:rFonts w:ascii="Calibri" w:eastAsia="Arial" w:hAnsi="Calibri" w:cs="Calibri"/>
          <w:color w:val="212121"/>
          <w:sz w:val="22"/>
          <w:szCs w:val="22"/>
          <w:lang w:val="it-IT"/>
        </w:rPr>
      </w:pPr>
      <w:r w:rsidRPr="008B57A8">
        <w:rPr>
          <w:rFonts w:ascii="Calibri" w:hAnsi="Calibri" w:cs="Calibri"/>
          <w:color w:val="212121"/>
          <w:sz w:val="22"/>
          <w:szCs w:val="22"/>
          <w:lang w:val="it-IT"/>
        </w:rPr>
        <w:t>È consentito</w:t>
      </w:r>
      <w:r w:rsidR="0015193C" w:rsidRPr="008B57A8">
        <w:rPr>
          <w:rFonts w:ascii="Calibri" w:hAnsi="Calibri" w:cs="Calibri"/>
          <w:color w:val="212121"/>
          <w:sz w:val="22"/>
          <w:szCs w:val="22"/>
          <w:lang w:val="it-IT"/>
        </w:rPr>
        <w:t xml:space="preserve"> s</w:t>
      </w:r>
      <w:r w:rsidR="00AC5E11">
        <w:rPr>
          <w:rFonts w:ascii="Calibri" w:hAnsi="Calibri" w:cs="Calibri"/>
          <w:color w:val="212121"/>
          <w:sz w:val="22"/>
          <w:szCs w:val="22"/>
          <w:lang w:val="it-IT"/>
        </w:rPr>
        <w:t>olo a</w:t>
      </w:r>
      <w:r w:rsidR="0015193C" w:rsidRPr="008B57A8">
        <w:rPr>
          <w:rFonts w:ascii="Calibri" w:hAnsi="Calibri" w:cs="Calibri"/>
          <w:color w:val="212121"/>
          <w:sz w:val="22"/>
          <w:szCs w:val="22"/>
          <w:lang w:val="it-IT"/>
        </w:rPr>
        <w:t>ll'interno d</w:t>
      </w:r>
      <w:r w:rsidR="00AC5E11">
        <w:rPr>
          <w:rFonts w:ascii="Calibri" w:hAnsi="Calibri" w:cs="Calibri"/>
          <w:color w:val="212121"/>
          <w:sz w:val="22"/>
          <w:szCs w:val="22"/>
          <w:lang w:val="it-IT"/>
        </w:rPr>
        <w:t>egl</w:t>
      </w:r>
      <w:r w:rsidR="0015193C" w:rsidRPr="008B57A8">
        <w:rPr>
          <w:rFonts w:ascii="Calibri" w:hAnsi="Calibri" w:cs="Calibri"/>
          <w:color w:val="212121"/>
          <w:sz w:val="22"/>
          <w:szCs w:val="22"/>
          <w:lang w:val="it-IT"/>
        </w:rPr>
        <w:t xml:space="preserve">i </w:t>
      </w:r>
      <w:r w:rsidR="0015193C" w:rsidRPr="008B57A8">
        <w:rPr>
          <w:rStyle w:val="None"/>
          <w:rFonts w:ascii="Calibri" w:hAnsi="Calibri" w:cs="Calibri"/>
          <w:i/>
          <w:iCs/>
          <w:color w:val="212121"/>
          <w:sz w:val="22"/>
          <w:szCs w:val="22"/>
          <w:lang w:val="it-IT"/>
        </w:rPr>
        <w:t>Integrated Tourist Complex</w:t>
      </w:r>
      <w:r w:rsidR="0015193C" w:rsidRPr="008B57A8">
        <w:rPr>
          <w:rFonts w:ascii="Calibri" w:hAnsi="Calibri" w:cs="Calibri"/>
          <w:color w:val="212121"/>
          <w:sz w:val="22"/>
          <w:szCs w:val="22"/>
          <w:lang w:val="pt-PT"/>
        </w:rPr>
        <w:t xml:space="preserve"> (ITC)</w:t>
      </w:r>
      <w:r w:rsidR="0015193C" w:rsidRPr="008B57A8">
        <w:rPr>
          <w:rFonts w:ascii="Calibri" w:hAnsi="Calibri" w:cs="Calibri"/>
          <w:color w:val="212121"/>
          <w:sz w:val="22"/>
          <w:szCs w:val="22"/>
          <w:lang w:val="it-IT"/>
        </w:rPr>
        <w:t>, come per esempio quello nella località di Al Mouj, con la possibilità di avere la piena proprietà. </w:t>
      </w:r>
    </w:p>
    <w:p w:rsidR="002B5019" w:rsidRPr="008B57A8" w:rsidRDefault="0015193C" w:rsidP="00CD6471">
      <w:pPr>
        <w:pStyle w:val="Default"/>
        <w:spacing w:before="0"/>
        <w:jc w:val="both"/>
        <w:rPr>
          <w:rFonts w:ascii="Calibri" w:eastAsia="Arial" w:hAnsi="Calibri" w:cs="Calibri"/>
          <w:color w:val="212121"/>
          <w:sz w:val="22"/>
          <w:szCs w:val="22"/>
          <w:lang w:val="it-IT"/>
        </w:rPr>
      </w:pPr>
      <w:r w:rsidRPr="008B57A8">
        <w:rPr>
          <w:rFonts w:ascii="Calibri" w:hAnsi="Calibri" w:cs="Calibri"/>
          <w:color w:val="212121"/>
          <w:sz w:val="22"/>
          <w:szCs w:val="22"/>
          <w:lang w:val="it-IT"/>
        </w:rPr>
        <w:t> </w:t>
      </w:r>
    </w:p>
    <w:p w:rsidR="002B5019" w:rsidRPr="008B57A8" w:rsidRDefault="00CD6471" w:rsidP="00CD6471">
      <w:pPr>
        <w:pStyle w:val="Default"/>
        <w:spacing w:before="0"/>
        <w:jc w:val="both"/>
        <w:rPr>
          <w:rFonts w:ascii="Calibri" w:hAnsi="Calibri" w:cs="Calibri"/>
          <w:bCs/>
          <w:color w:val="212121"/>
          <w:sz w:val="22"/>
          <w:szCs w:val="22"/>
          <w:lang w:val="it-IT"/>
        </w:rPr>
      </w:pPr>
      <w:r w:rsidRPr="008B57A8">
        <w:rPr>
          <w:rFonts w:ascii="Calibri" w:hAnsi="Calibri" w:cs="Calibri"/>
          <w:bCs/>
          <w:color w:val="212121"/>
          <w:sz w:val="22"/>
          <w:szCs w:val="22"/>
          <w:lang w:val="it-IT"/>
        </w:rPr>
        <w:t>COSTITUZIONE O ACQUISTO DI QUOTE DI SOCIETÀ</w:t>
      </w:r>
    </w:p>
    <w:p w:rsidR="002B5019" w:rsidRPr="008B57A8" w:rsidRDefault="00CD6471" w:rsidP="00CD6471">
      <w:pPr>
        <w:pStyle w:val="Default"/>
        <w:spacing w:before="0"/>
        <w:jc w:val="both"/>
        <w:rPr>
          <w:rFonts w:ascii="Calibri" w:eastAsia="Arial" w:hAnsi="Calibri" w:cs="Calibri"/>
          <w:color w:val="212121"/>
          <w:sz w:val="22"/>
          <w:szCs w:val="22"/>
          <w:lang w:val="it-IT"/>
        </w:rPr>
      </w:pPr>
      <w:r w:rsidRPr="008B57A8">
        <w:rPr>
          <w:rFonts w:ascii="Calibri" w:hAnsi="Calibri" w:cs="Calibri"/>
          <w:color w:val="212121"/>
          <w:sz w:val="22"/>
          <w:szCs w:val="22"/>
          <w:lang w:val="it-IT"/>
        </w:rPr>
        <w:t>È consentito</w:t>
      </w:r>
      <w:r w:rsidR="0015193C" w:rsidRPr="008B57A8">
        <w:rPr>
          <w:rFonts w:ascii="Calibri" w:hAnsi="Calibri" w:cs="Calibri"/>
          <w:color w:val="212121"/>
          <w:sz w:val="22"/>
          <w:szCs w:val="22"/>
          <w:lang w:val="it-IT"/>
        </w:rPr>
        <w:t>, ma con delle eccezioni. Per esempio, per le società di ingegneria si possono acquistare quote come persona giuridica. </w:t>
      </w:r>
    </w:p>
    <w:p w:rsidR="002B5019" w:rsidRPr="008B57A8" w:rsidRDefault="002B5019" w:rsidP="00CD6471">
      <w:pPr>
        <w:pStyle w:val="Default"/>
        <w:spacing w:before="0"/>
        <w:jc w:val="both"/>
        <w:rPr>
          <w:rStyle w:val="None"/>
          <w:rFonts w:ascii="Calibri" w:eastAsia="Arial" w:hAnsi="Calibri" w:cs="Calibri"/>
          <w:sz w:val="22"/>
          <w:szCs w:val="22"/>
          <w:lang w:val="it-IT"/>
        </w:rPr>
      </w:pPr>
    </w:p>
    <w:p w:rsidR="002B5019" w:rsidRPr="008B57A8" w:rsidRDefault="00CD6471" w:rsidP="00CD6471">
      <w:pPr>
        <w:pStyle w:val="Default"/>
        <w:spacing w:before="0"/>
        <w:jc w:val="both"/>
        <w:rPr>
          <w:rFonts w:ascii="Calibri" w:hAnsi="Calibri" w:cs="Calibri"/>
          <w:bCs/>
          <w:color w:val="212121"/>
          <w:sz w:val="22"/>
          <w:szCs w:val="22"/>
          <w:lang w:val="it-IT"/>
        </w:rPr>
      </w:pPr>
      <w:r w:rsidRPr="008B57A8">
        <w:rPr>
          <w:rFonts w:ascii="Calibri" w:hAnsi="Calibri" w:cs="Calibri"/>
          <w:bCs/>
          <w:color w:val="212121"/>
          <w:sz w:val="22"/>
          <w:szCs w:val="22"/>
          <w:lang w:val="it-IT"/>
        </w:rPr>
        <w:t>ASSUNZIONE DI CARICHE SOCIALE</w:t>
      </w:r>
    </w:p>
    <w:p w:rsidR="002B5019" w:rsidRPr="008B57A8" w:rsidRDefault="00CD6471" w:rsidP="00CD6471">
      <w:pPr>
        <w:pStyle w:val="Default"/>
        <w:spacing w:before="0"/>
        <w:jc w:val="both"/>
        <w:rPr>
          <w:rStyle w:val="None"/>
          <w:rFonts w:ascii="Calibri" w:eastAsia="Arial" w:hAnsi="Calibri" w:cs="Calibri"/>
          <w:sz w:val="22"/>
          <w:szCs w:val="22"/>
          <w:lang w:val="it-IT"/>
        </w:rPr>
      </w:pPr>
      <w:r w:rsidRPr="008B57A8">
        <w:rPr>
          <w:rStyle w:val="None"/>
          <w:rFonts w:ascii="Calibri" w:eastAsia="Arial" w:hAnsi="Calibri" w:cs="Calibri"/>
          <w:sz w:val="22"/>
          <w:szCs w:val="22"/>
          <w:lang w:val="it-IT"/>
        </w:rPr>
        <w:t>È consentita.</w:t>
      </w:r>
    </w:p>
    <w:p w:rsidR="002B5019" w:rsidRPr="008B57A8" w:rsidRDefault="002B5019" w:rsidP="00CD6471">
      <w:pPr>
        <w:pStyle w:val="Default"/>
        <w:spacing w:before="0"/>
        <w:jc w:val="both"/>
        <w:rPr>
          <w:rFonts w:ascii="Calibri" w:eastAsia="Arial" w:hAnsi="Calibri" w:cs="Calibri"/>
          <w:color w:val="212121"/>
          <w:sz w:val="22"/>
          <w:szCs w:val="22"/>
          <w:lang w:val="it-IT"/>
        </w:rPr>
      </w:pPr>
    </w:p>
    <w:p w:rsidR="002B5019" w:rsidRPr="008B57A8" w:rsidRDefault="00CD6471" w:rsidP="00CD6471">
      <w:pPr>
        <w:pStyle w:val="Default"/>
        <w:spacing w:before="0"/>
        <w:jc w:val="both"/>
        <w:rPr>
          <w:rFonts w:ascii="Calibri" w:hAnsi="Calibri" w:cs="Calibri"/>
          <w:bCs/>
          <w:color w:val="212121"/>
          <w:sz w:val="22"/>
          <w:szCs w:val="22"/>
          <w:lang w:val="it-IT"/>
        </w:rPr>
      </w:pPr>
      <w:r w:rsidRPr="008B57A8">
        <w:rPr>
          <w:rFonts w:ascii="Calibri" w:hAnsi="Calibri" w:cs="Calibri"/>
          <w:bCs/>
          <w:color w:val="212121"/>
          <w:sz w:val="22"/>
          <w:szCs w:val="22"/>
          <w:lang w:val="it-IT"/>
        </w:rPr>
        <w:t>ACCETTAZIONE DI EREDITÀ O DONAZIONI </w:t>
      </w:r>
    </w:p>
    <w:p w:rsidR="002B5019" w:rsidRPr="008B57A8" w:rsidRDefault="00CD6471" w:rsidP="00CD6471">
      <w:pPr>
        <w:pStyle w:val="Default"/>
        <w:spacing w:before="0"/>
        <w:jc w:val="both"/>
        <w:rPr>
          <w:rFonts w:ascii="Calibri" w:hAnsi="Calibri" w:cs="Calibri"/>
          <w:sz w:val="22"/>
          <w:szCs w:val="22"/>
          <w:lang w:val="it-IT"/>
        </w:rPr>
      </w:pPr>
      <w:r w:rsidRPr="008B57A8">
        <w:rPr>
          <w:rFonts w:ascii="Calibri" w:hAnsi="Calibri" w:cs="Calibri"/>
          <w:sz w:val="22"/>
          <w:szCs w:val="22"/>
          <w:lang w:val="it-IT"/>
        </w:rPr>
        <w:t>È consentita.</w:t>
      </w:r>
      <w:bookmarkEnd w:id="0"/>
    </w:p>
    <w:sectPr w:rsidR="002B5019" w:rsidRPr="008B57A8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DF" w:rsidRDefault="0015193C">
      <w:r>
        <w:separator/>
      </w:r>
    </w:p>
  </w:endnote>
  <w:endnote w:type="continuationSeparator" w:id="0">
    <w:p w:rsidR="00E331DF" w:rsidRDefault="0015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DF" w:rsidRDefault="0015193C">
      <w:r>
        <w:separator/>
      </w:r>
    </w:p>
  </w:footnote>
  <w:footnote w:type="continuationSeparator" w:id="0">
    <w:p w:rsidR="00E331DF" w:rsidRDefault="0015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3CF53092"/>
    <w:multiLevelType w:val="hybridMultilevel"/>
    <w:tmpl w:val="0FC2D9DC"/>
    <w:styleLink w:val="Dash"/>
    <w:lvl w:ilvl="0" w:tplc="5590E8A4">
      <w:start w:val="1"/>
      <w:numFmt w:val="bullet"/>
      <w:lvlText w:val="-"/>
      <w:lvlJc w:val="left"/>
      <w:pPr>
        <w:ind w:left="34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5AA4558">
      <w:start w:val="1"/>
      <w:numFmt w:val="bullet"/>
      <w:lvlText w:val="-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CF8819BA">
      <w:start w:val="1"/>
      <w:numFmt w:val="bullet"/>
      <w:lvlText w:val="-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836346E">
      <w:start w:val="1"/>
      <w:numFmt w:val="bullet"/>
      <w:lvlText w:val="-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CCEA25C">
      <w:start w:val="1"/>
      <w:numFmt w:val="bullet"/>
      <w:lvlText w:val="-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30C2FDA6">
      <w:start w:val="1"/>
      <w:numFmt w:val="bullet"/>
      <w:lvlText w:val="-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7034DB3E">
      <w:start w:val="1"/>
      <w:numFmt w:val="bullet"/>
      <w:lvlText w:val="-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88AA7F6">
      <w:start w:val="1"/>
      <w:numFmt w:val="bullet"/>
      <w:lvlText w:val="-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2714A2A2">
      <w:start w:val="1"/>
      <w:numFmt w:val="bullet"/>
      <w:lvlText w:val="-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449F53A5"/>
    <w:multiLevelType w:val="hybridMultilevel"/>
    <w:tmpl w:val="5BC61398"/>
    <w:lvl w:ilvl="0" w:tplc="3692D85E">
      <w:start w:val="1"/>
      <w:numFmt w:val="bullet"/>
      <w:lvlText w:val="•"/>
      <w:lvlJc w:val="left"/>
      <w:pPr>
        <w:ind w:left="22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05B12"/>
        <w:spacing w:val="0"/>
        <w:w w:val="100"/>
        <w:kern w:val="0"/>
        <w:position w:val="0"/>
        <w:highlight w:val="none"/>
        <w:vertAlign w:val="baseline"/>
      </w:rPr>
    </w:lvl>
    <w:lvl w:ilvl="1" w:tplc="441C409C">
      <w:start w:val="1"/>
      <w:numFmt w:val="bullet"/>
      <w:lvlText w:val="•"/>
      <w:lvlJc w:val="left"/>
      <w:pPr>
        <w:ind w:left="40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05B12"/>
        <w:spacing w:val="0"/>
        <w:w w:val="100"/>
        <w:kern w:val="0"/>
        <w:position w:val="-2"/>
        <w:highlight w:val="none"/>
        <w:vertAlign w:val="baseline"/>
      </w:rPr>
    </w:lvl>
    <w:lvl w:ilvl="2" w:tplc="25E04A0E">
      <w:start w:val="1"/>
      <w:numFmt w:val="bullet"/>
      <w:lvlText w:val="•"/>
      <w:lvlJc w:val="left"/>
      <w:pPr>
        <w:ind w:left="58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05B12"/>
        <w:spacing w:val="0"/>
        <w:w w:val="100"/>
        <w:kern w:val="0"/>
        <w:position w:val="-2"/>
        <w:highlight w:val="none"/>
        <w:vertAlign w:val="baseline"/>
      </w:rPr>
    </w:lvl>
    <w:lvl w:ilvl="3" w:tplc="88A0DDC2">
      <w:start w:val="1"/>
      <w:numFmt w:val="bullet"/>
      <w:lvlText w:val="•"/>
      <w:lvlJc w:val="left"/>
      <w:pPr>
        <w:ind w:left="76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05B12"/>
        <w:spacing w:val="0"/>
        <w:w w:val="100"/>
        <w:kern w:val="0"/>
        <w:position w:val="-2"/>
        <w:highlight w:val="none"/>
        <w:vertAlign w:val="baseline"/>
      </w:rPr>
    </w:lvl>
    <w:lvl w:ilvl="4" w:tplc="E4BCC6EA">
      <w:start w:val="1"/>
      <w:numFmt w:val="bullet"/>
      <w:lvlText w:val="•"/>
      <w:lvlJc w:val="left"/>
      <w:pPr>
        <w:ind w:left="94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05B12"/>
        <w:spacing w:val="0"/>
        <w:w w:val="100"/>
        <w:kern w:val="0"/>
        <w:position w:val="-2"/>
        <w:highlight w:val="none"/>
        <w:vertAlign w:val="baseline"/>
      </w:rPr>
    </w:lvl>
    <w:lvl w:ilvl="5" w:tplc="814E31BA">
      <w:start w:val="1"/>
      <w:numFmt w:val="bullet"/>
      <w:lvlText w:val="•"/>
      <w:lvlJc w:val="left"/>
      <w:pPr>
        <w:ind w:left="112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05B12"/>
        <w:spacing w:val="0"/>
        <w:w w:val="100"/>
        <w:kern w:val="0"/>
        <w:position w:val="-2"/>
        <w:highlight w:val="none"/>
        <w:vertAlign w:val="baseline"/>
      </w:rPr>
    </w:lvl>
    <w:lvl w:ilvl="6" w:tplc="2F58D04E">
      <w:start w:val="1"/>
      <w:numFmt w:val="bullet"/>
      <w:lvlText w:val="•"/>
      <w:lvlJc w:val="left"/>
      <w:pPr>
        <w:ind w:left="130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05B12"/>
        <w:spacing w:val="0"/>
        <w:w w:val="100"/>
        <w:kern w:val="0"/>
        <w:position w:val="-2"/>
        <w:highlight w:val="none"/>
        <w:vertAlign w:val="baseline"/>
      </w:rPr>
    </w:lvl>
    <w:lvl w:ilvl="7" w:tplc="C1CC4B28">
      <w:start w:val="1"/>
      <w:numFmt w:val="bullet"/>
      <w:lvlText w:val="•"/>
      <w:lvlJc w:val="left"/>
      <w:pPr>
        <w:ind w:left="148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05B12"/>
        <w:spacing w:val="0"/>
        <w:w w:val="100"/>
        <w:kern w:val="0"/>
        <w:position w:val="-2"/>
        <w:highlight w:val="none"/>
        <w:vertAlign w:val="baseline"/>
      </w:rPr>
    </w:lvl>
    <w:lvl w:ilvl="8" w:tplc="8FEA8DA0">
      <w:start w:val="1"/>
      <w:numFmt w:val="bullet"/>
      <w:lvlText w:val="•"/>
      <w:lvlJc w:val="left"/>
      <w:pPr>
        <w:ind w:left="166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05B1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99555F3"/>
    <w:multiLevelType w:val="hybridMultilevel"/>
    <w:tmpl w:val="0FC2D9DC"/>
    <w:numStyleLink w:val="Dash"/>
  </w:abstractNum>
  <w:abstractNum w:abstractNumId="4" w15:restartNumberingAfterBreak="0">
    <w:nsid w:val="7A376D3E"/>
    <w:multiLevelType w:val="hybridMultilevel"/>
    <w:tmpl w:val="62F6CD76"/>
    <w:lvl w:ilvl="0" w:tplc="A892576E">
      <w:start w:val="1"/>
      <w:numFmt w:val="bullet"/>
      <w:lvlText w:val="•"/>
      <w:lvlJc w:val="left"/>
      <w:pPr>
        <w:ind w:left="24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5A53F"/>
        <w:spacing w:val="0"/>
        <w:w w:val="100"/>
        <w:kern w:val="0"/>
        <w:position w:val="0"/>
        <w:highlight w:val="none"/>
        <w:vertAlign w:val="baseline"/>
      </w:rPr>
    </w:lvl>
    <w:lvl w:ilvl="1" w:tplc="A886B35E">
      <w:start w:val="1"/>
      <w:numFmt w:val="bullet"/>
      <w:lvlText w:val="•"/>
      <w:lvlJc w:val="left"/>
      <w:pPr>
        <w:ind w:left="42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5A53F"/>
        <w:spacing w:val="0"/>
        <w:w w:val="100"/>
        <w:kern w:val="0"/>
        <w:position w:val="-2"/>
        <w:highlight w:val="none"/>
        <w:vertAlign w:val="baseline"/>
      </w:rPr>
    </w:lvl>
    <w:lvl w:ilvl="2" w:tplc="B9E29B96">
      <w:start w:val="1"/>
      <w:numFmt w:val="bullet"/>
      <w:lvlText w:val="•"/>
      <w:lvlJc w:val="left"/>
      <w:pPr>
        <w:ind w:left="60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5A53F"/>
        <w:spacing w:val="0"/>
        <w:w w:val="100"/>
        <w:kern w:val="0"/>
        <w:position w:val="-2"/>
        <w:highlight w:val="none"/>
        <w:vertAlign w:val="baseline"/>
      </w:rPr>
    </w:lvl>
    <w:lvl w:ilvl="3" w:tplc="5E44CEF8">
      <w:start w:val="1"/>
      <w:numFmt w:val="bullet"/>
      <w:lvlText w:val="•"/>
      <w:lvlJc w:val="left"/>
      <w:pPr>
        <w:ind w:left="78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5A53F"/>
        <w:spacing w:val="0"/>
        <w:w w:val="100"/>
        <w:kern w:val="0"/>
        <w:position w:val="-2"/>
        <w:highlight w:val="none"/>
        <w:vertAlign w:val="baseline"/>
      </w:rPr>
    </w:lvl>
    <w:lvl w:ilvl="4" w:tplc="8D8232C6">
      <w:start w:val="1"/>
      <w:numFmt w:val="bullet"/>
      <w:lvlText w:val="•"/>
      <w:lvlJc w:val="left"/>
      <w:pPr>
        <w:ind w:left="96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5A53F"/>
        <w:spacing w:val="0"/>
        <w:w w:val="100"/>
        <w:kern w:val="0"/>
        <w:position w:val="-2"/>
        <w:highlight w:val="none"/>
        <w:vertAlign w:val="baseline"/>
      </w:rPr>
    </w:lvl>
    <w:lvl w:ilvl="5" w:tplc="3CB43DBA">
      <w:start w:val="1"/>
      <w:numFmt w:val="bullet"/>
      <w:lvlText w:val="•"/>
      <w:lvlJc w:val="left"/>
      <w:pPr>
        <w:ind w:left="114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5A53F"/>
        <w:spacing w:val="0"/>
        <w:w w:val="100"/>
        <w:kern w:val="0"/>
        <w:position w:val="-2"/>
        <w:highlight w:val="none"/>
        <w:vertAlign w:val="baseline"/>
      </w:rPr>
    </w:lvl>
    <w:lvl w:ilvl="6" w:tplc="5576E1BA">
      <w:start w:val="1"/>
      <w:numFmt w:val="bullet"/>
      <w:lvlText w:val="•"/>
      <w:lvlJc w:val="left"/>
      <w:pPr>
        <w:ind w:left="132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5A53F"/>
        <w:spacing w:val="0"/>
        <w:w w:val="100"/>
        <w:kern w:val="0"/>
        <w:position w:val="-2"/>
        <w:highlight w:val="none"/>
        <w:vertAlign w:val="baseline"/>
      </w:rPr>
    </w:lvl>
    <w:lvl w:ilvl="7" w:tplc="29C0EFA0">
      <w:start w:val="1"/>
      <w:numFmt w:val="bullet"/>
      <w:lvlText w:val="•"/>
      <w:lvlJc w:val="left"/>
      <w:pPr>
        <w:ind w:left="150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5A53F"/>
        <w:spacing w:val="0"/>
        <w:w w:val="100"/>
        <w:kern w:val="0"/>
        <w:position w:val="-2"/>
        <w:highlight w:val="none"/>
        <w:vertAlign w:val="baseline"/>
      </w:rPr>
    </w:lvl>
    <w:lvl w:ilvl="8" w:tplc="4D0C291C">
      <w:start w:val="1"/>
      <w:numFmt w:val="bullet"/>
      <w:lvlText w:val="•"/>
      <w:lvlJc w:val="left"/>
      <w:pPr>
        <w:ind w:left="1680" w:hanging="2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5A53F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19"/>
    <w:rsid w:val="00006FB9"/>
    <w:rsid w:val="000B6CAF"/>
    <w:rsid w:val="0015193C"/>
    <w:rsid w:val="002B5019"/>
    <w:rsid w:val="008B57A8"/>
    <w:rsid w:val="00AC5E11"/>
    <w:rsid w:val="00CD6471"/>
    <w:rsid w:val="00E331DF"/>
    <w:rsid w:val="00F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A88B"/>
  <w15:docId w15:val="{3084E71C-412A-4DC5-BB97-0B31877B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D647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551A8B"/>
      <w:u w:val="single" w:color="54198B"/>
    </w:rPr>
  </w:style>
  <w:style w:type="numbering" w:customStyle="1" w:styleId="Dash">
    <w:name w:val="Dash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 Andrea</dc:creator>
  <cp:lastModifiedBy>Silvestri Andrea</cp:lastModifiedBy>
  <cp:revision>5</cp:revision>
  <dcterms:created xsi:type="dcterms:W3CDTF">2020-07-27T10:52:00Z</dcterms:created>
  <dcterms:modified xsi:type="dcterms:W3CDTF">2020-07-27T15:30:00Z</dcterms:modified>
</cp:coreProperties>
</file>