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8D4" w:rsidRDefault="002428D4" w:rsidP="002428D4">
      <w:pPr>
        <w:autoSpaceDE w:val="0"/>
        <w:autoSpaceDN w:val="0"/>
        <w:adjustRightInd w:val="0"/>
        <w:spacing w:before="40" w:after="40"/>
        <w:jc w:val="both"/>
        <w:rPr>
          <w:rFonts w:cs="Calibri"/>
          <w:b/>
          <w:bCs/>
        </w:rPr>
      </w:pPr>
      <w:r>
        <w:rPr>
          <w:rFonts w:cs="Calibri"/>
          <w:b/>
          <w:bCs/>
        </w:rPr>
        <w:t>QATAR</w:t>
      </w:r>
    </w:p>
    <w:p w:rsidR="002428D4" w:rsidRDefault="002428D4" w:rsidP="002428D4">
      <w:pPr>
        <w:autoSpaceDE w:val="0"/>
        <w:autoSpaceDN w:val="0"/>
        <w:adjustRightInd w:val="0"/>
        <w:spacing w:before="40" w:after="40"/>
        <w:jc w:val="both"/>
        <w:rPr>
          <w:rFonts w:cs="Calibri"/>
        </w:rPr>
      </w:pPr>
    </w:p>
    <w:p w:rsidR="002428D4" w:rsidRDefault="002428D4" w:rsidP="002428D4">
      <w:pPr>
        <w:autoSpaceDE w:val="0"/>
        <w:autoSpaceDN w:val="0"/>
        <w:adjustRightInd w:val="0"/>
        <w:spacing w:before="40" w:after="40"/>
        <w:jc w:val="both"/>
        <w:rPr>
          <w:rFonts w:cs="Calibri"/>
        </w:rPr>
      </w:pPr>
      <w:r>
        <w:rPr>
          <w:rFonts w:cs="Calibri"/>
        </w:rPr>
        <w:t>ACCORDI IN VIGORE:</w:t>
      </w:r>
    </w:p>
    <w:p w:rsidR="002428D4" w:rsidRPr="00100314" w:rsidRDefault="002428D4" w:rsidP="002428D4">
      <w:pPr>
        <w:numPr>
          <w:ilvl w:val="0"/>
          <w:numId w:val="3"/>
        </w:numPr>
        <w:autoSpaceDE w:val="0"/>
        <w:autoSpaceDN w:val="0"/>
        <w:adjustRightInd w:val="0"/>
        <w:spacing w:before="40" w:after="40"/>
        <w:ind w:left="720"/>
        <w:jc w:val="both"/>
        <w:rPr>
          <w:rFonts w:cs="Calibri"/>
        </w:rPr>
      </w:pPr>
      <w:r w:rsidRPr="00100314">
        <w:rPr>
          <w:rFonts w:cs="Calibri"/>
          <w:color w:val="00B050"/>
        </w:rPr>
        <w:t xml:space="preserve">ACCORDO SULLA RECIPROCA PROMOZIONE E PROTEZIONE DEGLI INVESTIMENTI, CON PROTOCOLLO </w:t>
      </w:r>
      <w:r w:rsidRPr="00100314">
        <w:rPr>
          <w:rFonts w:cs="Calibri"/>
        </w:rPr>
        <w:t>(firmato a Roma il 22.3.2000, in vigore dal 01.8.2004)</w:t>
      </w:r>
    </w:p>
    <w:p w:rsidR="002428D4" w:rsidRPr="00100314" w:rsidRDefault="00D3758F" w:rsidP="002428D4">
      <w:pPr>
        <w:autoSpaceDE w:val="0"/>
        <w:autoSpaceDN w:val="0"/>
        <w:adjustRightInd w:val="0"/>
        <w:spacing w:before="40" w:after="40"/>
        <w:ind w:left="360"/>
        <w:jc w:val="both"/>
        <w:rPr>
          <w:rFonts w:cs="Calibri"/>
        </w:rPr>
      </w:pPr>
      <w:hyperlink r:id="rId5" w:history="1">
        <w:r w:rsidR="002428D4" w:rsidRPr="00100314">
          <w:rPr>
            <w:rFonts w:cs="Calibri"/>
            <w:color w:val="0000FF"/>
            <w:u w:val="single"/>
          </w:rPr>
          <w:t>http://atrio.esteri.it/Ricerca_Documenti/wfrmRicerca_Documenti.aspx</w:t>
        </w:r>
      </w:hyperlink>
    </w:p>
    <w:p w:rsidR="002428D4" w:rsidRPr="00100314" w:rsidRDefault="002428D4" w:rsidP="002428D4">
      <w:pPr>
        <w:numPr>
          <w:ilvl w:val="0"/>
          <w:numId w:val="3"/>
        </w:numPr>
        <w:autoSpaceDE w:val="0"/>
        <w:autoSpaceDN w:val="0"/>
        <w:adjustRightInd w:val="0"/>
        <w:spacing w:before="40" w:after="40"/>
        <w:ind w:left="720"/>
        <w:jc w:val="both"/>
        <w:rPr>
          <w:rFonts w:cs="Calibri"/>
        </w:rPr>
      </w:pPr>
      <w:r w:rsidRPr="00100314">
        <w:rPr>
          <w:rFonts w:cs="Calibri"/>
          <w:color w:val="00B050"/>
        </w:rPr>
        <w:t xml:space="preserve">CONVENZIONE PER EVITARE LE DOPPIE IMPOSIZIONI IN MATERIA DI IMPOSTE SUL REDDITO E PER PREVENIRE LE EVASIONI FISCALI, CON PROTOCOLLO AGGIUNTIVO </w:t>
      </w:r>
      <w:r w:rsidRPr="00100314">
        <w:rPr>
          <w:rFonts w:cs="Calibri"/>
        </w:rPr>
        <w:t>(firmata a Roma il 15.10.2002, in vigore dal 07.02.2011)</w:t>
      </w:r>
    </w:p>
    <w:p w:rsidR="002428D4" w:rsidRPr="00100314" w:rsidRDefault="00D3758F" w:rsidP="002428D4">
      <w:pPr>
        <w:autoSpaceDE w:val="0"/>
        <w:autoSpaceDN w:val="0"/>
        <w:adjustRightInd w:val="0"/>
        <w:spacing w:before="40" w:after="40"/>
        <w:ind w:left="360"/>
        <w:jc w:val="both"/>
        <w:rPr>
          <w:rFonts w:cs="Calibri"/>
        </w:rPr>
      </w:pPr>
      <w:hyperlink r:id="rId6" w:history="1">
        <w:r w:rsidR="002428D4" w:rsidRPr="00100314">
          <w:rPr>
            <w:rFonts w:cs="Calibri"/>
            <w:color w:val="0000FF"/>
            <w:u w:val="single"/>
          </w:rPr>
          <w:t>http://atrio.esteri.it/Ricerca_Documenti/wfrmRicerca_Documenti.aspx</w:t>
        </w:r>
      </w:hyperlink>
    </w:p>
    <w:p w:rsidR="002428D4" w:rsidRPr="00E37E43" w:rsidRDefault="002428D4" w:rsidP="002428D4"/>
    <w:p w:rsidR="0056209F" w:rsidRPr="0056209F" w:rsidRDefault="0056209F" w:rsidP="003E24E6">
      <w:pPr>
        <w:autoSpaceDE w:val="0"/>
        <w:autoSpaceDN w:val="0"/>
        <w:adjustRightInd w:val="0"/>
        <w:spacing w:before="40" w:after="40"/>
        <w:jc w:val="both"/>
        <w:rPr>
          <w:rFonts w:cs="Calibri"/>
        </w:rPr>
      </w:pPr>
      <w:r w:rsidRPr="0056209F">
        <w:rPr>
          <w:rFonts w:cs="Calibri"/>
        </w:rPr>
        <w:t xml:space="preserve">INFORMAZIONI GENERALI </w:t>
      </w:r>
      <w:r>
        <w:rPr>
          <w:rFonts w:cs="Calibri"/>
        </w:rPr>
        <w:t>SUGLI INVESTIMENTI STRANIERI</w:t>
      </w:r>
    </w:p>
    <w:p w:rsidR="002C306B" w:rsidRDefault="0056209F" w:rsidP="0056209F">
      <w:pPr>
        <w:autoSpaceDE w:val="0"/>
        <w:autoSpaceDN w:val="0"/>
        <w:adjustRightInd w:val="0"/>
        <w:spacing w:before="40" w:after="40"/>
        <w:jc w:val="both"/>
        <w:rPr>
          <w:rFonts w:cs="Calibri"/>
        </w:rPr>
      </w:pPr>
      <w:r w:rsidRPr="0056209F">
        <w:rPr>
          <w:rFonts w:cs="Calibri"/>
        </w:rPr>
        <w:t xml:space="preserve">La </w:t>
      </w:r>
      <w:r w:rsidR="003E24E6" w:rsidRPr="0056209F">
        <w:rPr>
          <w:rFonts w:cs="Calibri"/>
        </w:rPr>
        <w:t>Legge 13/2000 (“</w:t>
      </w:r>
      <w:proofErr w:type="spellStart"/>
      <w:r w:rsidR="003E24E6" w:rsidRPr="0056209F">
        <w:rPr>
          <w:rFonts w:cs="Calibri"/>
        </w:rPr>
        <w:t>Qatar’s</w:t>
      </w:r>
      <w:proofErr w:type="spellEnd"/>
      <w:r w:rsidR="003E24E6" w:rsidRPr="0056209F">
        <w:rPr>
          <w:rFonts w:cs="Calibri"/>
        </w:rPr>
        <w:t xml:space="preserve"> </w:t>
      </w:r>
      <w:proofErr w:type="spellStart"/>
      <w:r w:rsidR="003E24E6" w:rsidRPr="0056209F">
        <w:rPr>
          <w:rFonts w:cs="Calibri"/>
        </w:rPr>
        <w:t>Investment</w:t>
      </w:r>
      <w:proofErr w:type="spellEnd"/>
      <w:r w:rsidR="003E24E6" w:rsidRPr="0056209F">
        <w:rPr>
          <w:rFonts w:cs="Calibri"/>
        </w:rPr>
        <w:t xml:space="preserve"> </w:t>
      </w:r>
      <w:proofErr w:type="spellStart"/>
      <w:r w:rsidR="003E24E6" w:rsidRPr="0056209F">
        <w:rPr>
          <w:rFonts w:cs="Calibri"/>
        </w:rPr>
        <w:t>Law</w:t>
      </w:r>
      <w:proofErr w:type="spellEnd"/>
      <w:r w:rsidR="003E24E6" w:rsidRPr="0056209F">
        <w:rPr>
          <w:rFonts w:cs="Calibri"/>
        </w:rPr>
        <w:t xml:space="preserve"> </w:t>
      </w:r>
      <w:proofErr w:type="spellStart"/>
      <w:r w:rsidR="003E24E6" w:rsidRPr="0056209F">
        <w:rPr>
          <w:rFonts w:cs="Calibri"/>
        </w:rPr>
        <w:t>regulating</w:t>
      </w:r>
      <w:proofErr w:type="spellEnd"/>
      <w:r w:rsidR="003E24E6" w:rsidRPr="0056209F">
        <w:rPr>
          <w:rFonts w:cs="Calibri"/>
        </w:rPr>
        <w:t xml:space="preserve"> the </w:t>
      </w:r>
      <w:proofErr w:type="spellStart"/>
      <w:r w:rsidR="003E24E6" w:rsidRPr="0056209F">
        <w:rPr>
          <w:rFonts w:cs="Calibri"/>
        </w:rPr>
        <w:t>investment</w:t>
      </w:r>
      <w:proofErr w:type="spellEnd"/>
      <w:r w:rsidR="003E24E6" w:rsidRPr="0056209F">
        <w:rPr>
          <w:rFonts w:cs="Calibri"/>
        </w:rPr>
        <w:t xml:space="preserve"> </w:t>
      </w:r>
      <w:proofErr w:type="spellStart"/>
      <w:r w:rsidR="003E24E6" w:rsidRPr="0056209F">
        <w:rPr>
          <w:rFonts w:cs="Calibri"/>
        </w:rPr>
        <w:t>of</w:t>
      </w:r>
      <w:proofErr w:type="spellEnd"/>
      <w:r w:rsidR="003E24E6" w:rsidRPr="0056209F">
        <w:rPr>
          <w:rFonts w:cs="Calibri"/>
        </w:rPr>
        <w:t xml:space="preserve"> </w:t>
      </w:r>
      <w:proofErr w:type="spellStart"/>
      <w:r w:rsidR="003E24E6" w:rsidRPr="0056209F">
        <w:rPr>
          <w:rFonts w:cs="Calibri"/>
        </w:rPr>
        <w:t>foreign</w:t>
      </w:r>
      <w:proofErr w:type="spellEnd"/>
      <w:r w:rsidR="003E24E6" w:rsidRPr="0056209F">
        <w:rPr>
          <w:rFonts w:cs="Calibri"/>
        </w:rPr>
        <w:t xml:space="preserve"> capital in </w:t>
      </w:r>
      <w:proofErr w:type="spellStart"/>
      <w:r w:rsidR="003E24E6" w:rsidRPr="0056209F">
        <w:rPr>
          <w:rFonts w:cs="Calibri"/>
        </w:rPr>
        <w:t>economic</w:t>
      </w:r>
      <w:proofErr w:type="spellEnd"/>
      <w:r w:rsidR="003E24E6" w:rsidRPr="0056209F">
        <w:rPr>
          <w:rFonts w:cs="Calibri"/>
        </w:rPr>
        <w:t xml:space="preserve"> </w:t>
      </w:r>
      <w:proofErr w:type="spellStart"/>
      <w:r w:rsidR="003E24E6" w:rsidRPr="0056209F">
        <w:rPr>
          <w:rFonts w:cs="Calibri"/>
        </w:rPr>
        <w:t>activities</w:t>
      </w:r>
      <w:proofErr w:type="spellEnd"/>
      <w:r w:rsidR="003E24E6" w:rsidRPr="0056209F">
        <w:rPr>
          <w:rFonts w:cs="Calibri"/>
        </w:rPr>
        <w:t>”) e successive modifiche</w:t>
      </w:r>
      <w:r w:rsidRPr="0056209F">
        <w:rPr>
          <w:rFonts w:cs="Calibri"/>
        </w:rPr>
        <w:t xml:space="preserve"> prevede all’art. 2</w:t>
      </w:r>
      <w:r w:rsidR="003E24E6" w:rsidRPr="0056209F">
        <w:rPr>
          <w:rFonts w:cs="Calibri"/>
        </w:rPr>
        <w:t xml:space="preserve"> che gli investitori stranieri possano investire in </w:t>
      </w:r>
      <w:r w:rsidR="003E24E6" w:rsidRPr="003E24E6">
        <w:rPr>
          <w:rFonts w:cs="Calibri"/>
        </w:rPr>
        <w:t xml:space="preserve">ogni settore dell’economia (salvo alcune eccezioni: settore bancario, assicurativo, immobiliare e agenzia commerciale e sistemi di sicurezza/difesa), a patto che le attività imprenditoriali vengano esercitate in partnership con soggetti locali </w:t>
      </w:r>
      <w:proofErr w:type="spellStart"/>
      <w:r w:rsidR="003E24E6" w:rsidRPr="003E24E6">
        <w:rPr>
          <w:rFonts w:cs="Calibri"/>
        </w:rPr>
        <w:t>qatarini</w:t>
      </w:r>
      <w:proofErr w:type="spellEnd"/>
      <w:r w:rsidR="003E24E6" w:rsidRPr="003E24E6">
        <w:rPr>
          <w:rFonts w:cs="Calibri"/>
        </w:rPr>
        <w:t xml:space="preserve"> (individui di nazionalità </w:t>
      </w:r>
      <w:proofErr w:type="spellStart"/>
      <w:r w:rsidR="003E24E6" w:rsidRPr="003E24E6">
        <w:rPr>
          <w:rFonts w:cs="Calibri"/>
        </w:rPr>
        <w:t>qatarina</w:t>
      </w:r>
      <w:proofErr w:type="spellEnd"/>
      <w:r w:rsidR="003E24E6" w:rsidRPr="003E24E6">
        <w:rPr>
          <w:rFonts w:cs="Calibri"/>
        </w:rPr>
        <w:t xml:space="preserve">, ovvero società le cui quote siano detenute interamente da cittadini </w:t>
      </w:r>
      <w:proofErr w:type="spellStart"/>
      <w:r w:rsidR="003E24E6" w:rsidRPr="003E24E6">
        <w:rPr>
          <w:rFonts w:cs="Calibri"/>
        </w:rPr>
        <w:t>qatarini</w:t>
      </w:r>
      <w:proofErr w:type="spellEnd"/>
      <w:r w:rsidR="003E24E6" w:rsidRPr="003E24E6">
        <w:rPr>
          <w:rFonts w:cs="Calibri"/>
        </w:rPr>
        <w:t xml:space="preserve">), ai quali è riservata una partecipazione maggioritaria. </w:t>
      </w:r>
    </w:p>
    <w:p w:rsidR="003E24E6" w:rsidRDefault="003E24E6" w:rsidP="003E24E6">
      <w:pPr>
        <w:jc w:val="both"/>
        <w:rPr>
          <w:rFonts w:cs="Calibri"/>
        </w:rPr>
      </w:pPr>
      <w:r w:rsidRPr="003E24E6">
        <w:rPr>
          <w:rFonts w:cs="Calibri"/>
        </w:rPr>
        <w:t xml:space="preserve">In altri termini, l’esercizio di attività di impresa commerciale è consentito in Qatar agli stranieri solo in forma associata e solo con almeno un socio </w:t>
      </w:r>
      <w:proofErr w:type="spellStart"/>
      <w:r w:rsidRPr="003E24E6">
        <w:rPr>
          <w:rFonts w:cs="Calibri"/>
        </w:rPr>
        <w:t>qatarino</w:t>
      </w:r>
      <w:proofErr w:type="spellEnd"/>
      <w:r w:rsidRPr="003E24E6">
        <w:rPr>
          <w:rFonts w:cs="Calibri"/>
        </w:rPr>
        <w:t xml:space="preserve"> di maggioranza, dal che discende il limite del 49% di capitale estero in ogni iniziativa economica promossa da stranieri in Qatar.</w:t>
      </w:r>
    </w:p>
    <w:p w:rsidR="003E24E6" w:rsidRDefault="003E24E6" w:rsidP="003E24E6">
      <w:pPr>
        <w:jc w:val="both"/>
        <w:rPr>
          <w:rFonts w:cs="Calibri"/>
        </w:rPr>
      </w:pPr>
    </w:p>
    <w:p w:rsidR="003E24E6" w:rsidRPr="003E24E6" w:rsidRDefault="003E24E6" w:rsidP="003E24E6">
      <w:pPr>
        <w:jc w:val="both"/>
        <w:rPr>
          <w:rFonts w:cs="Calibri"/>
        </w:rPr>
      </w:pPr>
      <w:r w:rsidRPr="003E24E6">
        <w:rPr>
          <w:rFonts w:cs="Calibri"/>
        </w:rPr>
        <w:t>Vi sono unicamente due casi nei quali la legge consente ad uno straniero di investire in Qatar senza necessità di un partner locale, ossia:</w:t>
      </w:r>
    </w:p>
    <w:p w:rsidR="003E24E6" w:rsidRPr="003E24E6" w:rsidRDefault="003E24E6" w:rsidP="003E24E6">
      <w:pPr>
        <w:rPr>
          <w:rFonts w:cs="Calibri"/>
        </w:rPr>
      </w:pPr>
      <w:r w:rsidRPr="003E24E6">
        <w:rPr>
          <w:rFonts w:cs="Calibri"/>
          <w:u w:val="single"/>
        </w:rPr>
        <w:t>i) art. 2, comma 2, legge 13/2000: concessione ministeriale</w:t>
      </w:r>
    </w:p>
    <w:p w:rsidR="003E24E6" w:rsidRPr="003E24E6" w:rsidRDefault="003E24E6" w:rsidP="003E24E6">
      <w:pPr>
        <w:jc w:val="both"/>
        <w:rPr>
          <w:rFonts w:cs="Calibri"/>
        </w:rPr>
      </w:pPr>
      <w:r w:rsidRPr="003E24E6">
        <w:rPr>
          <w:rFonts w:cs="Calibri"/>
        </w:rPr>
        <w:t xml:space="preserve">gli stranieri possono detenere fino al 100% di una società </w:t>
      </w:r>
      <w:proofErr w:type="spellStart"/>
      <w:r w:rsidRPr="003E24E6">
        <w:rPr>
          <w:rFonts w:cs="Calibri"/>
        </w:rPr>
        <w:t>qatarina</w:t>
      </w:r>
      <w:proofErr w:type="spellEnd"/>
      <w:r w:rsidRPr="003E24E6">
        <w:rPr>
          <w:rFonts w:cs="Calibri"/>
        </w:rPr>
        <w:t xml:space="preserve"> operativa nei settori dell’agricoltura, dell’industria, della tutela della salute, dell’educazione, del turismo, dello sfruttamento delle risorse naturali e del settore minerario, dell’energia, della consulenza e dei servizi tecnici, delle attività sportive e culturali, dell’IT (Information Technology) e della grande distribuzione, a condizione che il progetto portato avanti dall’investitore straniero appaia, a giudizio insindacabile del Ministero dell’Economia, idoneo ad apportare al Qatar un notevole contributo in termini di:</w:t>
      </w:r>
    </w:p>
    <w:p w:rsidR="003E24E6" w:rsidRPr="003E24E6" w:rsidRDefault="003E24E6" w:rsidP="003E24E6">
      <w:pPr>
        <w:pStyle w:val="Paragrafoelenco"/>
        <w:numPr>
          <w:ilvl w:val="0"/>
          <w:numId w:val="6"/>
        </w:numPr>
        <w:rPr>
          <w:i/>
          <w:iCs/>
          <w:color w:val="000000"/>
          <w:sz w:val="22"/>
          <w:szCs w:val="22"/>
        </w:rPr>
      </w:pPr>
      <w:r w:rsidRPr="003E24E6">
        <w:rPr>
          <w:i/>
          <w:iCs/>
          <w:color w:val="000000"/>
          <w:sz w:val="22"/>
          <w:szCs w:val="22"/>
        </w:rPr>
        <w:t xml:space="preserve">approvvigionamento sul mercato di nuovi prodotti che non possono essere offerti da entità </w:t>
      </w:r>
      <w:proofErr w:type="spellStart"/>
      <w:r w:rsidRPr="003E24E6">
        <w:rPr>
          <w:i/>
          <w:iCs/>
          <w:color w:val="000000"/>
          <w:sz w:val="22"/>
          <w:szCs w:val="22"/>
        </w:rPr>
        <w:t>qatarine</w:t>
      </w:r>
      <w:proofErr w:type="spellEnd"/>
      <w:r w:rsidRPr="003E24E6">
        <w:rPr>
          <w:i/>
          <w:iCs/>
          <w:color w:val="000000"/>
          <w:sz w:val="22"/>
          <w:szCs w:val="22"/>
        </w:rPr>
        <w:t>;</w:t>
      </w:r>
    </w:p>
    <w:p w:rsidR="003E24E6" w:rsidRPr="003E24E6" w:rsidRDefault="003E24E6" w:rsidP="003E24E6">
      <w:pPr>
        <w:pStyle w:val="Paragrafoelenco"/>
        <w:numPr>
          <w:ilvl w:val="0"/>
          <w:numId w:val="6"/>
        </w:numPr>
        <w:rPr>
          <w:i/>
          <w:iCs/>
          <w:color w:val="000000"/>
          <w:w w:val="105"/>
          <w:sz w:val="22"/>
          <w:szCs w:val="22"/>
        </w:rPr>
      </w:pPr>
      <w:r w:rsidRPr="003E24E6">
        <w:rPr>
          <w:i/>
          <w:iCs/>
          <w:color w:val="000000"/>
          <w:w w:val="105"/>
          <w:sz w:val="22"/>
          <w:szCs w:val="22"/>
        </w:rPr>
        <w:t>sfruttamento di nuove tecnologie;</w:t>
      </w:r>
    </w:p>
    <w:p w:rsidR="003E24E6" w:rsidRPr="003E24E6" w:rsidRDefault="003E24E6" w:rsidP="003E24E6">
      <w:pPr>
        <w:pStyle w:val="Paragrafoelenco"/>
        <w:numPr>
          <w:ilvl w:val="0"/>
          <w:numId w:val="6"/>
        </w:numPr>
        <w:rPr>
          <w:i/>
          <w:iCs/>
          <w:color w:val="000000"/>
          <w:w w:val="105"/>
          <w:sz w:val="22"/>
          <w:szCs w:val="22"/>
        </w:rPr>
      </w:pPr>
      <w:r w:rsidRPr="003E24E6">
        <w:rPr>
          <w:i/>
          <w:iCs/>
          <w:color w:val="000000"/>
          <w:w w:val="105"/>
          <w:sz w:val="22"/>
          <w:szCs w:val="22"/>
        </w:rPr>
        <w:t>miglioramenti sostanziali alle industrie ed imprese locali; oppure</w:t>
      </w:r>
    </w:p>
    <w:p w:rsidR="003E24E6" w:rsidRPr="003E24E6" w:rsidRDefault="003E24E6" w:rsidP="003E24E6">
      <w:pPr>
        <w:pStyle w:val="Paragrafoelenco"/>
        <w:numPr>
          <w:ilvl w:val="0"/>
          <w:numId w:val="6"/>
        </w:numPr>
        <w:rPr>
          <w:i/>
          <w:iCs/>
          <w:color w:val="000000"/>
          <w:sz w:val="22"/>
          <w:szCs w:val="22"/>
        </w:rPr>
      </w:pPr>
      <w:r w:rsidRPr="003E24E6">
        <w:rPr>
          <w:i/>
          <w:iCs/>
          <w:color w:val="000000"/>
          <w:sz w:val="22"/>
          <w:szCs w:val="22"/>
        </w:rPr>
        <w:t xml:space="preserve">ingresso nel mercato </w:t>
      </w:r>
      <w:proofErr w:type="spellStart"/>
      <w:r w:rsidRPr="003E24E6">
        <w:rPr>
          <w:i/>
          <w:iCs/>
          <w:color w:val="000000"/>
          <w:sz w:val="22"/>
          <w:szCs w:val="22"/>
        </w:rPr>
        <w:t>qatarino</w:t>
      </w:r>
      <w:proofErr w:type="spellEnd"/>
      <w:r w:rsidRPr="003E24E6">
        <w:rPr>
          <w:i/>
          <w:iCs/>
          <w:color w:val="000000"/>
          <w:sz w:val="22"/>
          <w:szCs w:val="22"/>
        </w:rPr>
        <w:t xml:space="preserve"> di prestigiose aziende internazionalmente conosciute (specialmente nel settore turistico, della grande distribuzione e dei servizi).</w:t>
      </w:r>
    </w:p>
    <w:p w:rsidR="003E24E6" w:rsidRPr="003E24E6" w:rsidRDefault="003E24E6" w:rsidP="003E24E6">
      <w:pPr>
        <w:jc w:val="both"/>
        <w:rPr>
          <w:rFonts w:cs="Calibri"/>
        </w:rPr>
      </w:pPr>
      <w:r w:rsidRPr="003E24E6">
        <w:rPr>
          <w:rFonts w:cs="Calibri"/>
        </w:rPr>
        <w:t>Ai fini della concessione dell’eccezione di cui trattasi da parte del Ministero dell’Economia, il rispetto dei criteri di cui sopra (che verranno valutati sulla base di uno studio di fattibilità presentato – rigorosamente in lingua araba – dalla società investitrice) è condizione necessaria ma non sufficiente, in quanto l’ultima decisione sulla concessione spetta in ogni caso al Ministero, il quale gode di piena discrezionalità;</w:t>
      </w:r>
    </w:p>
    <w:p w:rsidR="003E24E6" w:rsidRPr="009433EC" w:rsidRDefault="003E24E6" w:rsidP="003E24E6">
      <w:pPr>
        <w:rPr>
          <w:sz w:val="22"/>
          <w:szCs w:val="22"/>
        </w:rPr>
      </w:pPr>
    </w:p>
    <w:p w:rsidR="003E24E6" w:rsidRPr="003E24E6" w:rsidRDefault="003E24E6" w:rsidP="003E24E6">
      <w:pPr>
        <w:rPr>
          <w:rFonts w:cs="Calibri"/>
          <w:u w:val="single"/>
        </w:rPr>
      </w:pPr>
      <w:r w:rsidRPr="003E24E6">
        <w:rPr>
          <w:rFonts w:cs="Calibri"/>
          <w:u w:val="single"/>
        </w:rPr>
        <w:t xml:space="preserve">ii) art. 3: operatività tramite </w:t>
      </w:r>
      <w:proofErr w:type="spellStart"/>
      <w:r w:rsidRPr="003E24E6">
        <w:rPr>
          <w:rFonts w:cs="Calibri"/>
          <w:u w:val="single"/>
        </w:rPr>
        <w:t>branch</w:t>
      </w:r>
      <w:proofErr w:type="spellEnd"/>
      <w:r w:rsidRPr="003E24E6">
        <w:rPr>
          <w:rFonts w:cs="Calibri"/>
          <w:u w:val="single"/>
        </w:rPr>
        <w:t>/filiale o con un ufficio di rappresentanza commerciale</w:t>
      </w:r>
    </w:p>
    <w:p w:rsidR="003E24E6" w:rsidRPr="0056209F" w:rsidRDefault="003E24E6" w:rsidP="003E24E6">
      <w:pPr>
        <w:jc w:val="both"/>
        <w:rPr>
          <w:rFonts w:cs="Calibri"/>
        </w:rPr>
      </w:pPr>
      <w:r w:rsidRPr="003E24E6">
        <w:rPr>
          <w:rFonts w:cs="Calibri"/>
        </w:rPr>
        <w:t xml:space="preserve">è possibile per una società di capitali straniera svolgere attività d’impresa in Qatar senza alcun socio/agente/sponsor locale, nel caso in cui la società sia vincitrice di una gara di appalto governativa o sia sub-appaltatrice di una società a sua volta vincitrice di una gara di appalto governativa. È altresì possibile costituire uffici di rappresentanza in Qatar senza la presenza di alcun </w:t>
      </w:r>
      <w:r w:rsidRPr="003E24E6">
        <w:rPr>
          <w:rFonts w:cs="Calibri"/>
        </w:rPr>
        <w:lastRenderedPageBreak/>
        <w:t xml:space="preserve">socio/agente/sponsor locale ma detto ufficio potrà svolgere, appunto, mere attività di rappresentanza </w:t>
      </w:r>
      <w:r w:rsidRPr="0056209F">
        <w:rPr>
          <w:rFonts w:cs="Calibri"/>
        </w:rPr>
        <w:t>e nessuna attività commerciale se non tramite la casa madre (si veda il paragrafo seguente per una trattazione maggiormente approfondita delle due figure qui sommariamente descritte).</w:t>
      </w:r>
    </w:p>
    <w:p w:rsidR="00AC0F57" w:rsidRPr="0056209F" w:rsidRDefault="00AC0F57" w:rsidP="003E24E6">
      <w:pPr>
        <w:jc w:val="both"/>
        <w:rPr>
          <w:rFonts w:cs="Calibri"/>
        </w:rPr>
      </w:pPr>
    </w:p>
    <w:p w:rsidR="00EB593D" w:rsidRPr="0056209F" w:rsidRDefault="0056209F" w:rsidP="0056209F">
      <w:pPr>
        <w:pStyle w:val="NormaleWeb"/>
        <w:shd w:val="clear" w:color="auto" w:fill="FFFFFF"/>
        <w:spacing w:before="0" w:beforeAutospacing="0" w:after="0" w:afterAutospacing="0"/>
        <w:jc w:val="both"/>
        <w:rPr>
          <w:rFonts w:eastAsia="Times New Roman"/>
          <w:lang w:eastAsia="en-GB"/>
        </w:rPr>
      </w:pPr>
      <w:r w:rsidRPr="0056209F">
        <w:rPr>
          <w:rFonts w:cs="Calibri"/>
        </w:rPr>
        <w:t xml:space="preserve">La </w:t>
      </w:r>
      <w:r w:rsidR="00EB593D" w:rsidRPr="0056209F">
        <w:rPr>
          <w:rFonts w:cs="Calibri"/>
        </w:rPr>
        <w:t xml:space="preserve">Legge n.1 del 2019 </w:t>
      </w:r>
      <w:r w:rsidRPr="0056209F">
        <w:rPr>
          <w:rFonts w:cs="Calibri"/>
        </w:rPr>
        <w:t>(</w:t>
      </w:r>
      <w:r w:rsidR="00EB593D" w:rsidRPr="0056209F">
        <w:rPr>
          <w:rFonts w:ascii="TimesNewRomanPS" w:eastAsia="Times New Roman" w:hAnsi="TimesNewRomanPS"/>
          <w:bCs/>
          <w:lang w:eastAsia="en-GB"/>
        </w:rPr>
        <w:t xml:space="preserve">The </w:t>
      </w:r>
      <w:proofErr w:type="spellStart"/>
      <w:r w:rsidR="00EB593D" w:rsidRPr="0056209F">
        <w:rPr>
          <w:rFonts w:ascii="TimesNewRomanPS" w:eastAsia="Times New Roman" w:hAnsi="TimesNewRomanPS"/>
          <w:bCs/>
          <w:lang w:eastAsia="en-GB"/>
        </w:rPr>
        <w:t>Regulation</w:t>
      </w:r>
      <w:proofErr w:type="spellEnd"/>
      <w:r w:rsidR="00EB593D" w:rsidRPr="0056209F">
        <w:rPr>
          <w:rFonts w:ascii="TimesNewRomanPS" w:eastAsia="Times New Roman" w:hAnsi="TimesNewRomanPS"/>
          <w:bCs/>
          <w:lang w:eastAsia="en-GB"/>
        </w:rPr>
        <w:t xml:space="preserve"> </w:t>
      </w:r>
      <w:proofErr w:type="spellStart"/>
      <w:r w:rsidR="00EB593D" w:rsidRPr="0056209F">
        <w:rPr>
          <w:rFonts w:ascii="TimesNewRomanPS" w:eastAsia="Times New Roman" w:hAnsi="TimesNewRomanPS"/>
          <w:bCs/>
          <w:lang w:eastAsia="en-GB"/>
        </w:rPr>
        <w:t>of</w:t>
      </w:r>
      <w:proofErr w:type="spellEnd"/>
      <w:r w:rsidR="00EB593D" w:rsidRPr="0056209F">
        <w:rPr>
          <w:rFonts w:ascii="TimesNewRomanPS" w:eastAsia="Times New Roman" w:hAnsi="TimesNewRomanPS"/>
          <w:bCs/>
          <w:lang w:eastAsia="en-GB"/>
        </w:rPr>
        <w:t xml:space="preserve"> the </w:t>
      </w:r>
      <w:proofErr w:type="spellStart"/>
      <w:r w:rsidR="00EB593D" w:rsidRPr="0056209F">
        <w:rPr>
          <w:rFonts w:ascii="TimesNewRomanPS" w:eastAsia="Times New Roman" w:hAnsi="TimesNewRomanPS"/>
          <w:bCs/>
          <w:lang w:eastAsia="en-GB"/>
        </w:rPr>
        <w:t>Investment</w:t>
      </w:r>
      <w:proofErr w:type="spellEnd"/>
      <w:r w:rsidR="00EB593D" w:rsidRPr="0056209F">
        <w:rPr>
          <w:rFonts w:ascii="TimesNewRomanPS" w:eastAsia="Times New Roman" w:hAnsi="TimesNewRomanPS"/>
          <w:bCs/>
          <w:lang w:eastAsia="en-GB"/>
        </w:rPr>
        <w:t xml:space="preserve"> </w:t>
      </w:r>
      <w:proofErr w:type="spellStart"/>
      <w:r w:rsidR="00EB593D" w:rsidRPr="0056209F">
        <w:rPr>
          <w:rFonts w:ascii="TimesNewRomanPS" w:eastAsia="Times New Roman" w:hAnsi="TimesNewRomanPS"/>
          <w:bCs/>
          <w:lang w:eastAsia="en-GB"/>
        </w:rPr>
        <w:t>of</w:t>
      </w:r>
      <w:proofErr w:type="spellEnd"/>
      <w:r w:rsidR="00EB593D" w:rsidRPr="0056209F">
        <w:rPr>
          <w:rFonts w:ascii="TimesNewRomanPS" w:eastAsia="Times New Roman" w:hAnsi="TimesNewRomanPS"/>
          <w:bCs/>
          <w:lang w:eastAsia="en-GB"/>
        </w:rPr>
        <w:t xml:space="preserve"> </w:t>
      </w:r>
      <w:proofErr w:type="spellStart"/>
      <w:r w:rsidR="00EB593D" w:rsidRPr="0056209F">
        <w:rPr>
          <w:rFonts w:ascii="TimesNewRomanPS" w:eastAsia="Times New Roman" w:hAnsi="TimesNewRomanPS"/>
          <w:bCs/>
          <w:lang w:eastAsia="en-GB"/>
        </w:rPr>
        <w:t>non-Qatari</w:t>
      </w:r>
      <w:proofErr w:type="spellEnd"/>
      <w:r w:rsidR="00EB593D" w:rsidRPr="0056209F">
        <w:rPr>
          <w:rFonts w:ascii="TimesNewRomanPS" w:eastAsia="Times New Roman" w:hAnsi="TimesNewRomanPS"/>
          <w:bCs/>
          <w:lang w:eastAsia="en-GB"/>
        </w:rPr>
        <w:t xml:space="preserve"> capital in the </w:t>
      </w:r>
      <w:proofErr w:type="spellStart"/>
      <w:r w:rsidR="00EB593D" w:rsidRPr="0056209F">
        <w:rPr>
          <w:rFonts w:ascii="TimesNewRomanPS" w:eastAsia="Times New Roman" w:hAnsi="TimesNewRomanPS"/>
          <w:bCs/>
          <w:lang w:eastAsia="en-GB"/>
        </w:rPr>
        <w:t>economic</w:t>
      </w:r>
      <w:proofErr w:type="spellEnd"/>
      <w:r w:rsidR="00EB593D" w:rsidRPr="0056209F">
        <w:rPr>
          <w:rFonts w:ascii="TimesNewRomanPS" w:eastAsia="Times New Roman" w:hAnsi="TimesNewRomanPS"/>
          <w:bCs/>
          <w:lang w:eastAsia="en-GB"/>
        </w:rPr>
        <w:t xml:space="preserve"> </w:t>
      </w:r>
      <w:proofErr w:type="spellStart"/>
      <w:r w:rsidR="00EB593D" w:rsidRPr="0056209F">
        <w:rPr>
          <w:rFonts w:ascii="TimesNewRomanPS" w:eastAsia="Times New Roman" w:hAnsi="TimesNewRomanPS"/>
          <w:bCs/>
          <w:lang w:eastAsia="en-GB"/>
        </w:rPr>
        <w:t>activity</w:t>
      </w:r>
      <w:proofErr w:type="spellEnd"/>
      <w:r w:rsidR="00EB593D" w:rsidRPr="0056209F">
        <w:rPr>
          <w:rFonts w:ascii="TimesNewRomanPS" w:eastAsia="Times New Roman" w:hAnsi="TimesNewRomanPS"/>
          <w:bCs/>
          <w:lang w:eastAsia="en-GB"/>
        </w:rPr>
        <w:t>”</w:t>
      </w:r>
      <w:r w:rsidRPr="0056209F">
        <w:rPr>
          <w:rFonts w:eastAsia="Times New Roman"/>
          <w:lang w:eastAsia="en-GB"/>
        </w:rPr>
        <w:t xml:space="preserve"> (</w:t>
      </w:r>
      <w:hyperlink r:id="rId7" w:history="1">
        <w:r w:rsidR="00EB593D" w:rsidRPr="0056209F">
          <w:rPr>
            <w:rStyle w:val="Collegamentoipertestuale"/>
            <w:rFonts w:eastAsia="Times New Roman"/>
            <w:lang w:eastAsia="en-GB"/>
          </w:rPr>
          <w:t>https://www.almeezan.qa/LawView.aspx?opt&amp;LawID=2529&amp;language=en</w:t>
        </w:r>
      </w:hyperlink>
      <w:r w:rsidRPr="0056209F">
        <w:t xml:space="preserve">) </w:t>
      </w:r>
      <w:r w:rsidR="00EB593D" w:rsidRPr="0056209F">
        <w:rPr>
          <w:rFonts w:eastAsia="Times New Roman"/>
          <w:lang w:eastAsia="en-GB"/>
        </w:rPr>
        <w:t>La L</w:t>
      </w:r>
      <w:r w:rsidR="00AC0F57" w:rsidRPr="0056209F">
        <w:rPr>
          <w:rFonts w:eastAsia="Times New Roman"/>
          <w:lang w:eastAsia="en-GB"/>
        </w:rPr>
        <w:t xml:space="preserve">egge </w:t>
      </w:r>
      <w:r w:rsidR="00456A1B" w:rsidRPr="0056209F">
        <w:rPr>
          <w:rFonts w:eastAsia="Times New Roman"/>
          <w:lang w:eastAsia="en-GB"/>
        </w:rPr>
        <w:t>ha</w:t>
      </w:r>
      <w:r w:rsidR="003863A8" w:rsidRPr="0056209F">
        <w:rPr>
          <w:rFonts w:eastAsia="Times New Roman"/>
          <w:lang w:eastAsia="en-GB"/>
        </w:rPr>
        <w:t xml:space="preserve"> previst</w:t>
      </w:r>
      <w:r w:rsidR="00456A1B" w:rsidRPr="0056209F">
        <w:rPr>
          <w:rFonts w:eastAsia="Times New Roman"/>
          <w:lang w:eastAsia="en-GB"/>
        </w:rPr>
        <w:t>o</w:t>
      </w:r>
      <w:r w:rsidR="003863A8" w:rsidRPr="0056209F">
        <w:rPr>
          <w:rFonts w:eastAsia="Times New Roman"/>
          <w:lang w:eastAsia="en-GB"/>
        </w:rPr>
        <w:t xml:space="preserve"> la possibilità per gli investitori stranieri di investire fino al 100% del capitale</w:t>
      </w:r>
      <w:r w:rsidRPr="0056209F">
        <w:rPr>
          <w:rFonts w:eastAsia="Times New Roman"/>
          <w:lang w:eastAsia="en-GB"/>
        </w:rPr>
        <w:t xml:space="preserve">. </w:t>
      </w:r>
      <w:proofErr w:type="spellStart"/>
      <w:r w:rsidRPr="0056209F">
        <w:rPr>
          <w:rFonts w:eastAsia="Times New Roman"/>
          <w:lang w:val="en-US" w:eastAsia="en-GB"/>
        </w:rPr>
        <w:t>L’art</w:t>
      </w:r>
      <w:proofErr w:type="spellEnd"/>
      <w:r w:rsidRPr="0056209F">
        <w:rPr>
          <w:rFonts w:eastAsia="Times New Roman"/>
          <w:lang w:val="en-US" w:eastAsia="en-GB"/>
        </w:rPr>
        <w:t>. 2</w:t>
      </w:r>
      <w:hyperlink r:id="rId8" w:history="1">
        <w:r w:rsidR="00EB593D" w:rsidRPr="0056209F">
          <w:rPr>
            <w:rFonts w:eastAsia="Times New Roman"/>
            <w:i/>
            <w:lang w:val="en-US" w:eastAsia="en-GB"/>
          </w:rPr>
          <w:t>/Item 2</w:t>
        </w:r>
      </w:hyperlink>
      <w:r w:rsidRPr="0056209F">
        <w:rPr>
          <w:lang w:val="en-US"/>
        </w:rPr>
        <w:t xml:space="preserve"> </w:t>
      </w:r>
      <w:proofErr w:type="spellStart"/>
      <w:r w:rsidRPr="0056209F">
        <w:rPr>
          <w:lang w:val="en-US"/>
        </w:rPr>
        <w:t>infatti</w:t>
      </w:r>
      <w:proofErr w:type="spellEnd"/>
      <w:r w:rsidRPr="0056209F">
        <w:rPr>
          <w:lang w:val="en-US"/>
        </w:rPr>
        <w:t xml:space="preserve"> </w:t>
      </w:r>
      <w:proofErr w:type="spellStart"/>
      <w:r w:rsidRPr="0056209F">
        <w:rPr>
          <w:lang w:val="en-US"/>
        </w:rPr>
        <w:t>prevede</w:t>
      </w:r>
      <w:proofErr w:type="spellEnd"/>
      <w:r w:rsidRPr="0056209F">
        <w:rPr>
          <w:lang w:val="en-US"/>
        </w:rPr>
        <w:t xml:space="preserve"> </w:t>
      </w:r>
      <w:proofErr w:type="spellStart"/>
      <w:r w:rsidRPr="0056209F">
        <w:rPr>
          <w:lang w:val="en-US"/>
        </w:rPr>
        <w:t>che</w:t>
      </w:r>
      <w:proofErr w:type="spellEnd"/>
      <w:r w:rsidRPr="0056209F">
        <w:rPr>
          <w:lang w:val="en-US"/>
        </w:rPr>
        <w:t xml:space="preserve"> “</w:t>
      </w:r>
      <w:r w:rsidR="00EB593D" w:rsidRPr="0056209F">
        <w:rPr>
          <w:rFonts w:eastAsia="Times New Roman"/>
          <w:i/>
          <w:lang w:val="en-US" w:eastAsia="en-GB"/>
        </w:rPr>
        <w:t>However, by a decision of the Minister, Non-Qatari investors may exceed the proportion of their contribution of the 49% up to 100% of project capital, in the fields of agriculture, industry, health, education, tourism, development, exploitation of natural resources, energy, mining and business consultancy, technical, information technology, cultural, sports, entertainment and distribution services. The Council of Ministers reserves the right to add any other fields in the areas stipulated in the preceding paragraph”</w:t>
      </w:r>
      <w:r w:rsidR="00EB593D" w:rsidRPr="0056209F">
        <w:rPr>
          <w:rFonts w:eastAsia="Times New Roman"/>
          <w:lang w:val="en-US" w:eastAsia="en-GB"/>
        </w:rPr>
        <w:t xml:space="preserve">. </w:t>
      </w:r>
      <w:r w:rsidR="00EB593D" w:rsidRPr="0056209F">
        <w:rPr>
          <w:rFonts w:eastAsia="Times New Roman"/>
          <w:lang w:eastAsia="en-GB"/>
        </w:rPr>
        <w:t>I</w:t>
      </w:r>
      <w:r w:rsidR="003863A8" w:rsidRPr="0056209F">
        <w:rPr>
          <w:rFonts w:eastAsia="Times New Roman"/>
          <w:lang w:eastAsia="en-GB"/>
        </w:rPr>
        <w:t xml:space="preserve">l tutto come specificato dalle </w:t>
      </w:r>
      <w:r w:rsidR="00AA7598" w:rsidRPr="0056209F">
        <w:rPr>
          <w:rFonts w:eastAsia="Times New Roman"/>
          <w:lang w:eastAsia="en-GB"/>
        </w:rPr>
        <w:t xml:space="preserve"> disposizioni attuative</w:t>
      </w:r>
      <w:r w:rsidR="003863A8" w:rsidRPr="0056209F">
        <w:rPr>
          <w:rFonts w:eastAsia="Times New Roman"/>
          <w:lang w:eastAsia="en-GB"/>
        </w:rPr>
        <w:t xml:space="preserve"> della legge</w:t>
      </w:r>
      <w:r w:rsidR="00AA7598" w:rsidRPr="0056209F">
        <w:rPr>
          <w:rFonts w:eastAsia="Times New Roman"/>
          <w:lang w:eastAsia="en-GB"/>
        </w:rPr>
        <w:t xml:space="preserve">. </w:t>
      </w:r>
    </w:p>
    <w:p w:rsidR="00AC0F57" w:rsidRPr="0056209F" w:rsidRDefault="00EB593D" w:rsidP="003E557B">
      <w:pPr>
        <w:pStyle w:val="NormaleWeb"/>
        <w:shd w:val="clear" w:color="auto" w:fill="FFFFFF"/>
        <w:jc w:val="both"/>
        <w:rPr>
          <w:rFonts w:eastAsia="Times New Roman"/>
          <w:lang w:eastAsia="en-GB"/>
        </w:rPr>
      </w:pPr>
      <w:r w:rsidRPr="0056209F">
        <w:rPr>
          <w:rFonts w:eastAsia="Times New Roman"/>
          <w:lang w:eastAsia="en-GB"/>
        </w:rPr>
        <w:t>In</w:t>
      </w:r>
      <w:r w:rsidR="00AA7598" w:rsidRPr="0056209F">
        <w:rPr>
          <w:rFonts w:eastAsia="Times New Roman"/>
          <w:lang w:eastAsia="en-GB"/>
        </w:rPr>
        <w:t xml:space="preserve"> data 8 giugno 2020</w:t>
      </w:r>
      <w:r w:rsidR="0056209F" w:rsidRPr="0056209F">
        <w:rPr>
          <w:rFonts w:eastAsia="Times New Roman"/>
          <w:lang w:eastAsia="en-GB"/>
        </w:rPr>
        <w:t xml:space="preserve"> </w:t>
      </w:r>
      <w:r w:rsidR="00456A1B" w:rsidRPr="0056209F">
        <w:rPr>
          <w:rFonts w:eastAsia="Times New Roman"/>
          <w:lang w:eastAsia="en-GB"/>
        </w:rPr>
        <w:t xml:space="preserve">- </w:t>
      </w:r>
      <w:r w:rsidR="00AA7598" w:rsidRPr="0056209F">
        <w:rPr>
          <w:rFonts w:eastAsia="Times New Roman"/>
          <w:lang w:eastAsia="en-GB"/>
        </w:rPr>
        <w:t>pubblicate sulla Gazzetta ufficiale dell’11 giugno 2020</w:t>
      </w:r>
      <w:r w:rsidR="00456A1B" w:rsidRPr="0056209F">
        <w:rPr>
          <w:rFonts w:eastAsia="Times New Roman"/>
          <w:lang w:eastAsia="en-GB"/>
        </w:rPr>
        <w:t xml:space="preserve"> con entrata in vigore l’11 luglio 2020</w:t>
      </w:r>
      <w:r w:rsidR="0056209F" w:rsidRPr="0056209F">
        <w:rPr>
          <w:rFonts w:eastAsia="Times New Roman"/>
          <w:lang w:eastAsia="en-GB"/>
        </w:rPr>
        <w:t xml:space="preserve"> </w:t>
      </w:r>
      <w:r w:rsidR="00456A1B" w:rsidRPr="0056209F">
        <w:rPr>
          <w:rFonts w:eastAsia="Times New Roman"/>
          <w:lang w:eastAsia="en-GB"/>
        </w:rPr>
        <w:t xml:space="preserve">- </w:t>
      </w:r>
      <w:r w:rsidR="00AA7598" w:rsidRPr="0056209F">
        <w:rPr>
          <w:rFonts w:eastAsia="Times New Roman"/>
          <w:lang w:eastAsia="en-GB"/>
        </w:rPr>
        <w:t xml:space="preserve">sono state promulgate le “Executive </w:t>
      </w:r>
      <w:proofErr w:type="spellStart"/>
      <w:r w:rsidR="00AA7598" w:rsidRPr="0056209F">
        <w:rPr>
          <w:rFonts w:eastAsia="Times New Roman"/>
          <w:lang w:eastAsia="en-GB"/>
        </w:rPr>
        <w:t>Regulations</w:t>
      </w:r>
      <w:proofErr w:type="spellEnd"/>
      <w:r w:rsidR="00AA7598" w:rsidRPr="0056209F">
        <w:rPr>
          <w:rFonts w:eastAsia="Times New Roman"/>
          <w:lang w:eastAsia="en-GB"/>
        </w:rPr>
        <w:t xml:space="preserve">” della legge dal Ministero del Commercio e dell’Industria. Il Ministero stesso emanerà </w:t>
      </w:r>
      <w:r w:rsidR="00456A1B" w:rsidRPr="0056209F">
        <w:rPr>
          <w:rFonts w:eastAsia="Times New Roman"/>
          <w:lang w:eastAsia="en-GB"/>
        </w:rPr>
        <w:t>una lista di attività in cui sarà permessa la partecipazione societaria superiore al 49%.</w:t>
      </w:r>
    </w:p>
    <w:p w:rsidR="003E24E6" w:rsidRPr="0056209F" w:rsidRDefault="003E24E6" w:rsidP="00456A1B">
      <w:pPr>
        <w:rPr>
          <w:i/>
          <w:iCs/>
          <w:sz w:val="22"/>
          <w:szCs w:val="22"/>
        </w:rPr>
      </w:pPr>
    </w:p>
    <w:p w:rsidR="002428D4" w:rsidRPr="0056209F" w:rsidRDefault="002428D4" w:rsidP="002428D4">
      <w:pPr>
        <w:autoSpaceDE w:val="0"/>
        <w:autoSpaceDN w:val="0"/>
        <w:adjustRightInd w:val="0"/>
        <w:spacing w:before="40" w:after="40"/>
        <w:jc w:val="both"/>
        <w:rPr>
          <w:rFonts w:cs="Calibri"/>
        </w:rPr>
      </w:pPr>
      <w:bookmarkStart w:id="0" w:name="_GoBack"/>
      <w:bookmarkEnd w:id="0"/>
      <w:r w:rsidRPr="0056209F">
        <w:rPr>
          <w:rFonts w:cs="Calibri"/>
        </w:rPr>
        <w:t xml:space="preserve">INVESTIMENTI IMMOBILIARI DA PARTE DI CITTADINI STRANIERI. </w:t>
      </w:r>
    </w:p>
    <w:p w:rsidR="006E7F40" w:rsidRPr="0056209F" w:rsidRDefault="006E7F40" w:rsidP="0056209F">
      <w:pPr>
        <w:jc w:val="both"/>
        <w:rPr>
          <w:rFonts w:cs="Calibri"/>
        </w:rPr>
      </w:pPr>
      <w:r w:rsidRPr="0056209F">
        <w:rPr>
          <w:rFonts w:cs="Calibri"/>
        </w:rPr>
        <w:t xml:space="preserve">In base alla Legge no. 16 del 2018 </w:t>
      </w:r>
      <w:r w:rsidR="002428D4" w:rsidRPr="0056209F">
        <w:rPr>
          <w:rFonts w:cs="Calibri"/>
        </w:rPr>
        <w:t>“</w:t>
      </w:r>
      <w:proofErr w:type="spellStart"/>
      <w:r w:rsidRPr="0056209F">
        <w:rPr>
          <w:rFonts w:cs="Calibri"/>
        </w:rPr>
        <w:t>Foreign</w:t>
      </w:r>
      <w:proofErr w:type="spellEnd"/>
      <w:r w:rsidRPr="0056209F">
        <w:rPr>
          <w:rFonts w:cs="Calibri"/>
        </w:rPr>
        <w:t xml:space="preserve"> </w:t>
      </w:r>
      <w:proofErr w:type="spellStart"/>
      <w:r w:rsidRPr="0056209F">
        <w:rPr>
          <w:rFonts w:cs="Calibri"/>
        </w:rPr>
        <w:t>Real</w:t>
      </w:r>
      <w:proofErr w:type="spellEnd"/>
      <w:r w:rsidRPr="0056209F">
        <w:rPr>
          <w:rFonts w:cs="Calibri"/>
        </w:rPr>
        <w:t xml:space="preserve"> Estate </w:t>
      </w:r>
      <w:proofErr w:type="spellStart"/>
      <w:r w:rsidRPr="0056209F">
        <w:rPr>
          <w:rFonts w:cs="Calibri"/>
        </w:rPr>
        <w:t>Ownership</w:t>
      </w:r>
      <w:proofErr w:type="spellEnd"/>
      <w:r w:rsidRPr="0056209F">
        <w:rPr>
          <w:rFonts w:cs="Calibri"/>
        </w:rPr>
        <w:t xml:space="preserve"> Law’</w:t>
      </w:r>
      <w:r w:rsidR="002428D4" w:rsidRPr="0056209F">
        <w:rPr>
          <w:rFonts w:cs="Calibri"/>
        </w:rPr>
        <w:t xml:space="preserve">”la persona fisica o giuridica straniera può </w:t>
      </w:r>
      <w:r w:rsidRPr="0056209F">
        <w:rPr>
          <w:rFonts w:cs="Calibri"/>
        </w:rPr>
        <w:t xml:space="preserve">detenere diritti di </w:t>
      </w:r>
      <w:r w:rsidR="002428D4" w:rsidRPr="0056209F">
        <w:rPr>
          <w:rFonts w:cs="Calibri"/>
        </w:rPr>
        <w:t>proprietà</w:t>
      </w:r>
      <w:r w:rsidR="0056209F">
        <w:rPr>
          <w:rFonts w:cs="Calibri"/>
        </w:rPr>
        <w:t xml:space="preserve"> </w:t>
      </w:r>
      <w:r w:rsidR="00AC0F57" w:rsidRPr="0056209F">
        <w:rPr>
          <w:rFonts w:cs="Calibri"/>
        </w:rPr>
        <w:t>o</w:t>
      </w:r>
      <w:r w:rsidR="0056209F">
        <w:rPr>
          <w:rFonts w:cs="Calibri"/>
        </w:rPr>
        <w:t xml:space="preserve"> </w:t>
      </w:r>
      <w:r w:rsidRPr="0056209F">
        <w:rPr>
          <w:rFonts w:cs="Calibri"/>
        </w:rPr>
        <w:t xml:space="preserve">di </w:t>
      </w:r>
      <w:r w:rsidR="002428D4" w:rsidRPr="0056209F">
        <w:rPr>
          <w:rFonts w:cs="Calibri"/>
        </w:rPr>
        <w:t>locazione</w:t>
      </w:r>
      <w:r w:rsidRPr="0056209F">
        <w:rPr>
          <w:rFonts w:cs="Calibri"/>
        </w:rPr>
        <w:t xml:space="preserve"> per 99 anni </w:t>
      </w:r>
      <w:r w:rsidR="003E24E6" w:rsidRPr="0056209F">
        <w:rPr>
          <w:rFonts w:cs="Calibri"/>
        </w:rPr>
        <w:t xml:space="preserve">in determinate </w:t>
      </w:r>
      <w:r w:rsidRPr="0056209F">
        <w:rPr>
          <w:rFonts w:cs="Calibri"/>
        </w:rPr>
        <w:t xml:space="preserve">aree designate </w:t>
      </w:r>
      <w:r w:rsidR="003E24E6" w:rsidRPr="0056209F">
        <w:rPr>
          <w:rFonts w:cs="Calibri"/>
        </w:rPr>
        <w:t>dalle Autorità del Qatar</w:t>
      </w:r>
      <w:r w:rsidRPr="0056209F">
        <w:rPr>
          <w:rFonts w:cs="Calibri"/>
        </w:rPr>
        <w:t xml:space="preserve">. </w:t>
      </w:r>
    </w:p>
    <w:tbl>
      <w:tblPr>
        <w:tblStyle w:val="Grigliatabella"/>
        <w:tblW w:w="0" w:type="auto"/>
        <w:tblInd w:w="704" w:type="dxa"/>
        <w:tblLook w:val="04A0"/>
      </w:tblPr>
      <w:tblGrid>
        <w:gridCol w:w="1701"/>
        <w:gridCol w:w="7223"/>
      </w:tblGrid>
      <w:tr w:rsidR="002428D4" w:rsidRPr="0056209F" w:rsidTr="003E24E6">
        <w:tc>
          <w:tcPr>
            <w:tcW w:w="1701" w:type="dxa"/>
          </w:tcPr>
          <w:p w:rsidR="002428D4" w:rsidRPr="0056209F" w:rsidRDefault="002428D4" w:rsidP="002428D4">
            <w:pPr>
              <w:jc w:val="center"/>
              <w:rPr>
                <w:rFonts w:cs="Calibri"/>
              </w:rPr>
            </w:pPr>
          </w:p>
          <w:p w:rsidR="002428D4" w:rsidRPr="0056209F" w:rsidRDefault="002428D4" w:rsidP="002428D4">
            <w:pPr>
              <w:jc w:val="center"/>
              <w:rPr>
                <w:rFonts w:cs="Calibri"/>
              </w:rPr>
            </w:pPr>
            <w:r w:rsidRPr="0056209F">
              <w:rPr>
                <w:rFonts w:cs="Calibri"/>
              </w:rPr>
              <w:t>Aree designate per i diritti di proprietà</w:t>
            </w:r>
          </w:p>
        </w:tc>
        <w:tc>
          <w:tcPr>
            <w:tcW w:w="7223" w:type="dxa"/>
          </w:tcPr>
          <w:p w:rsidR="002428D4" w:rsidRPr="0056209F" w:rsidRDefault="002428D4" w:rsidP="00E848B7">
            <w:pPr>
              <w:jc w:val="both"/>
              <w:rPr>
                <w:rFonts w:cs="Calibri"/>
                <w:lang w:val="en-US"/>
              </w:rPr>
            </w:pPr>
            <w:r w:rsidRPr="0056209F">
              <w:rPr>
                <w:rFonts w:cs="Calibri"/>
                <w:lang w:val="en-US"/>
              </w:rPr>
              <w:t xml:space="preserve">West Bay Lagoon (Area 66) - The Pearl-Qatar (66) - Al Khor Resort (74) - </w:t>
            </w:r>
            <w:proofErr w:type="spellStart"/>
            <w:r w:rsidRPr="0056209F">
              <w:rPr>
                <w:rFonts w:cs="Calibri"/>
                <w:lang w:val="en-US"/>
              </w:rPr>
              <w:t>Rawdat</w:t>
            </w:r>
            <w:proofErr w:type="spellEnd"/>
            <w:r w:rsidRPr="0056209F">
              <w:rPr>
                <w:rFonts w:cs="Calibri"/>
                <w:lang w:val="en-US"/>
              </w:rPr>
              <w:t xml:space="preserve"> Al </w:t>
            </w:r>
            <w:proofErr w:type="spellStart"/>
            <w:r w:rsidRPr="0056209F">
              <w:rPr>
                <w:rFonts w:cs="Calibri"/>
                <w:lang w:val="en-US"/>
              </w:rPr>
              <w:t>Jahaniyah</w:t>
            </w:r>
            <w:proofErr w:type="spellEnd"/>
            <w:r w:rsidRPr="0056209F">
              <w:rPr>
                <w:rFonts w:cs="Calibri"/>
                <w:lang w:val="en-US"/>
              </w:rPr>
              <w:t xml:space="preserve"> (investment area) - Al </w:t>
            </w:r>
            <w:proofErr w:type="spellStart"/>
            <w:r w:rsidRPr="0056209F">
              <w:rPr>
                <w:rFonts w:cs="Calibri"/>
                <w:lang w:val="en-US"/>
              </w:rPr>
              <w:t>Qassar</w:t>
            </w:r>
            <w:proofErr w:type="spellEnd"/>
            <w:r w:rsidRPr="0056209F">
              <w:rPr>
                <w:rFonts w:cs="Calibri"/>
                <w:lang w:val="en-US"/>
              </w:rPr>
              <w:t xml:space="preserve"> (administrative area 60) - Al </w:t>
            </w:r>
            <w:proofErr w:type="spellStart"/>
            <w:r w:rsidRPr="0056209F">
              <w:rPr>
                <w:rFonts w:cs="Calibri"/>
                <w:lang w:val="en-US"/>
              </w:rPr>
              <w:t>Dafna</w:t>
            </w:r>
            <w:proofErr w:type="spellEnd"/>
            <w:r w:rsidRPr="0056209F">
              <w:rPr>
                <w:rFonts w:cs="Calibri"/>
                <w:lang w:val="en-US"/>
              </w:rPr>
              <w:t xml:space="preserve"> (administrative area 61) - </w:t>
            </w:r>
            <w:proofErr w:type="spellStart"/>
            <w:r w:rsidRPr="0056209F">
              <w:rPr>
                <w:rFonts w:cs="Calibri"/>
                <w:lang w:val="en-US"/>
              </w:rPr>
              <w:t>Onaiza</w:t>
            </w:r>
            <w:proofErr w:type="spellEnd"/>
            <w:r w:rsidRPr="0056209F">
              <w:rPr>
                <w:rFonts w:cs="Calibri"/>
                <w:lang w:val="en-US"/>
              </w:rPr>
              <w:t xml:space="preserve"> (administrative area 63) - Al </w:t>
            </w:r>
            <w:proofErr w:type="spellStart"/>
            <w:r w:rsidRPr="0056209F">
              <w:rPr>
                <w:rFonts w:cs="Calibri"/>
                <w:lang w:val="en-US"/>
              </w:rPr>
              <w:t>Wasail</w:t>
            </w:r>
            <w:proofErr w:type="spellEnd"/>
            <w:r w:rsidRPr="0056209F">
              <w:rPr>
                <w:rFonts w:cs="Calibri"/>
                <w:lang w:val="en-US"/>
              </w:rPr>
              <w:t xml:space="preserve"> (69) - Al </w:t>
            </w:r>
            <w:proofErr w:type="spellStart"/>
            <w:r w:rsidRPr="0056209F">
              <w:rPr>
                <w:rFonts w:cs="Calibri"/>
                <w:lang w:val="en-US"/>
              </w:rPr>
              <w:t>Khraij</w:t>
            </w:r>
            <w:proofErr w:type="spellEnd"/>
            <w:r w:rsidRPr="0056209F">
              <w:rPr>
                <w:rFonts w:cs="Calibri"/>
                <w:lang w:val="en-US"/>
              </w:rPr>
              <w:t xml:space="preserve"> (69) - </w:t>
            </w:r>
            <w:proofErr w:type="spellStart"/>
            <w:r w:rsidRPr="0056209F">
              <w:rPr>
                <w:rFonts w:cs="Calibri"/>
                <w:lang w:val="en-US"/>
              </w:rPr>
              <w:t>JabalTheyleeb</w:t>
            </w:r>
            <w:proofErr w:type="spellEnd"/>
            <w:r w:rsidRPr="0056209F">
              <w:rPr>
                <w:rFonts w:cs="Calibri"/>
                <w:lang w:val="en-US"/>
              </w:rPr>
              <w:t xml:space="preserve"> (69). </w:t>
            </w:r>
          </w:p>
          <w:p w:rsidR="00E848B7" w:rsidRPr="0056209F" w:rsidRDefault="00E848B7" w:rsidP="00E848B7">
            <w:pPr>
              <w:jc w:val="both"/>
              <w:rPr>
                <w:rFonts w:cs="Calibri"/>
                <w:u w:val="single"/>
                <w:lang w:val="en-US"/>
              </w:rPr>
            </w:pPr>
          </w:p>
        </w:tc>
      </w:tr>
      <w:tr w:rsidR="002428D4" w:rsidRPr="0056209F" w:rsidTr="003E24E6">
        <w:tc>
          <w:tcPr>
            <w:tcW w:w="1701" w:type="dxa"/>
          </w:tcPr>
          <w:p w:rsidR="002428D4" w:rsidRPr="0056209F" w:rsidRDefault="002428D4" w:rsidP="002428D4">
            <w:pPr>
              <w:jc w:val="center"/>
              <w:rPr>
                <w:rFonts w:cs="Calibri"/>
                <w:lang w:val="en-US"/>
              </w:rPr>
            </w:pPr>
          </w:p>
          <w:p w:rsidR="002428D4" w:rsidRPr="0056209F" w:rsidRDefault="002428D4" w:rsidP="002428D4">
            <w:pPr>
              <w:jc w:val="center"/>
              <w:rPr>
                <w:rFonts w:cs="Calibri"/>
              </w:rPr>
            </w:pPr>
            <w:r w:rsidRPr="0056209F">
              <w:rPr>
                <w:rFonts w:cs="Calibri"/>
              </w:rPr>
              <w:t>Aree designate per i diritti di locazione</w:t>
            </w:r>
            <w:r w:rsidR="00456A1B" w:rsidRPr="0056209F">
              <w:rPr>
                <w:rFonts w:cs="Calibri"/>
              </w:rPr>
              <w:t xml:space="preserve"> 99 anni</w:t>
            </w:r>
          </w:p>
          <w:p w:rsidR="002428D4" w:rsidRPr="0056209F" w:rsidRDefault="002428D4" w:rsidP="002428D4">
            <w:pPr>
              <w:jc w:val="center"/>
              <w:rPr>
                <w:rFonts w:cs="Calibri"/>
              </w:rPr>
            </w:pPr>
          </w:p>
        </w:tc>
        <w:tc>
          <w:tcPr>
            <w:tcW w:w="7223" w:type="dxa"/>
          </w:tcPr>
          <w:p w:rsidR="002428D4" w:rsidRPr="0056209F" w:rsidRDefault="002428D4" w:rsidP="002428D4">
            <w:pPr>
              <w:jc w:val="both"/>
              <w:rPr>
                <w:rFonts w:cs="Calibri"/>
                <w:u w:val="single"/>
              </w:rPr>
            </w:pPr>
            <w:proofErr w:type="spellStart"/>
            <w:r w:rsidRPr="0056209F">
              <w:rPr>
                <w:rFonts w:cs="Calibri"/>
              </w:rPr>
              <w:t>Msheireb</w:t>
            </w:r>
            <w:proofErr w:type="spellEnd"/>
            <w:r w:rsidRPr="0056209F">
              <w:rPr>
                <w:rFonts w:cs="Calibri"/>
              </w:rPr>
              <w:t xml:space="preserve"> (Area 13), </w:t>
            </w:r>
            <w:proofErr w:type="spellStart"/>
            <w:r w:rsidRPr="0056209F">
              <w:rPr>
                <w:rFonts w:cs="Calibri"/>
              </w:rPr>
              <w:t>Fereej</w:t>
            </w:r>
            <w:proofErr w:type="spellEnd"/>
            <w:r w:rsidRPr="0056209F">
              <w:rPr>
                <w:rFonts w:cs="Calibri"/>
              </w:rPr>
              <w:t xml:space="preserve"> Abdelaziz (14), Doha Al </w:t>
            </w:r>
            <w:proofErr w:type="spellStart"/>
            <w:r w:rsidRPr="0056209F">
              <w:rPr>
                <w:rFonts w:cs="Calibri"/>
              </w:rPr>
              <w:t>Jadeed</w:t>
            </w:r>
            <w:proofErr w:type="spellEnd"/>
            <w:r w:rsidRPr="0056209F">
              <w:rPr>
                <w:rFonts w:cs="Calibri"/>
              </w:rPr>
              <w:t xml:space="preserve"> (15), New Al </w:t>
            </w:r>
            <w:proofErr w:type="spellStart"/>
            <w:r w:rsidRPr="0056209F">
              <w:rPr>
                <w:rFonts w:cs="Calibri"/>
              </w:rPr>
              <w:t>Ghanim</w:t>
            </w:r>
            <w:proofErr w:type="spellEnd"/>
            <w:r w:rsidRPr="0056209F">
              <w:rPr>
                <w:rFonts w:cs="Calibri"/>
              </w:rPr>
              <w:t xml:space="preserve"> (16), Al </w:t>
            </w:r>
            <w:proofErr w:type="spellStart"/>
            <w:r w:rsidRPr="0056209F">
              <w:rPr>
                <w:rFonts w:cs="Calibri"/>
              </w:rPr>
              <w:t>Refaa</w:t>
            </w:r>
            <w:proofErr w:type="spellEnd"/>
            <w:r w:rsidRPr="0056209F">
              <w:rPr>
                <w:rFonts w:cs="Calibri"/>
              </w:rPr>
              <w:t xml:space="preserve"> and </w:t>
            </w:r>
            <w:proofErr w:type="spellStart"/>
            <w:r w:rsidRPr="0056209F">
              <w:rPr>
                <w:rFonts w:cs="Calibri"/>
              </w:rPr>
              <w:t>Old</w:t>
            </w:r>
            <w:proofErr w:type="spellEnd"/>
            <w:r w:rsidRPr="0056209F">
              <w:rPr>
                <w:rFonts w:cs="Calibri"/>
              </w:rPr>
              <w:t xml:space="preserve"> Al </w:t>
            </w:r>
            <w:proofErr w:type="spellStart"/>
            <w:r w:rsidRPr="0056209F">
              <w:rPr>
                <w:rFonts w:cs="Calibri"/>
              </w:rPr>
              <w:t>Hitmi</w:t>
            </w:r>
            <w:proofErr w:type="spellEnd"/>
            <w:r w:rsidRPr="0056209F">
              <w:rPr>
                <w:rFonts w:cs="Calibri"/>
              </w:rPr>
              <w:t xml:space="preserve"> (17), </w:t>
            </w:r>
            <w:proofErr w:type="spellStart"/>
            <w:r w:rsidRPr="0056209F">
              <w:rPr>
                <w:rFonts w:cs="Calibri"/>
              </w:rPr>
              <w:t>Aslata</w:t>
            </w:r>
            <w:proofErr w:type="spellEnd"/>
            <w:r w:rsidRPr="0056209F">
              <w:rPr>
                <w:rFonts w:cs="Calibri"/>
              </w:rPr>
              <w:t xml:space="preserve"> (18), </w:t>
            </w:r>
            <w:proofErr w:type="spellStart"/>
            <w:r w:rsidRPr="0056209F">
              <w:rPr>
                <w:rFonts w:cs="Calibri"/>
              </w:rPr>
              <w:t>Fereej</w:t>
            </w:r>
            <w:proofErr w:type="spellEnd"/>
            <w:r w:rsidRPr="0056209F">
              <w:rPr>
                <w:rFonts w:cs="Calibri"/>
              </w:rPr>
              <w:t xml:space="preserve"> Bin Mahmoud (22), </w:t>
            </w:r>
            <w:proofErr w:type="spellStart"/>
            <w:r w:rsidRPr="0056209F">
              <w:rPr>
                <w:rFonts w:cs="Calibri"/>
              </w:rPr>
              <w:t>Fereej</w:t>
            </w:r>
            <w:proofErr w:type="spellEnd"/>
            <w:r w:rsidRPr="0056209F">
              <w:rPr>
                <w:rFonts w:cs="Calibri"/>
              </w:rPr>
              <w:t xml:space="preserve"> Bin Mahmoud (23), </w:t>
            </w:r>
            <w:proofErr w:type="spellStart"/>
            <w:r w:rsidRPr="0056209F">
              <w:rPr>
                <w:rFonts w:cs="Calibri"/>
              </w:rPr>
              <w:t>Rawdat</w:t>
            </w:r>
            <w:proofErr w:type="spellEnd"/>
            <w:r w:rsidRPr="0056209F">
              <w:rPr>
                <w:rFonts w:cs="Calibri"/>
              </w:rPr>
              <w:t xml:space="preserve"> Al </w:t>
            </w:r>
            <w:proofErr w:type="spellStart"/>
            <w:r w:rsidRPr="0056209F">
              <w:rPr>
                <w:rFonts w:cs="Calibri"/>
              </w:rPr>
              <w:t>Khail</w:t>
            </w:r>
            <w:proofErr w:type="spellEnd"/>
            <w:r w:rsidRPr="0056209F">
              <w:rPr>
                <w:rFonts w:cs="Calibri"/>
              </w:rPr>
              <w:t xml:space="preserve"> (24), </w:t>
            </w:r>
            <w:proofErr w:type="spellStart"/>
            <w:r w:rsidRPr="0056209F">
              <w:rPr>
                <w:rFonts w:cs="Calibri"/>
              </w:rPr>
              <w:t>Mansoura</w:t>
            </w:r>
            <w:proofErr w:type="spellEnd"/>
            <w:r w:rsidRPr="0056209F">
              <w:rPr>
                <w:rFonts w:cs="Calibri"/>
              </w:rPr>
              <w:t xml:space="preserve"> and </w:t>
            </w:r>
            <w:proofErr w:type="spellStart"/>
            <w:r w:rsidRPr="0056209F">
              <w:rPr>
                <w:rFonts w:cs="Calibri"/>
              </w:rPr>
              <w:t>Fereej</w:t>
            </w:r>
            <w:proofErr w:type="spellEnd"/>
            <w:r w:rsidRPr="0056209F">
              <w:rPr>
                <w:rFonts w:cs="Calibri"/>
              </w:rPr>
              <w:t xml:space="preserve"> Bin Dirham (25), </w:t>
            </w:r>
            <w:proofErr w:type="spellStart"/>
            <w:r w:rsidRPr="0056209F">
              <w:rPr>
                <w:rFonts w:cs="Calibri"/>
              </w:rPr>
              <w:t>Najma</w:t>
            </w:r>
            <w:proofErr w:type="spellEnd"/>
            <w:r w:rsidRPr="0056209F">
              <w:rPr>
                <w:rFonts w:cs="Calibri"/>
              </w:rPr>
              <w:t xml:space="preserve"> (26), </w:t>
            </w:r>
            <w:proofErr w:type="spellStart"/>
            <w:r w:rsidRPr="0056209F">
              <w:rPr>
                <w:rFonts w:cs="Calibri"/>
              </w:rPr>
              <w:t>Umm</w:t>
            </w:r>
            <w:proofErr w:type="spellEnd"/>
            <w:r w:rsidRPr="0056209F">
              <w:rPr>
                <w:rFonts w:cs="Calibri"/>
              </w:rPr>
              <w:t xml:space="preserve"> </w:t>
            </w:r>
            <w:proofErr w:type="spellStart"/>
            <w:r w:rsidRPr="0056209F">
              <w:rPr>
                <w:rFonts w:cs="Calibri"/>
              </w:rPr>
              <w:t>Ghuwailina</w:t>
            </w:r>
            <w:proofErr w:type="spellEnd"/>
            <w:r w:rsidRPr="0056209F">
              <w:rPr>
                <w:rFonts w:cs="Calibri"/>
              </w:rPr>
              <w:t xml:space="preserve"> (27), Al </w:t>
            </w:r>
            <w:proofErr w:type="spellStart"/>
            <w:r w:rsidRPr="0056209F">
              <w:rPr>
                <w:rFonts w:cs="Calibri"/>
              </w:rPr>
              <w:t>Khulaifat</w:t>
            </w:r>
            <w:proofErr w:type="spellEnd"/>
            <w:r w:rsidRPr="0056209F">
              <w:rPr>
                <w:rFonts w:cs="Calibri"/>
              </w:rPr>
              <w:t xml:space="preserve"> (28), Al </w:t>
            </w:r>
            <w:proofErr w:type="spellStart"/>
            <w:r w:rsidRPr="0056209F">
              <w:rPr>
                <w:rFonts w:cs="Calibri"/>
              </w:rPr>
              <w:t>Sadd</w:t>
            </w:r>
            <w:proofErr w:type="spellEnd"/>
            <w:r w:rsidRPr="0056209F">
              <w:rPr>
                <w:rFonts w:cs="Calibri"/>
              </w:rPr>
              <w:t xml:space="preserve"> (38), Al </w:t>
            </w:r>
            <w:proofErr w:type="spellStart"/>
            <w:r w:rsidRPr="0056209F">
              <w:rPr>
                <w:rFonts w:cs="Calibri"/>
              </w:rPr>
              <w:t>Mirqab</w:t>
            </w:r>
            <w:proofErr w:type="spellEnd"/>
            <w:r w:rsidRPr="0056209F">
              <w:rPr>
                <w:rFonts w:cs="Calibri"/>
              </w:rPr>
              <w:t xml:space="preserve"> Al </w:t>
            </w:r>
            <w:proofErr w:type="spellStart"/>
            <w:r w:rsidRPr="0056209F">
              <w:rPr>
                <w:rFonts w:cs="Calibri"/>
              </w:rPr>
              <w:t>Jadeed</w:t>
            </w:r>
            <w:proofErr w:type="spellEnd"/>
            <w:r w:rsidRPr="0056209F">
              <w:rPr>
                <w:rFonts w:cs="Calibri"/>
              </w:rPr>
              <w:t xml:space="preserve"> and </w:t>
            </w:r>
            <w:proofErr w:type="spellStart"/>
            <w:r w:rsidRPr="0056209F">
              <w:rPr>
                <w:rFonts w:cs="Calibri"/>
              </w:rPr>
              <w:t>Fereej</w:t>
            </w:r>
            <w:proofErr w:type="spellEnd"/>
            <w:r w:rsidRPr="0056209F">
              <w:rPr>
                <w:rFonts w:cs="Calibri"/>
              </w:rPr>
              <w:t xml:space="preserve"> Al </w:t>
            </w:r>
            <w:proofErr w:type="spellStart"/>
            <w:r w:rsidRPr="0056209F">
              <w:rPr>
                <w:rFonts w:cs="Calibri"/>
              </w:rPr>
              <w:t>Nasr</w:t>
            </w:r>
            <w:proofErr w:type="spellEnd"/>
            <w:r w:rsidRPr="0056209F">
              <w:rPr>
                <w:rFonts w:cs="Calibri"/>
              </w:rPr>
              <w:t xml:space="preserve"> (39) and the Doha International </w:t>
            </w:r>
            <w:proofErr w:type="spellStart"/>
            <w:r w:rsidRPr="0056209F">
              <w:rPr>
                <w:rFonts w:cs="Calibri"/>
              </w:rPr>
              <w:t>Airport</w:t>
            </w:r>
            <w:proofErr w:type="spellEnd"/>
            <w:r w:rsidRPr="0056209F">
              <w:rPr>
                <w:rFonts w:cs="Calibri"/>
              </w:rPr>
              <w:t xml:space="preserve"> area (48). </w:t>
            </w:r>
          </w:p>
        </w:tc>
      </w:tr>
    </w:tbl>
    <w:p w:rsidR="002428D4" w:rsidRPr="0056209F" w:rsidRDefault="002428D4" w:rsidP="006E7F40">
      <w:pPr>
        <w:jc w:val="both"/>
        <w:rPr>
          <w:rFonts w:cs="Calibri"/>
          <w:u w:val="single"/>
        </w:rPr>
      </w:pPr>
    </w:p>
    <w:p w:rsidR="003E24E6" w:rsidRPr="0056209F" w:rsidRDefault="006E7F40" w:rsidP="0056209F">
      <w:pPr>
        <w:jc w:val="both"/>
        <w:rPr>
          <w:rFonts w:cs="Calibri"/>
        </w:rPr>
      </w:pPr>
      <w:r w:rsidRPr="0056209F">
        <w:rPr>
          <w:rFonts w:cs="Calibri"/>
        </w:rPr>
        <w:t>La Legge No. 14 del 1964</w:t>
      </w:r>
      <w:r w:rsidR="002428D4" w:rsidRPr="0056209F">
        <w:rPr>
          <w:rFonts w:cs="Calibri"/>
        </w:rPr>
        <w:t xml:space="preserve"> “</w:t>
      </w:r>
      <w:proofErr w:type="spellStart"/>
      <w:r w:rsidRPr="0056209F">
        <w:rPr>
          <w:rFonts w:cs="Calibri"/>
        </w:rPr>
        <w:t>Real</w:t>
      </w:r>
      <w:proofErr w:type="spellEnd"/>
      <w:r w:rsidRPr="0056209F">
        <w:rPr>
          <w:rFonts w:cs="Calibri"/>
        </w:rPr>
        <w:t xml:space="preserve"> Estate </w:t>
      </w:r>
      <w:proofErr w:type="spellStart"/>
      <w:r w:rsidRPr="0056209F">
        <w:rPr>
          <w:rFonts w:cs="Calibri"/>
        </w:rPr>
        <w:t>Registration</w:t>
      </w:r>
      <w:proofErr w:type="spellEnd"/>
      <w:r w:rsidRPr="0056209F">
        <w:rPr>
          <w:rFonts w:cs="Calibri"/>
        </w:rPr>
        <w:t xml:space="preserve"> </w:t>
      </w:r>
      <w:proofErr w:type="spellStart"/>
      <w:r w:rsidRPr="0056209F">
        <w:rPr>
          <w:rFonts w:cs="Calibri"/>
        </w:rPr>
        <w:t>Law</w:t>
      </w:r>
      <w:proofErr w:type="spellEnd"/>
      <w:r w:rsidR="002428D4" w:rsidRPr="0056209F">
        <w:rPr>
          <w:rFonts w:cs="Calibri"/>
        </w:rPr>
        <w:t>”</w:t>
      </w:r>
      <w:r w:rsidR="006B6B5A" w:rsidRPr="0056209F">
        <w:rPr>
          <w:rFonts w:cs="Calibri"/>
        </w:rPr>
        <w:t>disciplina la registrazione della proprietà e dei diritti di locazione e il loro trasferimento a terzi.</w:t>
      </w:r>
      <w:r w:rsidR="0056209F">
        <w:rPr>
          <w:rFonts w:cs="Calibri"/>
        </w:rPr>
        <w:t xml:space="preserve"> </w:t>
      </w:r>
      <w:r w:rsidR="006B6B5A" w:rsidRPr="0056209F">
        <w:rPr>
          <w:rFonts w:cs="Calibri"/>
        </w:rPr>
        <w:t>(</w:t>
      </w:r>
      <w:hyperlink r:id="rId9" w:history="1">
        <w:r w:rsidR="006B6B5A" w:rsidRPr="0056209F">
          <w:rPr>
            <w:rStyle w:val="Collegamentoipertestuale"/>
            <w:rFonts w:cs="Calibri"/>
          </w:rPr>
          <w:t>https://almeezan.qa/LawView.aspx?opt&amp;LawID=2506&amp;language=en</w:t>
        </w:r>
      </w:hyperlink>
      <w:r w:rsidR="006B6B5A" w:rsidRPr="0056209F">
        <w:rPr>
          <w:rFonts w:cs="Calibri"/>
        </w:rPr>
        <w:t xml:space="preserve">) </w:t>
      </w:r>
    </w:p>
    <w:p w:rsidR="003E24E6" w:rsidRPr="0056209F" w:rsidRDefault="003E24E6" w:rsidP="003E24E6">
      <w:pPr>
        <w:ind w:firstLine="708"/>
        <w:jc w:val="both"/>
        <w:rPr>
          <w:rFonts w:cs="Calibri"/>
        </w:rPr>
      </w:pPr>
    </w:p>
    <w:p w:rsidR="003E24E6" w:rsidRPr="0056209F" w:rsidRDefault="003E24E6" w:rsidP="0056209F">
      <w:pPr>
        <w:jc w:val="both"/>
        <w:rPr>
          <w:rFonts w:cs="Calibri"/>
          <w:lang w:val="en-US"/>
        </w:rPr>
      </w:pPr>
      <w:r w:rsidRPr="0056209F">
        <w:rPr>
          <w:rFonts w:cs="Calibri"/>
        </w:rPr>
        <w:t xml:space="preserve">L’art. 2 </w:t>
      </w:r>
      <w:r w:rsidR="006E7F40" w:rsidRPr="0056209F">
        <w:rPr>
          <w:rFonts w:cs="Calibri"/>
        </w:rPr>
        <w:t xml:space="preserve">della </w:t>
      </w:r>
      <w:r w:rsidRPr="0056209F">
        <w:rPr>
          <w:rFonts w:cs="Calibri"/>
        </w:rPr>
        <w:t xml:space="preserve">predetta </w:t>
      </w:r>
      <w:r w:rsidR="006B6B5A" w:rsidRPr="0056209F">
        <w:rPr>
          <w:rFonts w:cs="Calibri"/>
        </w:rPr>
        <w:t>Legge n. 16 del 201</w:t>
      </w:r>
      <w:r w:rsidR="00E848B7" w:rsidRPr="0056209F">
        <w:rPr>
          <w:rFonts w:cs="Calibri"/>
        </w:rPr>
        <w:t>8</w:t>
      </w:r>
      <w:r w:rsidR="006E7F40" w:rsidRPr="0056209F">
        <w:rPr>
          <w:rFonts w:cs="Calibri"/>
        </w:rPr>
        <w:t xml:space="preserve"> stabilisce che il diritto concesso ad </w:t>
      </w:r>
      <w:r w:rsidR="00E848B7" w:rsidRPr="0056209F">
        <w:rPr>
          <w:rFonts w:cs="Calibri"/>
        </w:rPr>
        <w:t xml:space="preserve">un cittadino straniero non decada al </w:t>
      </w:r>
      <w:r w:rsidR="006E7F40" w:rsidRPr="0056209F">
        <w:rPr>
          <w:rFonts w:cs="Calibri"/>
        </w:rPr>
        <w:t xml:space="preserve">momento del decesso ma </w:t>
      </w:r>
      <w:r w:rsidRPr="0056209F">
        <w:rPr>
          <w:rFonts w:cs="Calibri"/>
        </w:rPr>
        <w:t xml:space="preserve">venga </w:t>
      </w:r>
      <w:r w:rsidR="006E7F40" w:rsidRPr="0056209F">
        <w:rPr>
          <w:rFonts w:cs="Calibri"/>
        </w:rPr>
        <w:t xml:space="preserve">trasferito agli eredi ad eccezione della circostanza in cui vi sia un diverso </w:t>
      </w:r>
      <w:r w:rsidR="00E848B7" w:rsidRPr="0056209F">
        <w:rPr>
          <w:rFonts w:cs="Calibri"/>
        </w:rPr>
        <w:t>accordo</w:t>
      </w:r>
      <w:r w:rsidR="006E7F40" w:rsidRPr="0056209F">
        <w:rPr>
          <w:rFonts w:cs="Calibri"/>
        </w:rPr>
        <w:t xml:space="preserve"> tra le parti (“…</w:t>
      </w:r>
      <w:r w:rsidR="006E7F40" w:rsidRPr="0056209F">
        <w:rPr>
          <w:rFonts w:cs="Calibri"/>
          <w:i/>
          <w:iCs/>
        </w:rPr>
        <w:t xml:space="preserve"> </w:t>
      </w:r>
      <w:r w:rsidR="006E7F40" w:rsidRPr="0056209F">
        <w:rPr>
          <w:rFonts w:cs="Calibri"/>
          <w:i/>
          <w:iCs/>
          <w:lang w:val="en-US"/>
        </w:rPr>
        <w:t>In all events, the usufruct granted to non-Qataris shall not cease upon his death and shall be transferred to his heirs, unless both parties agree otherwise”</w:t>
      </w:r>
      <w:r w:rsidR="006E7F40" w:rsidRPr="0056209F">
        <w:rPr>
          <w:rFonts w:cs="Calibri"/>
          <w:lang w:val="en-US"/>
        </w:rPr>
        <w:t xml:space="preserve">). </w:t>
      </w:r>
    </w:p>
    <w:p w:rsidR="003E24E6" w:rsidRPr="0056209F" w:rsidRDefault="003E24E6" w:rsidP="003E24E6">
      <w:pPr>
        <w:pStyle w:val="Paragrafoelenco"/>
        <w:jc w:val="both"/>
        <w:rPr>
          <w:rFonts w:cs="Calibri"/>
          <w:lang w:val="en-US"/>
        </w:rPr>
      </w:pPr>
    </w:p>
    <w:p w:rsidR="003E24E6" w:rsidRPr="0056209F" w:rsidRDefault="00E848B7" w:rsidP="0056209F">
      <w:pPr>
        <w:jc w:val="both"/>
        <w:rPr>
          <w:rFonts w:eastAsia="Times New Roman"/>
        </w:rPr>
      </w:pPr>
      <w:r w:rsidRPr="0056209F">
        <w:rPr>
          <w:rFonts w:cs="Calibri"/>
        </w:rPr>
        <w:t>Con riferimento al trasferimento di beni in caso di decesso di cittadino straniero le disposizioni del Codice Civile del Qatar (Legge n. 22 del 2004)</w:t>
      </w:r>
      <w:r w:rsidR="006B6B5A" w:rsidRPr="0056209F">
        <w:rPr>
          <w:rFonts w:cs="Calibri"/>
        </w:rPr>
        <w:t xml:space="preserve">prevedono l’applicazione della legge </w:t>
      </w:r>
      <w:r w:rsidR="003E24E6" w:rsidRPr="0056209F">
        <w:rPr>
          <w:rFonts w:cs="Calibri"/>
        </w:rPr>
        <w:t xml:space="preserve">dello Stato di cittadinanza </w:t>
      </w:r>
      <w:r w:rsidR="00AC0F57" w:rsidRPr="0056209F">
        <w:rPr>
          <w:rFonts w:cs="Calibri"/>
        </w:rPr>
        <w:t>a</w:t>
      </w:r>
      <w:r w:rsidR="006B6B5A" w:rsidRPr="0056209F">
        <w:rPr>
          <w:rFonts w:cs="Calibri"/>
        </w:rPr>
        <w:t xml:space="preserve">l </w:t>
      </w:r>
      <w:r w:rsidR="006B6B5A" w:rsidRPr="0056209F">
        <w:rPr>
          <w:rFonts w:cs="Calibri"/>
          <w:i/>
        </w:rPr>
        <w:t xml:space="preserve">de </w:t>
      </w:r>
      <w:proofErr w:type="spellStart"/>
      <w:r w:rsidR="006B6B5A" w:rsidRPr="0056209F">
        <w:rPr>
          <w:rFonts w:cs="Calibri"/>
          <w:i/>
        </w:rPr>
        <w:t>cuius</w:t>
      </w:r>
      <w:proofErr w:type="spellEnd"/>
      <w:r w:rsidR="006B6B5A" w:rsidRPr="0056209F">
        <w:rPr>
          <w:rFonts w:cs="Calibri"/>
          <w:i/>
        </w:rPr>
        <w:t xml:space="preserve">. </w:t>
      </w:r>
      <w:r w:rsidR="006B6B5A" w:rsidRPr="0056209F">
        <w:rPr>
          <w:rFonts w:cs="Calibri"/>
          <w:iCs/>
        </w:rPr>
        <w:t xml:space="preserve">Laddove il </w:t>
      </w:r>
      <w:r w:rsidR="006B6B5A" w:rsidRPr="0056209F">
        <w:rPr>
          <w:rFonts w:cs="Calibri"/>
          <w:i/>
        </w:rPr>
        <w:t xml:space="preserve">de </w:t>
      </w:r>
      <w:proofErr w:type="spellStart"/>
      <w:r w:rsidR="006B6B5A" w:rsidRPr="0056209F">
        <w:rPr>
          <w:rFonts w:cs="Calibri"/>
          <w:i/>
        </w:rPr>
        <w:t>cuius</w:t>
      </w:r>
      <w:proofErr w:type="spellEnd"/>
      <w:r w:rsidR="006B6B5A" w:rsidRPr="0056209F">
        <w:rPr>
          <w:rFonts w:cs="Calibri"/>
          <w:iCs/>
        </w:rPr>
        <w:t xml:space="preserve"> non avesse </w:t>
      </w:r>
      <w:r w:rsidR="0000189A" w:rsidRPr="0056209F">
        <w:rPr>
          <w:rFonts w:cs="Calibri"/>
          <w:iCs/>
        </w:rPr>
        <w:t xml:space="preserve">lasciato </w:t>
      </w:r>
      <w:r w:rsidR="006B6B5A" w:rsidRPr="0056209F">
        <w:rPr>
          <w:rFonts w:cs="Calibri"/>
          <w:iCs/>
        </w:rPr>
        <w:t xml:space="preserve">eredi </w:t>
      </w:r>
      <w:r w:rsidR="00AC0F57" w:rsidRPr="0056209F">
        <w:rPr>
          <w:rFonts w:cs="Calibri"/>
          <w:iCs/>
        </w:rPr>
        <w:t xml:space="preserve">o </w:t>
      </w:r>
      <w:r w:rsidR="0000189A" w:rsidRPr="0056209F">
        <w:rPr>
          <w:rFonts w:cs="Calibri"/>
          <w:iCs/>
        </w:rPr>
        <w:t xml:space="preserve">nominato </w:t>
      </w:r>
      <w:r w:rsidR="00AC0F57" w:rsidRPr="0056209F">
        <w:rPr>
          <w:rFonts w:cs="Calibri"/>
          <w:iCs/>
        </w:rPr>
        <w:t xml:space="preserve">beneficiari </w:t>
      </w:r>
      <w:r w:rsidR="0000189A" w:rsidRPr="0056209F">
        <w:rPr>
          <w:rFonts w:cs="Calibri"/>
          <w:iCs/>
        </w:rPr>
        <w:t xml:space="preserve">nel testamento </w:t>
      </w:r>
      <w:r w:rsidR="006B6B5A" w:rsidRPr="0056209F">
        <w:rPr>
          <w:rFonts w:cs="Calibri"/>
          <w:iCs/>
        </w:rPr>
        <w:t xml:space="preserve">secondo la legge </w:t>
      </w:r>
      <w:r w:rsidR="003E24E6" w:rsidRPr="0056209F">
        <w:rPr>
          <w:rFonts w:cs="Calibri"/>
          <w:iCs/>
        </w:rPr>
        <w:t>dello Stato di cittadinanza</w:t>
      </w:r>
      <w:r w:rsidR="0000189A" w:rsidRPr="0056209F">
        <w:rPr>
          <w:rFonts w:cs="Calibri"/>
          <w:iCs/>
        </w:rPr>
        <w:t>,</w:t>
      </w:r>
      <w:r w:rsidR="006B6B5A" w:rsidRPr="0056209F">
        <w:rPr>
          <w:rFonts w:cs="Calibri"/>
          <w:iCs/>
        </w:rPr>
        <w:t xml:space="preserve"> si applicherebbe la legge dello Stato del Qatar. </w:t>
      </w:r>
    </w:p>
    <w:p w:rsidR="00E848B7" w:rsidRPr="0056209F" w:rsidRDefault="00E848B7" w:rsidP="0056209F">
      <w:pPr>
        <w:jc w:val="both"/>
        <w:rPr>
          <w:rFonts w:eastAsia="Times New Roman"/>
        </w:rPr>
      </w:pPr>
      <w:r w:rsidRPr="0056209F">
        <w:rPr>
          <w:rStyle w:val="Enfasigrassetto"/>
          <w:rFonts w:eastAsia="Times New Roman"/>
          <w:b w:val="0"/>
        </w:rPr>
        <w:lastRenderedPageBreak/>
        <w:t>“</w:t>
      </w:r>
      <w:proofErr w:type="spellStart"/>
      <w:r w:rsidRPr="0056209F">
        <w:rPr>
          <w:rStyle w:val="Enfasicorsivo"/>
          <w:rFonts w:eastAsia="Times New Roman"/>
          <w:bCs/>
        </w:rPr>
        <w:t>Article</w:t>
      </w:r>
      <w:proofErr w:type="spellEnd"/>
      <w:r w:rsidRPr="0056209F">
        <w:rPr>
          <w:rStyle w:val="Enfasicorsivo"/>
          <w:rFonts w:eastAsia="Times New Roman"/>
          <w:bCs/>
        </w:rPr>
        <w:t xml:space="preserve"> (23) </w:t>
      </w:r>
    </w:p>
    <w:p w:rsidR="00E848B7" w:rsidRPr="0056209F" w:rsidRDefault="00E848B7" w:rsidP="00E848B7">
      <w:pPr>
        <w:numPr>
          <w:ilvl w:val="0"/>
          <w:numId w:val="2"/>
        </w:numPr>
        <w:jc w:val="both"/>
        <w:rPr>
          <w:rFonts w:cs="Calibri"/>
          <w:i/>
          <w:iCs/>
          <w:lang w:val="en-US"/>
        </w:rPr>
      </w:pPr>
      <w:r w:rsidRPr="0056209F">
        <w:rPr>
          <w:rFonts w:cs="Calibri"/>
          <w:i/>
          <w:lang w:val="en-US"/>
        </w:rPr>
        <w:t xml:space="preserve">Succession shall be subject to the law of the nationality of the deceased at the time of his death. </w:t>
      </w:r>
    </w:p>
    <w:p w:rsidR="00E848B7" w:rsidRPr="0056209F" w:rsidRDefault="00E848B7" w:rsidP="00E848B7">
      <w:pPr>
        <w:numPr>
          <w:ilvl w:val="0"/>
          <w:numId w:val="2"/>
        </w:numPr>
        <w:jc w:val="both"/>
        <w:rPr>
          <w:rFonts w:eastAsia="Times New Roman"/>
          <w:i/>
          <w:lang w:val="en-US"/>
        </w:rPr>
      </w:pPr>
      <w:r w:rsidRPr="0056209F">
        <w:rPr>
          <w:rFonts w:cs="Calibri"/>
          <w:i/>
          <w:lang w:val="en-US"/>
        </w:rPr>
        <w:t>Estates without heirs which exist in Qatar shall be</w:t>
      </w:r>
      <w:r w:rsidRPr="0056209F">
        <w:rPr>
          <w:rFonts w:cs="Calibri"/>
          <w:i/>
          <w:iCs/>
          <w:lang w:val="en-US"/>
        </w:rPr>
        <w:t xml:space="preserve"> subject to Qatar law.</w:t>
      </w:r>
    </w:p>
    <w:p w:rsidR="00E848B7" w:rsidRPr="0056209F" w:rsidRDefault="00E848B7" w:rsidP="0056209F">
      <w:pPr>
        <w:rPr>
          <w:rStyle w:val="Enfasigrassetto"/>
          <w:b w:val="0"/>
        </w:rPr>
      </w:pPr>
      <w:proofErr w:type="spellStart"/>
      <w:r w:rsidRPr="0056209F">
        <w:rPr>
          <w:rStyle w:val="Enfasigrassetto"/>
          <w:b w:val="0"/>
          <w:bCs w:val="0"/>
          <w:i/>
          <w:iCs/>
        </w:rPr>
        <w:t>Article</w:t>
      </w:r>
      <w:proofErr w:type="spellEnd"/>
      <w:r w:rsidRPr="0056209F">
        <w:rPr>
          <w:rStyle w:val="Enfasigrassetto"/>
          <w:b w:val="0"/>
          <w:bCs w:val="0"/>
          <w:i/>
          <w:iCs/>
        </w:rPr>
        <w:t xml:space="preserve"> (24) </w:t>
      </w:r>
    </w:p>
    <w:p w:rsidR="00E848B7" w:rsidRPr="003E24E6" w:rsidRDefault="00E848B7" w:rsidP="00E848B7">
      <w:pPr>
        <w:numPr>
          <w:ilvl w:val="0"/>
          <w:numId w:val="2"/>
        </w:numPr>
        <w:jc w:val="both"/>
        <w:rPr>
          <w:rFonts w:cs="Calibri"/>
          <w:i/>
          <w:lang w:val="en-US"/>
        </w:rPr>
      </w:pPr>
      <w:r w:rsidRPr="0056209F">
        <w:rPr>
          <w:rFonts w:cs="Calibri"/>
          <w:i/>
          <w:iCs/>
          <w:lang w:val="en-US"/>
        </w:rPr>
        <w:t>A will and all</w:t>
      </w:r>
      <w:r w:rsidRPr="003E24E6">
        <w:rPr>
          <w:rFonts w:cs="Calibri"/>
          <w:i/>
          <w:iCs/>
          <w:lang w:val="en-US"/>
        </w:rPr>
        <w:t xml:space="preserve"> dispositions contingent upon death shall be subject to the law of the nationality of the person who made the disposition at the time of his death. </w:t>
      </w:r>
    </w:p>
    <w:p w:rsidR="00E848B7" w:rsidRPr="0056209F" w:rsidRDefault="00E848B7" w:rsidP="00E848B7">
      <w:pPr>
        <w:numPr>
          <w:ilvl w:val="0"/>
          <w:numId w:val="2"/>
        </w:numPr>
        <w:jc w:val="both"/>
        <w:rPr>
          <w:rFonts w:cs="Calibri"/>
          <w:i/>
          <w:lang w:val="en-US"/>
        </w:rPr>
      </w:pPr>
      <w:r w:rsidRPr="003E24E6">
        <w:rPr>
          <w:rFonts w:cs="Calibri"/>
          <w:i/>
          <w:iCs/>
          <w:lang w:val="en-US"/>
        </w:rPr>
        <w:t>The form of a will and other dispositions contingent upon death shall however, be subject to the law of the nationality of the person who made the disposition at the time of the disposition, or the law of the country where the disposition took place.</w:t>
      </w:r>
      <w:r w:rsidRPr="0056209F">
        <w:rPr>
          <w:rFonts w:cs="Calibri"/>
          <w:i/>
          <w:lang w:val="en-US"/>
        </w:rPr>
        <w:t>“</w:t>
      </w:r>
    </w:p>
    <w:p w:rsidR="006B6B5A" w:rsidRPr="0056209F" w:rsidRDefault="006B6B5A" w:rsidP="006B6B5A">
      <w:pPr>
        <w:jc w:val="both"/>
        <w:rPr>
          <w:rFonts w:cs="Calibri"/>
          <w:i/>
          <w:lang w:val="en-US"/>
        </w:rPr>
      </w:pPr>
    </w:p>
    <w:p w:rsidR="00E848B7" w:rsidRPr="0056209F" w:rsidRDefault="00E848B7" w:rsidP="00E848B7">
      <w:pPr>
        <w:rPr>
          <w:rFonts w:eastAsia="Times New Roman"/>
          <w:lang w:val="en-US"/>
        </w:rPr>
      </w:pPr>
    </w:p>
    <w:p w:rsidR="00E848B7" w:rsidRPr="0056209F" w:rsidRDefault="00E848B7" w:rsidP="00E848B7">
      <w:pPr>
        <w:rPr>
          <w:rFonts w:eastAsia="Times New Roman"/>
          <w:lang w:val="en-US"/>
        </w:rPr>
      </w:pPr>
    </w:p>
    <w:p w:rsidR="00E848B7" w:rsidRPr="0056209F" w:rsidRDefault="00E848B7" w:rsidP="006E7F40">
      <w:pPr>
        <w:rPr>
          <w:rFonts w:eastAsia="Times New Roman"/>
          <w:sz w:val="28"/>
          <w:szCs w:val="28"/>
          <w:lang w:val="en-US"/>
        </w:rPr>
      </w:pPr>
    </w:p>
    <w:sectPr w:rsidR="00E848B7" w:rsidRPr="0056209F" w:rsidSect="00D3758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D2C3B6"/>
    <w:lvl w:ilvl="0">
      <w:numFmt w:val="bullet"/>
      <w:lvlText w:val="*"/>
      <w:lvlJc w:val="left"/>
    </w:lvl>
  </w:abstractNum>
  <w:abstractNum w:abstractNumId="1">
    <w:nsid w:val="115D5C3F"/>
    <w:multiLevelType w:val="multilevel"/>
    <w:tmpl w:val="49A0F5C6"/>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
    <w:nsid w:val="342236C4"/>
    <w:multiLevelType w:val="hybridMultilevel"/>
    <w:tmpl w:val="5F50F308"/>
    <w:lvl w:ilvl="0" w:tplc="E8B614D8">
      <w:numFmt w:val="bullet"/>
      <w:lvlText w:val="-"/>
      <w:lvlJc w:val="left"/>
      <w:pPr>
        <w:ind w:left="720" w:hanging="360"/>
      </w:pPr>
      <w:rPr>
        <w:rFonts w:ascii="Microsoft Sans Serif" w:eastAsiaTheme="minorHAnsi" w:hAnsi="Microsoft Sans Serif" w:cs="Microsoft Sans Serif" w:hint="default"/>
        <w:color w:val="7D2045"/>
        <w:w w:val="11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B80818"/>
    <w:multiLevelType w:val="hybridMultilevel"/>
    <w:tmpl w:val="546AE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878643D"/>
    <w:multiLevelType w:val="hybridMultilevel"/>
    <w:tmpl w:val="880E0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B1D5CE8"/>
    <w:multiLevelType w:val="hybridMultilevel"/>
    <w:tmpl w:val="25709EC2"/>
    <w:lvl w:ilvl="0" w:tplc="E8B614D8">
      <w:numFmt w:val="bullet"/>
      <w:lvlText w:val="-"/>
      <w:lvlJc w:val="left"/>
      <w:pPr>
        <w:ind w:left="720" w:hanging="360"/>
      </w:pPr>
      <w:rPr>
        <w:rFonts w:ascii="Microsoft Sans Serif" w:eastAsiaTheme="minorHAnsi" w:hAnsi="Microsoft Sans Serif" w:cs="Microsoft Sans Serif" w:hint="default"/>
        <w:color w:val="7D2045"/>
        <w:w w:val="11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29397D"/>
    <w:multiLevelType w:val="hybridMultilevel"/>
    <w:tmpl w:val="71B0EEF4"/>
    <w:lvl w:ilvl="0" w:tplc="B82AD66E">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F287FB8"/>
    <w:multiLevelType w:val="hybridMultilevel"/>
    <w:tmpl w:val="18AA75F8"/>
    <w:lvl w:ilvl="0" w:tplc="E8B614D8">
      <w:numFmt w:val="bullet"/>
      <w:lvlText w:val="-"/>
      <w:lvlJc w:val="left"/>
      <w:pPr>
        <w:ind w:left="720" w:hanging="360"/>
      </w:pPr>
      <w:rPr>
        <w:rFonts w:ascii="Microsoft Sans Serif" w:eastAsiaTheme="minorHAnsi" w:hAnsi="Microsoft Sans Serif" w:cs="Microsoft Sans Serif" w:hint="default"/>
        <w:color w:val="7D2045"/>
        <w:w w:val="11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45741FB"/>
    <w:multiLevelType w:val="hybridMultilevel"/>
    <w:tmpl w:val="B9962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751713"/>
    <w:multiLevelType w:val="hybridMultilevel"/>
    <w:tmpl w:val="E0BE7032"/>
    <w:lvl w:ilvl="0" w:tplc="92CC1B08">
      <w:start w:val="1"/>
      <w:numFmt w:val="bullet"/>
      <w:lvlText w:val=""/>
      <w:lvlJc w:val="left"/>
      <w:pPr>
        <w:ind w:left="720" w:hanging="360"/>
      </w:pPr>
      <w:rPr>
        <w:rFonts w:ascii="Symbol" w:hAnsi="Symbol" w:hint="default"/>
        <w:b w:val="0"/>
        <w:color w:val="000000" w:themeColor="text1"/>
        <w:w w:val="11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C247184"/>
    <w:multiLevelType w:val="multilevel"/>
    <w:tmpl w:val="42E6C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0"/>
        <w:lvlJc w:val="left"/>
        <w:rPr>
          <w:rFonts w:ascii="Symbol" w:hAnsi="Symbol" w:hint="default"/>
        </w:rPr>
      </w:lvl>
    </w:lvlOverride>
  </w:num>
  <w:num w:numId="4">
    <w:abstractNumId w:val="8"/>
  </w:num>
  <w:num w:numId="5">
    <w:abstractNumId w:val="3"/>
  </w:num>
  <w:num w:numId="6">
    <w:abstractNumId w:val="6"/>
  </w:num>
  <w:num w:numId="7">
    <w:abstractNumId w:val="5"/>
  </w:num>
  <w:num w:numId="8">
    <w:abstractNumId w:val="2"/>
  </w:num>
  <w:num w:numId="9">
    <w:abstractNumId w:val="7"/>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B91AC5"/>
    <w:rsid w:val="0000189A"/>
    <w:rsid w:val="00024E97"/>
    <w:rsid w:val="002428D4"/>
    <w:rsid w:val="002C306B"/>
    <w:rsid w:val="003863A8"/>
    <w:rsid w:val="00396A2E"/>
    <w:rsid w:val="003A3E79"/>
    <w:rsid w:val="003E24E6"/>
    <w:rsid w:val="003E557B"/>
    <w:rsid w:val="00456A1B"/>
    <w:rsid w:val="0056209F"/>
    <w:rsid w:val="006B6B5A"/>
    <w:rsid w:val="006E7F40"/>
    <w:rsid w:val="00AA7598"/>
    <w:rsid w:val="00AC0F57"/>
    <w:rsid w:val="00B91AC5"/>
    <w:rsid w:val="00BD574A"/>
    <w:rsid w:val="00D3758F"/>
    <w:rsid w:val="00D92867"/>
    <w:rsid w:val="00E848B7"/>
    <w:rsid w:val="00EB593D"/>
    <w:rsid w:val="00EF0325"/>
    <w:rsid w:val="00F7275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7F4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E7F40"/>
    <w:rPr>
      <w:color w:val="0000FF"/>
      <w:u w:val="single"/>
    </w:rPr>
  </w:style>
  <w:style w:type="character" w:styleId="Enfasicorsivo">
    <w:name w:val="Emphasis"/>
    <w:basedOn w:val="Carpredefinitoparagrafo"/>
    <w:uiPriority w:val="20"/>
    <w:qFormat/>
    <w:rsid w:val="006E7F40"/>
    <w:rPr>
      <w:i/>
      <w:iCs/>
    </w:rPr>
  </w:style>
  <w:style w:type="character" w:styleId="Enfasigrassetto">
    <w:name w:val="Strong"/>
    <w:basedOn w:val="Carpredefinitoparagrafo"/>
    <w:uiPriority w:val="22"/>
    <w:qFormat/>
    <w:rsid w:val="006E7F40"/>
    <w:rPr>
      <w:b/>
      <w:bCs/>
    </w:rPr>
  </w:style>
  <w:style w:type="table" w:styleId="Grigliatabella">
    <w:name w:val="Table Grid"/>
    <w:basedOn w:val="Tabellanormale"/>
    <w:uiPriority w:val="39"/>
    <w:rsid w:val="0024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B6B5A"/>
    <w:pPr>
      <w:ind w:left="720"/>
      <w:contextualSpacing/>
    </w:pPr>
  </w:style>
  <w:style w:type="paragraph" w:styleId="NormaleWeb">
    <w:name w:val="Normal (Web)"/>
    <w:basedOn w:val="Normale"/>
    <w:uiPriority w:val="99"/>
    <w:unhideWhenUsed/>
    <w:rsid w:val="002C306B"/>
    <w:pPr>
      <w:spacing w:before="100" w:beforeAutospacing="1" w:after="100" w:afterAutospacing="1"/>
    </w:pPr>
  </w:style>
  <w:style w:type="character" w:styleId="Rimandocommento">
    <w:name w:val="annotation reference"/>
    <w:basedOn w:val="Carpredefinitoparagrafo"/>
    <w:uiPriority w:val="99"/>
    <w:semiHidden/>
    <w:unhideWhenUsed/>
    <w:rsid w:val="00AC0F57"/>
    <w:rPr>
      <w:sz w:val="16"/>
      <w:szCs w:val="16"/>
    </w:rPr>
  </w:style>
  <w:style w:type="paragraph" w:styleId="Testocommento">
    <w:name w:val="annotation text"/>
    <w:basedOn w:val="Normale"/>
    <w:link w:val="TestocommentoCarattere"/>
    <w:uiPriority w:val="99"/>
    <w:semiHidden/>
    <w:unhideWhenUsed/>
    <w:rsid w:val="00AC0F57"/>
    <w:rPr>
      <w:sz w:val="20"/>
      <w:szCs w:val="20"/>
    </w:rPr>
  </w:style>
  <w:style w:type="character" w:customStyle="1" w:styleId="TestocommentoCarattere">
    <w:name w:val="Testo commento Carattere"/>
    <w:basedOn w:val="Carpredefinitoparagrafo"/>
    <w:link w:val="Testocommento"/>
    <w:uiPriority w:val="99"/>
    <w:semiHidden/>
    <w:rsid w:val="00AC0F57"/>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C0F57"/>
    <w:rPr>
      <w:b/>
      <w:bCs/>
    </w:rPr>
  </w:style>
  <w:style w:type="character" w:customStyle="1" w:styleId="SoggettocommentoCarattere">
    <w:name w:val="Soggetto commento Carattere"/>
    <w:basedOn w:val="TestocommentoCarattere"/>
    <w:link w:val="Soggettocommento"/>
    <w:uiPriority w:val="99"/>
    <w:semiHidden/>
    <w:rsid w:val="00AC0F57"/>
    <w:rPr>
      <w:rFonts w:ascii="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AC0F57"/>
    <w:rPr>
      <w:sz w:val="18"/>
      <w:szCs w:val="18"/>
    </w:rPr>
  </w:style>
  <w:style w:type="character" w:customStyle="1" w:styleId="TestofumettoCarattere">
    <w:name w:val="Testo fumetto Carattere"/>
    <w:basedOn w:val="Carpredefinitoparagrafo"/>
    <w:link w:val="Testofumetto"/>
    <w:uiPriority w:val="99"/>
    <w:semiHidden/>
    <w:rsid w:val="00AC0F57"/>
    <w:rPr>
      <w:rFonts w:ascii="Times New Roman" w:hAnsi="Times New Roman" w:cs="Times New Roman"/>
      <w:sz w:val="18"/>
      <w:szCs w:val="18"/>
      <w:lang w:eastAsia="it-IT"/>
    </w:rPr>
  </w:style>
  <w:style w:type="character" w:customStyle="1" w:styleId="st2">
    <w:name w:val="st2"/>
    <w:basedOn w:val="Carpredefinitoparagrafo"/>
    <w:rsid w:val="00EB593D"/>
  </w:style>
  <w:style w:type="character" w:customStyle="1" w:styleId="st1">
    <w:name w:val="st1"/>
    <w:basedOn w:val="Carpredefinitoparagrafo"/>
    <w:rsid w:val="00EB593D"/>
  </w:style>
</w:styles>
</file>

<file path=word/webSettings.xml><?xml version="1.0" encoding="utf-8"?>
<w:webSettings xmlns:r="http://schemas.openxmlformats.org/officeDocument/2006/relationships" xmlns:w="http://schemas.openxmlformats.org/wordprocessingml/2006/main">
  <w:divs>
    <w:div w:id="285625578">
      <w:bodyDiv w:val="1"/>
      <w:marLeft w:val="0"/>
      <w:marRight w:val="0"/>
      <w:marTop w:val="0"/>
      <w:marBottom w:val="0"/>
      <w:divBdr>
        <w:top w:val="none" w:sz="0" w:space="0" w:color="auto"/>
        <w:left w:val="none" w:sz="0" w:space="0" w:color="auto"/>
        <w:bottom w:val="none" w:sz="0" w:space="0" w:color="auto"/>
        <w:right w:val="none" w:sz="0" w:space="0" w:color="auto"/>
      </w:divBdr>
      <w:divsChild>
        <w:div w:id="1164971776">
          <w:marLeft w:val="0"/>
          <w:marRight w:val="0"/>
          <w:marTop w:val="0"/>
          <w:marBottom w:val="0"/>
          <w:divBdr>
            <w:top w:val="none" w:sz="0" w:space="0" w:color="auto"/>
            <w:left w:val="none" w:sz="0" w:space="0" w:color="auto"/>
            <w:bottom w:val="none" w:sz="0" w:space="0" w:color="auto"/>
            <w:right w:val="none" w:sz="0" w:space="0" w:color="auto"/>
          </w:divBdr>
          <w:divsChild>
            <w:div w:id="11348546">
              <w:marLeft w:val="0"/>
              <w:marRight w:val="0"/>
              <w:marTop w:val="0"/>
              <w:marBottom w:val="0"/>
              <w:divBdr>
                <w:top w:val="none" w:sz="0" w:space="0" w:color="auto"/>
                <w:left w:val="none" w:sz="0" w:space="0" w:color="auto"/>
                <w:bottom w:val="none" w:sz="0" w:space="0" w:color="auto"/>
                <w:right w:val="none" w:sz="0" w:space="0" w:color="auto"/>
              </w:divBdr>
              <w:divsChild>
                <w:div w:id="1427851162">
                  <w:marLeft w:val="450"/>
                  <w:marRight w:val="450"/>
                  <w:marTop w:val="0"/>
                  <w:marBottom w:val="0"/>
                  <w:divBdr>
                    <w:top w:val="none" w:sz="0" w:space="0" w:color="auto"/>
                    <w:left w:val="none" w:sz="0" w:space="0" w:color="auto"/>
                    <w:bottom w:val="none" w:sz="0" w:space="0" w:color="auto"/>
                    <w:right w:val="none" w:sz="0" w:space="0" w:color="auto"/>
                  </w:divBdr>
                  <w:divsChild>
                    <w:div w:id="1691373949">
                      <w:marLeft w:val="-225"/>
                      <w:marRight w:val="-225"/>
                      <w:marTop w:val="0"/>
                      <w:marBottom w:val="0"/>
                      <w:divBdr>
                        <w:top w:val="none" w:sz="0" w:space="0" w:color="auto"/>
                        <w:left w:val="none" w:sz="0" w:space="0" w:color="auto"/>
                        <w:bottom w:val="none" w:sz="0" w:space="0" w:color="auto"/>
                        <w:right w:val="none" w:sz="0" w:space="0" w:color="auto"/>
                      </w:divBdr>
                      <w:divsChild>
                        <w:div w:id="810949386">
                          <w:marLeft w:val="0"/>
                          <w:marRight w:val="0"/>
                          <w:marTop w:val="0"/>
                          <w:marBottom w:val="0"/>
                          <w:divBdr>
                            <w:top w:val="none" w:sz="0" w:space="0" w:color="auto"/>
                            <w:left w:val="none" w:sz="0" w:space="0" w:color="auto"/>
                            <w:bottom w:val="none" w:sz="0" w:space="0" w:color="auto"/>
                            <w:right w:val="none" w:sz="0" w:space="0" w:color="auto"/>
                          </w:divBdr>
                          <w:divsChild>
                            <w:div w:id="131143840">
                              <w:marLeft w:val="0"/>
                              <w:marRight w:val="0"/>
                              <w:marTop w:val="0"/>
                              <w:marBottom w:val="0"/>
                              <w:divBdr>
                                <w:top w:val="none" w:sz="0" w:space="0" w:color="auto"/>
                                <w:left w:val="none" w:sz="0" w:space="0" w:color="auto"/>
                                <w:bottom w:val="none" w:sz="0" w:space="0" w:color="auto"/>
                                <w:right w:val="none" w:sz="0" w:space="0" w:color="auto"/>
                              </w:divBdr>
                              <w:divsChild>
                                <w:div w:id="1846747445">
                                  <w:marLeft w:val="0"/>
                                  <w:marRight w:val="0"/>
                                  <w:marTop w:val="0"/>
                                  <w:marBottom w:val="0"/>
                                  <w:divBdr>
                                    <w:top w:val="none" w:sz="0" w:space="0" w:color="auto"/>
                                    <w:left w:val="none" w:sz="0" w:space="0" w:color="auto"/>
                                    <w:bottom w:val="none" w:sz="0" w:space="0" w:color="auto"/>
                                    <w:right w:val="none" w:sz="0" w:space="0" w:color="auto"/>
                                  </w:divBdr>
                                  <w:divsChild>
                                    <w:div w:id="1129477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29806">
      <w:bodyDiv w:val="1"/>
      <w:marLeft w:val="0"/>
      <w:marRight w:val="0"/>
      <w:marTop w:val="0"/>
      <w:marBottom w:val="0"/>
      <w:divBdr>
        <w:top w:val="none" w:sz="0" w:space="0" w:color="auto"/>
        <w:left w:val="none" w:sz="0" w:space="0" w:color="auto"/>
        <w:bottom w:val="none" w:sz="0" w:space="0" w:color="auto"/>
        <w:right w:val="none" w:sz="0" w:space="0" w:color="auto"/>
      </w:divBdr>
      <w:divsChild>
        <w:div w:id="226917129">
          <w:marLeft w:val="0"/>
          <w:marRight w:val="0"/>
          <w:marTop w:val="0"/>
          <w:marBottom w:val="0"/>
          <w:divBdr>
            <w:top w:val="none" w:sz="0" w:space="0" w:color="auto"/>
            <w:left w:val="none" w:sz="0" w:space="0" w:color="auto"/>
            <w:bottom w:val="none" w:sz="0" w:space="0" w:color="auto"/>
            <w:right w:val="none" w:sz="0" w:space="0" w:color="auto"/>
          </w:divBdr>
          <w:divsChild>
            <w:div w:id="123625919">
              <w:marLeft w:val="0"/>
              <w:marRight w:val="0"/>
              <w:marTop w:val="0"/>
              <w:marBottom w:val="0"/>
              <w:divBdr>
                <w:top w:val="none" w:sz="0" w:space="0" w:color="auto"/>
                <w:left w:val="none" w:sz="0" w:space="0" w:color="auto"/>
                <w:bottom w:val="none" w:sz="0" w:space="0" w:color="auto"/>
                <w:right w:val="none" w:sz="0" w:space="0" w:color="auto"/>
              </w:divBdr>
              <w:divsChild>
                <w:div w:id="398287442">
                  <w:marLeft w:val="0"/>
                  <w:marRight w:val="0"/>
                  <w:marTop w:val="0"/>
                  <w:marBottom w:val="0"/>
                  <w:divBdr>
                    <w:top w:val="none" w:sz="0" w:space="0" w:color="auto"/>
                    <w:left w:val="none" w:sz="0" w:space="0" w:color="auto"/>
                    <w:bottom w:val="none" w:sz="0" w:space="0" w:color="auto"/>
                    <w:right w:val="none" w:sz="0" w:space="0" w:color="auto"/>
                  </w:divBdr>
                  <w:divsChild>
                    <w:div w:id="11504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149106">
      <w:bodyDiv w:val="1"/>
      <w:marLeft w:val="0"/>
      <w:marRight w:val="0"/>
      <w:marTop w:val="0"/>
      <w:marBottom w:val="0"/>
      <w:divBdr>
        <w:top w:val="none" w:sz="0" w:space="0" w:color="auto"/>
        <w:left w:val="none" w:sz="0" w:space="0" w:color="auto"/>
        <w:bottom w:val="none" w:sz="0" w:space="0" w:color="auto"/>
        <w:right w:val="none" w:sz="0" w:space="0" w:color="auto"/>
      </w:divBdr>
    </w:div>
    <w:div w:id="109289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meezan.qa/LawArticles.aspx?LawArticleID=1781&amp;LawID=59&amp;language=en" TargetMode="External"/><Relationship Id="rId3" Type="http://schemas.openxmlformats.org/officeDocument/2006/relationships/settings" Target="settings.xml"/><Relationship Id="rId7" Type="http://schemas.openxmlformats.org/officeDocument/2006/relationships/hyperlink" Target="https://www.almeezan.qa/LawView.aspx?opt&amp;LawID=2529&amp;languag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trio.esteri.it/Ricerca_Documenti/wfrmRicerca_Documenti.aspx" TargetMode="External"/><Relationship Id="rId11" Type="http://schemas.openxmlformats.org/officeDocument/2006/relationships/theme" Target="theme/theme1.xml"/><Relationship Id="rId5" Type="http://schemas.openxmlformats.org/officeDocument/2006/relationships/hyperlink" Target="http://atrio.esteri.it/Ricerca_Documenti/wfrmRicerca_Documenti.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meezan.qa/LawView.aspx?opt&amp;LawID=2506&amp;language=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1228</Words>
  <Characters>7004</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Carlotta.colli</dc:creator>
  <cp:lastModifiedBy>Utente</cp:lastModifiedBy>
  <cp:revision>2</cp:revision>
  <dcterms:created xsi:type="dcterms:W3CDTF">2020-06-22T18:47:00Z</dcterms:created>
  <dcterms:modified xsi:type="dcterms:W3CDTF">2020-06-22T18:47:00Z</dcterms:modified>
</cp:coreProperties>
</file>