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96" w:rsidRDefault="00640899">
      <w:pPr>
        <w:pStyle w:val="Standard"/>
        <w:spacing w:before="40" w:after="40" w:line="240" w:lineRule="auto"/>
        <w:jc w:val="both"/>
        <w:rPr>
          <w:rFonts w:cs="Calibri"/>
          <w:b/>
          <w:bCs/>
          <w:lang w:val="it-IT"/>
        </w:rPr>
      </w:pPr>
      <w:bookmarkStart w:id="0" w:name="_GoBack"/>
      <w:bookmarkEnd w:id="0"/>
      <w:r>
        <w:rPr>
          <w:rFonts w:cs="Calibri"/>
          <w:b/>
          <w:bCs/>
          <w:lang w:val="it-IT"/>
        </w:rPr>
        <w:t>TAGIKISTAN</w:t>
      </w:r>
    </w:p>
    <w:p w:rsidR="00003396" w:rsidRDefault="00003396">
      <w:pPr>
        <w:pStyle w:val="Standard"/>
        <w:spacing w:line="264" w:lineRule="auto"/>
        <w:jc w:val="both"/>
        <w:rPr>
          <w:rFonts w:cs="Calibri"/>
          <w:caps/>
          <w:lang w:val="it-IT"/>
        </w:rPr>
      </w:pPr>
    </w:p>
    <w:p w:rsidR="00003396" w:rsidRDefault="00640899">
      <w:pPr>
        <w:pStyle w:val="Standard"/>
        <w:spacing w:line="264" w:lineRule="auto"/>
        <w:jc w:val="both"/>
        <w:rPr>
          <w:rFonts w:cs="Calibri"/>
          <w:caps/>
          <w:lang w:val="it-IT"/>
        </w:rPr>
      </w:pPr>
      <w:r>
        <w:rPr>
          <w:rFonts w:cs="Calibri"/>
          <w:caps/>
          <w:lang w:val="it-IT"/>
        </w:rPr>
        <w:t>Acquisto di fabbricati ad uso abitativo.</w:t>
      </w:r>
    </w:p>
    <w:p w:rsidR="00003396" w:rsidRDefault="00640899">
      <w:pPr>
        <w:pStyle w:val="Standard"/>
        <w:spacing w:line="264" w:lineRule="auto"/>
        <w:jc w:val="both"/>
      </w:pPr>
      <w:r>
        <w:rPr>
          <w:rFonts w:cs="Calibri"/>
          <w:bCs/>
          <w:lang w:val="it-IT"/>
        </w:rPr>
        <w:t xml:space="preserve">In conformità con le disposizioni dell’art. 11 della Legge della Repubblica del Tagikistan ‘’Sulla posizione giuridica dei </w:t>
      </w:r>
      <w:r>
        <w:rPr>
          <w:rFonts w:cs="Calibri"/>
          <w:bCs/>
          <w:lang w:val="it-IT"/>
        </w:rPr>
        <w:t>cittadini stranieri nella Repubblica del Tagikistan’’ i cittadini stranieri con residenza permanente hanno il diritto ad acquisire locali ad uso abitativo presso gli edifici dell’Edilizio residenziale statale e pubblico e dell’Istituto di credito immobilia</w:t>
      </w:r>
      <w:r>
        <w:rPr>
          <w:rFonts w:cs="Calibri"/>
          <w:bCs/>
          <w:lang w:val="it-IT"/>
        </w:rPr>
        <w:t>re secondo le modalità previste per i cittadini della Repubblica del Tagikistan. I cittadini stranieri non hanno il diritto di acquistare in proprio i fabbricati abitativi e case, nonché altri edifici che appartengono all’Edilizio residenziale (ad eccezion</w:t>
      </w:r>
      <w:r>
        <w:rPr>
          <w:rFonts w:cs="Calibri"/>
          <w:bCs/>
          <w:lang w:val="it-IT"/>
        </w:rPr>
        <w:t>e dell’acquisto ereditato dai legatari)</w:t>
      </w:r>
      <w:r>
        <w:rPr>
          <w:rFonts w:cs="Calibri"/>
          <w:lang w:val="it-IT"/>
        </w:rPr>
        <w:t xml:space="preserve"> </w:t>
      </w:r>
      <w:r>
        <w:rPr>
          <w:rFonts w:cs="Calibri"/>
          <w:bCs/>
          <w:lang w:val="it-IT"/>
        </w:rPr>
        <w:t>a meno che le leggi e gli atti legali internazionali riconosciuti dalla Repubblica del Tagikistan non prevedano altro procedimento.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caps/>
          <w:lang w:val="it-IT"/>
        </w:rPr>
      </w:pPr>
      <w:r>
        <w:rPr>
          <w:rFonts w:cs="Calibri"/>
          <w:caps/>
          <w:lang w:val="it-IT"/>
        </w:rPr>
        <w:t>Acquisto di fabbricati ad uso commerciale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Non sono previste restrizioni nei confront</w:t>
      </w:r>
      <w:r>
        <w:rPr>
          <w:rFonts w:cs="Calibri"/>
          <w:lang w:val="it-IT"/>
        </w:rPr>
        <w:t>i dei cittadini stranieri.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caps/>
          <w:lang w:val="it-IT"/>
        </w:rPr>
      </w:pPr>
      <w:r>
        <w:rPr>
          <w:rFonts w:cs="Calibri"/>
          <w:caps/>
          <w:lang w:val="it-IT"/>
        </w:rPr>
        <w:t>Acquisto di terreni</w:t>
      </w:r>
    </w:p>
    <w:p w:rsidR="00003396" w:rsidRDefault="00640899">
      <w:pPr>
        <w:pStyle w:val="Standard"/>
        <w:spacing w:line="264" w:lineRule="auto"/>
        <w:jc w:val="both"/>
      </w:pPr>
      <w:r>
        <w:rPr>
          <w:rFonts w:cs="Calibri"/>
          <w:bCs/>
          <w:lang w:val="it-IT"/>
        </w:rPr>
        <w:t xml:space="preserve">In conformità dell’articolo 2 del Codice terriero della Repubblica del Tagikistan i terreni si concedono alle persone fisiche e giuridiche straniere senza il diritto di alienazione dell’uso di questi terreni. </w:t>
      </w:r>
      <w:r>
        <w:rPr>
          <w:rFonts w:cs="Calibri"/>
          <w:bCs/>
          <w:lang w:val="it-IT"/>
        </w:rPr>
        <w:t>Ai sensi dell’art.25 del Codice terriero della Repubblica del Tagikistan ai cittadini stranieri possono essere concessi terreni solo per uso temporaneo e per un periodo massimo non superiore a 50 anni. I terreni agricoli e quelli soggetti a protezione dall</w:t>
      </w:r>
      <w:r>
        <w:rPr>
          <w:rFonts w:cs="Calibri"/>
          <w:bCs/>
          <w:lang w:val="it-IT"/>
        </w:rPr>
        <w:t>o Stato non vengono concessi a cittadini ed alle persone giuridiche stranieri.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AFFITTO DI BENI IMMOBILI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L’art. 4 della ‘’Legge sull’affitto nella Repubblica del Tagikistan’’ il proprietario può dare in affitto il bene anche alle persone fisiche e giuridich</w:t>
      </w:r>
      <w:r>
        <w:rPr>
          <w:rFonts w:cs="Calibri"/>
          <w:bCs/>
          <w:lang w:val="it-IT"/>
        </w:rPr>
        <w:t>e straniere. Se la proprietà è statale questo diritto appartiene alle Autorità locali a seconda della forma della proprietà.</w:t>
      </w:r>
    </w:p>
    <w:p w:rsidR="00003396" w:rsidRDefault="00640899">
      <w:pPr>
        <w:pStyle w:val="Standard"/>
        <w:spacing w:line="264" w:lineRule="auto"/>
        <w:jc w:val="both"/>
      </w:pPr>
      <w:r>
        <w:rPr>
          <w:rFonts w:cs="Calibri"/>
          <w:bCs/>
          <w:lang w:val="it-IT"/>
        </w:rPr>
        <w:t>ACQUISIZIONI EREDITARIE E TESTAMENTARIE</w:t>
      </w:r>
    </w:p>
    <w:p w:rsidR="00003396" w:rsidRDefault="00640899">
      <w:pPr>
        <w:pStyle w:val="Standard"/>
        <w:spacing w:line="264" w:lineRule="auto"/>
        <w:jc w:val="both"/>
      </w:pPr>
      <w:r>
        <w:rPr>
          <w:rFonts w:cs="Calibri"/>
          <w:bCs/>
          <w:lang w:val="it-IT"/>
        </w:rPr>
        <w:t>In  conformità con le disposizioni dell’art. 12 della Legge della Repubblica del Tagikistan</w:t>
      </w:r>
      <w:r>
        <w:rPr>
          <w:rFonts w:cs="Calibri"/>
          <w:bCs/>
          <w:lang w:val="it-IT"/>
        </w:rPr>
        <w:t xml:space="preserve"> ‘’Sulla posizione giuridica dei cittadini stranieri nella Repubblica del Tagikistan”, i cittadini stranieri e gli apolidi possono possedere un patrimonio personale, ereditare e fare testamento delle proprietà, avere i diritti d’autore per ricerche scienti</w:t>
      </w:r>
      <w:r>
        <w:rPr>
          <w:rFonts w:cs="Calibri"/>
          <w:bCs/>
          <w:lang w:val="it-IT"/>
        </w:rPr>
        <w:t>fiche, opere d’arte e letterarie, scoperte, invenzioni industriali, nonché i diritti patrimoniali e non patrimoniali, a meno che la legge della Repubblica del Tagikistan non preveda diversamente.</w:t>
      </w:r>
    </w:p>
    <w:p w:rsidR="00003396" w:rsidRDefault="00640899">
      <w:pPr>
        <w:pStyle w:val="Standard"/>
        <w:spacing w:line="264" w:lineRule="auto"/>
        <w:jc w:val="both"/>
      </w:pPr>
      <w:r>
        <w:rPr>
          <w:rFonts w:cs="Calibri"/>
          <w:bCs/>
          <w:lang w:val="it-IT"/>
        </w:rPr>
        <w:t>ACQUISIZIONE BENI STATALI</w:t>
      </w:r>
    </w:p>
    <w:p w:rsidR="00003396" w:rsidRDefault="00640899">
      <w:pPr>
        <w:pStyle w:val="Standard"/>
        <w:spacing w:line="264" w:lineRule="auto"/>
        <w:jc w:val="both"/>
      </w:pPr>
      <w:r>
        <w:rPr>
          <w:rFonts w:cs="Calibri"/>
          <w:bCs/>
          <w:lang w:val="it-IT"/>
        </w:rPr>
        <w:t>Le persone fisiche residenti e non</w:t>
      </w:r>
      <w:r>
        <w:rPr>
          <w:rFonts w:cs="Calibri"/>
          <w:bCs/>
          <w:lang w:val="it-IT"/>
        </w:rPr>
        <w:t xml:space="preserve"> residenti possono acquisire i beni mobili ed immobili statali, nonché le azioni statali. 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caps/>
          <w:lang w:val="it-IT"/>
        </w:rPr>
      </w:pPr>
      <w:r>
        <w:rPr>
          <w:rFonts w:cs="Calibri"/>
          <w:caps/>
          <w:lang w:val="it-IT"/>
        </w:rPr>
        <w:t>Costituzione o acquisto di quote o azioni di società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Ai sensi dell'articolo 4 della legge Sugli investimenti della Repubblica del Tagikistan, gli investitori stranie</w:t>
      </w:r>
      <w:r>
        <w:rPr>
          <w:rFonts w:cs="Calibri"/>
          <w:lang w:val="it-IT"/>
        </w:rPr>
        <w:t>ri hanno diritto ad investire nelle seguenti forme:</w:t>
      </w:r>
    </w:p>
    <w:p w:rsidR="00003396" w:rsidRDefault="00640899">
      <w:pPr>
        <w:pStyle w:val="Standard"/>
        <w:spacing w:line="264" w:lineRule="auto"/>
        <w:ind w:left="142" w:hanging="142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- creazione di imprese, filiali, rappresentanze, interamente possedute da investitori stranieri, soggetti giuridici stranieri oppure acquisendo quote di imprese locali già esistenti;</w:t>
      </w:r>
    </w:p>
    <w:p w:rsidR="00003396" w:rsidRDefault="00640899">
      <w:pPr>
        <w:pStyle w:val="Standard"/>
        <w:spacing w:line="264" w:lineRule="auto"/>
        <w:ind w:left="142" w:hanging="142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 xml:space="preserve">- istituzione di </w:t>
      </w:r>
      <w:r>
        <w:rPr>
          <w:rFonts w:cs="Calibri"/>
          <w:lang w:val="it-IT"/>
        </w:rPr>
        <w:t>entità giuridiche nella Repubblica del Tagikistan con la partecipazione di cittadini Tagiki e/o acquisizione di azioni di imprese locali già esistenti;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lastRenderedPageBreak/>
        <w:t>- acquisto di azioni, obbligazioni e altri titoli stabiliti dalla legislazione della Repubblica del Tagi</w:t>
      </w:r>
      <w:r>
        <w:rPr>
          <w:rFonts w:cs="Calibri"/>
          <w:lang w:val="it-IT"/>
        </w:rPr>
        <w:t>kistan;</w:t>
      </w:r>
    </w:p>
    <w:p w:rsidR="00003396" w:rsidRDefault="00640899">
      <w:pPr>
        <w:pStyle w:val="Standard"/>
        <w:spacing w:line="264" w:lineRule="auto"/>
        <w:ind w:left="142" w:hanging="142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- acquisizione indipendente o con la partecipazione di soggetti giuridici della Repubblica del Tagikistan, oppure cittadini Tagiki stessi di diritti di concessioni sull'uso delle proprietà statali o delle risorse naturali sul territorio della Repub</w:t>
      </w:r>
      <w:r>
        <w:rPr>
          <w:rFonts w:cs="Calibri"/>
          <w:lang w:val="it-IT"/>
        </w:rPr>
        <w:t>blica del Tagikistan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- acquisizione di altri diritti di proprietà;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- altre forme non vietate dalla legislazione della Repubblica del Tagikistan.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caps/>
          <w:lang w:val="it-IT"/>
        </w:rPr>
      </w:pPr>
      <w:r>
        <w:rPr>
          <w:rFonts w:cs="Calibri"/>
          <w:caps/>
          <w:lang w:val="it-IT"/>
        </w:rPr>
        <w:t>Assunzione di cariche sociali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L'articolo 17 della legge sulle associazioni pubbliche della Repubblica del Tagik</w:t>
      </w:r>
      <w:r>
        <w:rPr>
          <w:rFonts w:cs="Calibri"/>
          <w:lang w:val="it-IT"/>
        </w:rPr>
        <w:t>istan stabilisce che i cittadini stranieri e gli apolidi alla pari dei cittadini della Repubblica del Tagikistan, possono essere fondatori, membri e partecipanti di enti pubblici, purché il loro luogo di residenza permanente sia la Repubblica del Tagikista</w:t>
      </w:r>
      <w:r>
        <w:rPr>
          <w:rFonts w:cs="Calibri"/>
          <w:lang w:val="it-IT"/>
        </w:rPr>
        <w:t>n e/o nel caso in cui il cittadino sia comunque in possesso del permesso di soggiorno nella Repubblica del Tagikistan.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caps/>
          <w:lang w:val="it-IT"/>
        </w:rPr>
      </w:pPr>
      <w:r>
        <w:rPr>
          <w:rFonts w:cs="Calibri"/>
          <w:caps/>
          <w:lang w:val="it-IT"/>
        </w:rPr>
        <w:t>Acquisto o affitto di azienda</w:t>
      </w:r>
    </w:p>
    <w:p w:rsidR="00003396" w:rsidRDefault="00640899">
      <w:pPr>
        <w:pStyle w:val="Standard"/>
        <w:spacing w:line="264" w:lineRule="auto"/>
        <w:jc w:val="both"/>
      </w:pPr>
      <w:r>
        <w:rPr>
          <w:rFonts w:cs="Calibri"/>
          <w:lang w:val="it-IT"/>
        </w:rPr>
        <w:t>In conformità all'articolo 5 della legge sugli affitti della Repubblica del Tagikistan, sono autorizzati ad</w:t>
      </w:r>
      <w:r>
        <w:rPr>
          <w:rFonts w:cs="Calibri"/>
          <w:lang w:val="it-IT"/>
        </w:rPr>
        <w:t xml:space="preserve"> essere potenziali locatari: persone giuridiche e i cittadini della Repubblica del Tagikistan, le joint venture, le associazioni e le unioni internazionali con la partecipazione di soggetti giuridici nazionali o stranieri, nonché Stati esteri, organizzazio</w:t>
      </w:r>
      <w:r>
        <w:rPr>
          <w:rFonts w:cs="Calibri"/>
          <w:lang w:val="it-IT"/>
        </w:rPr>
        <w:t>ni internazionali, persone giuridiche e fisiche straniere; il settore e gli oggetti di affitto possono essere: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a) terreni e altre risorse naturali;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b) imprese (associazioni), organizzazioni, unità strutturali di associazioni, aziende, workshop, altre suddi</w:t>
      </w:r>
      <w:r>
        <w:rPr>
          <w:rFonts w:cs="Calibri"/>
          <w:lang w:val="it-IT"/>
        </w:rPr>
        <w:t>visioni di imprese e organizzazioni come complessi immobiliari unificati di fondi di produzione e altre proprietà;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b) edifici, costruzioni, veicoli, attrezzature, attrezzi e altri oggetti materiali.</w:t>
      </w:r>
    </w:p>
    <w:p w:rsidR="00003396" w:rsidRDefault="00640899">
      <w:pPr>
        <w:pStyle w:val="Standard"/>
        <w:spacing w:line="264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 xml:space="preserve">Alcune specie (gruppi) di imprese (associazioni), </w:t>
      </w:r>
      <w:r>
        <w:rPr>
          <w:rFonts w:cs="Calibri"/>
          <w:lang w:val="it-IT"/>
        </w:rPr>
        <w:t>organizzazioni e/o tipi di beni, la cui locazione non è consentita, sono stabiliti dalla legge della Repubblica del Tagikistan e se ne riserva il diritto.</w:t>
      </w:r>
    </w:p>
    <w:p w:rsidR="00003396" w:rsidRDefault="00640899">
      <w:pPr>
        <w:pStyle w:val="Standard"/>
        <w:spacing w:before="40" w:after="40" w:line="240" w:lineRule="auto"/>
        <w:jc w:val="both"/>
        <w:rPr>
          <w:rFonts w:cs="Calibri"/>
        </w:rPr>
      </w:pPr>
      <w:r>
        <w:rPr>
          <w:rFonts w:cs="Calibri"/>
        </w:rPr>
        <w:t>ACCORDI IN VIGORE:</w:t>
      </w:r>
    </w:p>
    <w:p w:rsidR="00003396" w:rsidRDefault="00640899">
      <w:pPr>
        <w:pStyle w:val="Standard"/>
        <w:numPr>
          <w:ilvl w:val="0"/>
          <w:numId w:val="4"/>
        </w:numPr>
        <w:spacing w:before="40" w:after="40" w:line="240" w:lineRule="auto"/>
        <w:ind w:left="720"/>
        <w:jc w:val="both"/>
      </w:pPr>
      <w:r>
        <w:rPr>
          <w:rFonts w:cs="Calibri"/>
          <w:color w:val="00B050"/>
          <w:lang w:val="it-IT"/>
        </w:rPr>
        <w:t xml:space="preserve">ACCORDO SULLA COOPERAZIONE ECONOMICA, INDUSTRIALE E TECNICA </w:t>
      </w:r>
      <w:r>
        <w:rPr>
          <w:rFonts w:cs="Calibri"/>
          <w:lang w:val="it-IT"/>
        </w:rPr>
        <w:t>(firmato a Dushanbe il</w:t>
      </w:r>
      <w:r>
        <w:rPr>
          <w:rFonts w:cs="Calibri"/>
          <w:lang w:val="it-IT"/>
        </w:rPr>
        <w:t xml:space="preserve"> 02.4.2009, in vigore dal 01.11.2010)</w:t>
      </w:r>
    </w:p>
    <w:p w:rsidR="00003396" w:rsidRDefault="00640899">
      <w:pPr>
        <w:pStyle w:val="Standard"/>
        <w:spacing w:before="40" w:after="40" w:line="240" w:lineRule="auto"/>
        <w:ind w:left="360" w:firstLine="348"/>
        <w:jc w:val="both"/>
      </w:pPr>
      <w:hyperlink r:id="rId7" w:history="1">
        <w:r>
          <w:rPr>
            <w:rFonts w:cs="Calibri"/>
            <w:color w:val="0000FF"/>
            <w:u w:val="single"/>
            <w:lang w:val="it-IT"/>
          </w:rPr>
          <w:t>http</w:t>
        </w:r>
        <w:r w:rsidRPr="008D4853">
          <w:rPr>
            <w:rFonts w:cs="Calibri"/>
            <w:color w:val="0000FF"/>
            <w:u w:val="single"/>
          </w:rPr>
          <w:t>://</w:t>
        </w:r>
        <w:r>
          <w:rPr>
            <w:rFonts w:cs="Calibri"/>
            <w:color w:val="0000FF"/>
            <w:u w:val="single"/>
            <w:lang w:val="it-IT"/>
          </w:rPr>
          <w:t>atrio</w:t>
        </w:r>
        <w:r w:rsidRPr="008D4853">
          <w:rPr>
            <w:rFonts w:cs="Calibri"/>
            <w:color w:val="0000FF"/>
            <w:u w:val="single"/>
          </w:rPr>
          <w:t>.</w:t>
        </w:r>
        <w:r>
          <w:rPr>
            <w:rFonts w:cs="Calibri"/>
            <w:color w:val="0000FF"/>
            <w:u w:val="single"/>
            <w:lang w:val="it-IT"/>
          </w:rPr>
          <w:t>esteri</w:t>
        </w:r>
        <w:r w:rsidRPr="008D4853">
          <w:rPr>
            <w:rFonts w:cs="Calibri"/>
            <w:color w:val="0000FF"/>
            <w:u w:val="single"/>
          </w:rPr>
          <w:t>.</w:t>
        </w:r>
        <w:r>
          <w:rPr>
            <w:rFonts w:cs="Calibri"/>
            <w:color w:val="0000FF"/>
            <w:u w:val="single"/>
            <w:lang w:val="it-IT"/>
          </w:rPr>
          <w:t>it</w:t>
        </w:r>
        <w:r w:rsidRPr="008D4853">
          <w:rPr>
            <w:rFonts w:cs="Calibri"/>
            <w:color w:val="0000FF"/>
            <w:u w:val="single"/>
          </w:rPr>
          <w:t>/</w:t>
        </w:r>
        <w:r>
          <w:rPr>
            <w:rFonts w:cs="Calibri"/>
            <w:color w:val="0000FF"/>
            <w:u w:val="single"/>
            <w:lang w:val="it-IT"/>
          </w:rPr>
          <w:t>Ricerca</w:t>
        </w:r>
        <w:r w:rsidRPr="008D4853">
          <w:rPr>
            <w:rFonts w:cs="Calibri"/>
            <w:color w:val="0000FF"/>
            <w:u w:val="single"/>
          </w:rPr>
          <w:t>_</w:t>
        </w:r>
        <w:r>
          <w:rPr>
            <w:rFonts w:cs="Calibri"/>
            <w:color w:val="0000FF"/>
            <w:u w:val="single"/>
            <w:lang w:val="it-IT"/>
          </w:rPr>
          <w:t>Documenti</w:t>
        </w:r>
        <w:r w:rsidRPr="008D4853">
          <w:rPr>
            <w:rFonts w:cs="Calibri"/>
            <w:color w:val="0000FF"/>
            <w:u w:val="single"/>
          </w:rPr>
          <w:t>/</w:t>
        </w:r>
        <w:r>
          <w:rPr>
            <w:rFonts w:cs="Calibri"/>
            <w:color w:val="0000FF"/>
            <w:u w:val="single"/>
            <w:lang w:val="it-IT"/>
          </w:rPr>
          <w:t>wfrmRicerca</w:t>
        </w:r>
        <w:r w:rsidRPr="008D4853">
          <w:rPr>
            <w:rFonts w:cs="Calibri"/>
            <w:color w:val="0000FF"/>
            <w:u w:val="single"/>
          </w:rPr>
          <w:t>_</w:t>
        </w:r>
        <w:r>
          <w:rPr>
            <w:rFonts w:cs="Calibri"/>
            <w:color w:val="0000FF"/>
            <w:u w:val="single"/>
            <w:lang w:val="it-IT"/>
          </w:rPr>
          <w:t>Documenti</w:t>
        </w:r>
        <w:r w:rsidRPr="008D4853">
          <w:rPr>
            <w:rFonts w:cs="Calibri"/>
            <w:color w:val="0000FF"/>
            <w:u w:val="single"/>
          </w:rPr>
          <w:t>.</w:t>
        </w:r>
        <w:r>
          <w:rPr>
            <w:rFonts w:cs="Calibri"/>
            <w:color w:val="0000FF"/>
            <w:u w:val="single"/>
            <w:lang w:val="it-IT"/>
          </w:rPr>
          <w:t>aspx</w:t>
        </w:r>
      </w:hyperlink>
    </w:p>
    <w:p w:rsidR="00003396" w:rsidRDefault="00003396">
      <w:pPr>
        <w:pStyle w:val="Standard"/>
      </w:pPr>
    </w:p>
    <w:sectPr w:rsidR="0000339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0899">
      <w:r>
        <w:separator/>
      </w:r>
    </w:p>
  </w:endnote>
  <w:endnote w:type="continuationSeparator" w:id="0">
    <w:p w:rsidR="00000000" w:rsidRDefault="0064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0899">
      <w:r>
        <w:rPr>
          <w:color w:val="000000"/>
        </w:rPr>
        <w:separator/>
      </w:r>
    </w:p>
  </w:footnote>
  <w:footnote w:type="continuationSeparator" w:id="0">
    <w:p w:rsidR="00000000" w:rsidRDefault="0064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1781"/>
    <w:multiLevelType w:val="multilevel"/>
    <w:tmpl w:val="E3F8664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6A635F5"/>
    <w:multiLevelType w:val="multilevel"/>
    <w:tmpl w:val="539A959E"/>
    <w:styleLink w:val="WWNum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" w15:restartNumberingAfterBreak="0">
    <w:nsid w:val="65B52EB2"/>
    <w:multiLevelType w:val="multilevel"/>
    <w:tmpl w:val="50B45C5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03396"/>
    <w:rsid w:val="00003396"/>
    <w:rsid w:val="00640899"/>
    <w:rsid w:val="008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D1E4C-8E6E-404B-B016-EC2B2627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  <w:rPr>
      <w:szCs w:val="22"/>
      <w:lang w:val="ru-RU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sz w:val="22"/>
      <w:szCs w:val="22"/>
      <w:lang w:val="ru-RU" w:eastAsia="en-US"/>
    </w:rPr>
  </w:style>
  <w:style w:type="character" w:customStyle="1" w:styleId="PidipaginaCarattere">
    <w:name w:val="Piè di pagina Carattere"/>
    <w:basedOn w:val="Carpredefinitoparagrafo"/>
    <w:rPr>
      <w:sz w:val="22"/>
      <w:szCs w:val="22"/>
      <w:lang w:val="ru-RU"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Toti Simona</dc:creator>
  <cp:lastModifiedBy>Silvestri Andrea</cp:lastModifiedBy>
  <cp:revision>3</cp:revision>
  <dcterms:created xsi:type="dcterms:W3CDTF">2020-09-01T11:20:00Z</dcterms:created>
  <dcterms:modified xsi:type="dcterms:W3CDTF">2020-09-01T11:20:00Z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MAECI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