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03A8" w:rsidRPr="00100314" w:rsidRDefault="005603A8" w:rsidP="005603A8">
      <w:pPr>
        <w:autoSpaceDE w:val="0"/>
        <w:autoSpaceDN w:val="0"/>
        <w:adjustRightInd w:val="0"/>
        <w:spacing w:before="40" w:after="40" w:line="240" w:lineRule="auto"/>
        <w:jc w:val="both"/>
        <w:rPr>
          <w:rFonts w:cs="Calibri"/>
          <w:b/>
          <w:bCs/>
          <w:lang w:val="it-IT"/>
        </w:rPr>
      </w:pPr>
      <w:r w:rsidRPr="00100314">
        <w:rPr>
          <w:rFonts w:cs="Calibri"/>
          <w:b/>
          <w:bCs/>
          <w:lang w:val="it-IT"/>
        </w:rPr>
        <w:t>THAILANDIA</w:t>
      </w:r>
    </w:p>
    <w:p w:rsidR="005603A8" w:rsidRPr="00100314" w:rsidRDefault="005603A8" w:rsidP="005603A8">
      <w:pPr>
        <w:autoSpaceDE w:val="0"/>
        <w:autoSpaceDN w:val="0"/>
        <w:adjustRightInd w:val="0"/>
        <w:spacing w:before="280" w:after="280" w:line="240" w:lineRule="auto"/>
        <w:jc w:val="both"/>
        <w:rPr>
          <w:rFonts w:cs="Calibri"/>
          <w:lang w:val="it-IT"/>
        </w:rPr>
      </w:pPr>
      <w:r w:rsidRPr="00100314">
        <w:rPr>
          <w:rFonts w:cs="Calibri"/>
          <w:lang w:val="it-IT"/>
        </w:rPr>
        <w:t xml:space="preserve">INFORMAZIONI GENERALI </w:t>
      </w:r>
    </w:p>
    <w:p w:rsidR="005603A8" w:rsidRPr="00100314" w:rsidRDefault="005603A8" w:rsidP="005603A8">
      <w:pPr>
        <w:autoSpaceDE w:val="0"/>
        <w:autoSpaceDN w:val="0"/>
        <w:adjustRightInd w:val="0"/>
        <w:spacing w:before="280" w:after="280" w:line="240" w:lineRule="auto"/>
        <w:jc w:val="both"/>
        <w:rPr>
          <w:rFonts w:cs="Calibri"/>
          <w:lang w:val="it-IT"/>
        </w:rPr>
      </w:pPr>
      <w:r w:rsidRPr="00100314">
        <w:rPr>
          <w:rFonts w:cs="Calibri"/>
          <w:lang w:val="it-IT"/>
        </w:rPr>
        <w:t>ACQUISTO DI FABBRICATI AD USO ABITATIVO</w:t>
      </w:r>
      <w:r w:rsidR="004341EF">
        <w:rPr>
          <w:rFonts w:cs="Calibri"/>
          <w:lang w:val="it-IT"/>
        </w:rPr>
        <w:t xml:space="preserve"> E COMMERCIALE</w:t>
      </w:r>
    </w:p>
    <w:p w:rsidR="005603A8" w:rsidRPr="00100314" w:rsidRDefault="005603A8" w:rsidP="005603A8">
      <w:pPr>
        <w:autoSpaceDE w:val="0"/>
        <w:autoSpaceDN w:val="0"/>
        <w:adjustRightInd w:val="0"/>
        <w:spacing w:before="40" w:after="40" w:line="240" w:lineRule="auto"/>
        <w:jc w:val="both"/>
        <w:rPr>
          <w:rFonts w:cs="Calibri"/>
          <w:lang w:val="it-IT"/>
        </w:rPr>
      </w:pPr>
      <w:r w:rsidRPr="00100314">
        <w:rPr>
          <w:rFonts w:cs="Calibri"/>
          <w:lang w:val="it-IT"/>
        </w:rPr>
        <w:t>I</w:t>
      </w:r>
      <w:r w:rsidRPr="00100314">
        <w:rPr>
          <w:rFonts w:cs="Calibri"/>
          <w:highlight w:val="white"/>
          <w:lang w:val="it-IT"/>
        </w:rPr>
        <w:t xml:space="preserve">n Thailandia, nei casi di edifici che ricadono sotto il ‘Condominium Act’ (grattacieli ed edifici multipiano), agli stranieri è consentito acquistare fino a un massimo del 49% delle unità abitative. Tutti gli altri fabbricati a uso abitativo (case monofamiliari, villette, ecc.) </w:t>
      </w:r>
      <w:r w:rsidR="004341EF">
        <w:rPr>
          <w:rFonts w:cs="Calibri"/>
          <w:highlight w:val="white"/>
          <w:lang w:val="it-IT"/>
        </w:rPr>
        <w:t xml:space="preserve">e commerciale </w:t>
      </w:r>
      <w:r w:rsidRPr="00100314">
        <w:rPr>
          <w:rFonts w:cs="Calibri"/>
          <w:highlight w:val="white"/>
          <w:lang w:val="it-IT"/>
        </w:rPr>
        <w:t>possono essere unicamente di proprietà thailandese o acquistati da società miste con un massim</w:t>
      </w:r>
      <w:r w:rsidR="004341EF">
        <w:rPr>
          <w:rFonts w:cs="Calibri"/>
          <w:highlight w:val="white"/>
          <w:lang w:val="it-IT"/>
        </w:rPr>
        <w:t>o del 49% di capitale straniero</w:t>
      </w:r>
      <w:r w:rsidRPr="00100314">
        <w:rPr>
          <w:rFonts w:cs="Calibri"/>
          <w:highlight w:val="white"/>
          <w:lang w:val="it-IT"/>
        </w:rPr>
        <w:t>. Per maggiori dettagli, è possibile consultare il sito del</w:t>
      </w:r>
      <w:r w:rsidRPr="00100314">
        <w:rPr>
          <w:rFonts w:cs="Calibri"/>
          <w:lang w:val="it-IT"/>
        </w:rPr>
        <w:t xml:space="preserve"> Board of Investment of Thailand (BOI):  </w:t>
      </w:r>
      <w:hyperlink r:id="rId7" w:history="1">
        <w:r w:rsidRPr="00100314">
          <w:rPr>
            <w:rFonts w:cs="Calibri"/>
            <w:color w:val="0000FF"/>
            <w:u w:val="single"/>
            <w:lang w:val="it-IT"/>
          </w:rPr>
          <w:t>http://www.boi.go.th/index.php?page=incentive</w:t>
        </w:r>
      </w:hyperlink>
    </w:p>
    <w:p w:rsidR="005603A8" w:rsidRPr="00100314" w:rsidRDefault="005603A8" w:rsidP="005603A8">
      <w:pPr>
        <w:autoSpaceDE w:val="0"/>
        <w:autoSpaceDN w:val="0"/>
        <w:adjustRightInd w:val="0"/>
        <w:spacing w:before="40" w:after="40" w:line="240" w:lineRule="auto"/>
        <w:ind w:left="360"/>
        <w:jc w:val="both"/>
        <w:rPr>
          <w:rFonts w:cs="Calibri"/>
          <w:lang w:val="it-IT"/>
        </w:rPr>
      </w:pPr>
    </w:p>
    <w:p w:rsidR="005603A8" w:rsidRPr="00100314" w:rsidRDefault="005603A8" w:rsidP="005603A8">
      <w:pPr>
        <w:autoSpaceDE w:val="0"/>
        <w:autoSpaceDN w:val="0"/>
        <w:adjustRightInd w:val="0"/>
        <w:spacing w:before="40" w:after="40" w:line="240" w:lineRule="auto"/>
        <w:jc w:val="both"/>
        <w:rPr>
          <w:rFonts w:cs="Calibri"/>
          <w:lang w:val="it-IT"/>
        </w:rPr>
      </w:pPr>
      <w:r w:rsidRPr="00100314">
        <w:rPr>
          <w:rFonts w:cs="Calibri"/>
          <w:lang w:val="it-IT"/>
        </w:rPr>
        <w:t>COSTITUZIONE DI/PARTECIPAZIONE A SOCIETÀ</w:t>
      </w:r>
    </w:p>
    <w:p w:rsidR="005603A8" w:rsidRPr="00100314" w:rsidRDefault="005603A8" w:rsidP="005603A8">
      <w:pPr>
        <w:autoSpaceDE w:val="0"/>
        <w:autoSpaceDN w:val="0"/>
        <w:adjustRightInd w:val="0"/>
        <w:spacing w:before="40" w:after="40" w:line="240" w:lineRule="auto"/>
        <w:jc w:val="both"/>
        <w:rPr>
          <w:rFonts w:cs="Calibri"/>
          <w:lang w:val="it-IT"/>
        </w:rPr>
      </w:pPr>
      <w:r w:rsidRPr="00100314">
        <w:rPr>
          <w:rFonts w:cs="Calibri"/>
          <w:lang w:val="it-IT"/>
        </w:rPr>
        <w:t>Non è verificata la condizione di reciprocità nei sotto indicati settori:</w:t>
      </w:r>
    </w:p>
    <w:p w:rsidR="005603A8" w:rsidRPr="00100314" w:rsidRDefault="005603A8" w:rsidP="005603A8">
      <w:pPr>
        <w:autoSpaceDE w:val="0"/>
        <w:autoSpaceDN w:val="0"/>
        <w:adjustRightInd w:val="0"/>
        <w:spacing w:before="40" w:after="40" w:line="240" w:lineRule="auto"/>
        <w:jc w:val="both"/>
        <w:rPr>
          <w:rFonts w:cs="Calibri"/>
          <w:lang w:val="it-IT"/>
        </w:rPr>
      </w:pPr>
      <w:r w:rsidRPr="00100314">
        <w:rPr>
          <w:rFonts w:cs="Calibri"/>
          <w:lang w:val="it-IT"/>
        </w:rPr>
        <w:t>- Attività agricole: agricoltura, giardinaggio, silvicoltura, allevamento di bestiame, pesca;</w:t>
      </w:r>
    </w:p>
    <w:p w:rsidR="005603A8" w:rsidRPr="00100314" w:rsidRDefault="005603A8" w:rsidP="005603A8">
      <w:pPr>
        <w:autoSpaceDE w:val="0"/>
        <w:autoSpaceDN w:val="0"/>
        <w:adjustRightInd w:val="0"/>
        <w:spacing w:before="40" w:after="40" w:line="240" w:lineRule="auto"/>
        <w:ind w:left="142" w:hanging="142"/>
        <w:jc w:val="both"/>
        <w:rPr>
          <w:rFonts w:cs="Calibri"/>
          <w:lang w:val="it-IT"/>
        </w:rPr>
      </w:pPr>
      <w:r w:rsidRPr="00100314">
        <w:rPr>
          <w:rFonts w:cs="Calibri"/>
          <w:lang w:val="it-IT"/>
        </w:rPr>
        <w:t>- Attività commerciali: commercio interno di prodotti agricoli locali, commercio di beni immobili, vendita di oggetti di antiquariato o di oggetti d'arte;</w:t>
      </w:r>
    </w:p>
    <w:p w:rsidR="005603A8" w:rsidRPr="00100314" w:rsidRDefault="005603A8" w:rsidP="005603A8">
      <w:pPr>
        <w:autoSpaceDE w:val="0"/>
        <w:autoSpaceDN w:val="0"/>
        <w:adjustRightInd w:val="0"/>
        <w:spacing w:before="40" w:after="40" w:line="240" w:lineRule="auto"/>
        <w:ind w:left="142" w:hanging="142"/>
        <w:jc w:val="both"/>
        <w:rPr>
          <w:rFonts w:cs="Calibri"/>
          <w:lang w:val="it-IT"/>
        </w:rPr>
      </w:pPr>
      <w:r w:rsidRPr="00100314">
        <w:rPr>
          <w:rFonts w:cs="Calibri"/>
          <w:lang w:val="it-IT"/>
        </w:rPr>
        <w:t>- Attività industriali ed artigianali: lavorazione di riso e legno, lavorazione e tessitura della seta, produzione di farina di riso, zucchero, bevande con o senza alcool, ghiaccio (e lavorazioni a freddo), prodotti farmaceutici, prodotti d'oro, argento, niello o bronzo, produzione di legno intagliato o di derivati del legno, oggetti laccati, calce, cemento e derivati, abbigliamento e calzature; - Attività terziarie: architettura, stampa, pubblicazione di quotidiani, contabilità, pubblicità, mediazione od agenzia, aste, parrucchieri, estetisti, agenzie turistiche, attività alberghiere ad eccezione della gestione alberghiera, fotografia (compreso lo sviluppo e la stampa), lavanderie, sartorie e confezione, trasporto via terra, acqua o aria.</w:t>
      </w:r>
    </w:p>
    <w:p w:rsidR="005603A8" w:rsidRPr="00100314" w:rsidRDefault="005603A8" w:rsidP="005603A8">
      <w:pPr>
        <w:autoSpaceDE w:val="0"/>
        <w:autoSpaceDN w:val="0"/>
        <w:adjustRightInd w:val="0"/>
        <w:spacing w:before="40" w:after="40" w:line="240" w:lineRule="auto"/>
        <w:jc w:val="both"/>
        <w:rPr>
          <w:rFonts w:cs="Calibri"/>
          <w:lang w:val="it-IT"/>
        </w:rPr>
      </w:pPr>
      <w:r w:rsidRPr="00100314">
        <w:rPr>
          <w:rFonts w:cs="Calibri"/>
          <w:lang w:val="it-IT"/>
        </w:rPr>
        <w:t>E’ verificata la condizione di reciprocità nei restanti settori.</w:t>
      </w:r>
    </w:p>
    <w:p w:rsidR="005603A8" w:rsidRPr="00100314" w:rsidRDefault="005603A8" w:rsidP="005603A8">
      <w:pPr>
        <w:autoSpaceDE w:val="0"/>
        <w:autoSpaceDN w:val="0"/>
        <w:adjustRightInd w:val="0"/>
        <w:spacing w:before="40" w:after="40" w:line="240" w:lineRule="auto"/>
        <w:jc w:val="both"/>
        <w:rPr>
          <w:rFonts w:cs="Calibri"/>
          <w:lang w:val="it-IT"/>
        </w:rPr>
      </w:pPr>
    </w:p>
    <w:p w:rsidR="005603A8" w:rsidRPr="00100314" w:rsidRDefault="005603A8" w:rsidP="005603A8">
      <w:pPr>
        <w:autoSpaceDE w:val="0"/>
        <w:autoSpaceDN w:val="0"/>
        <w:adjustRightInd w:val="0"/>
        <w:spacing w:before="40" w:after="40" w:line="240" w:lineRule="auto"/>
        <w:jc w:val="both"/>
        <w:rPr>
          <w:rFonts w:cs="Calibri"/>
          <w:lang w:val="it-IT"/>
        </w:rPr>
      </w:pPr>
      <w:r w:rsidRPr="00100314">
        <w:rPr>
          <w:rFonts w:cs="Calibri"/>
          <w:lang w:val="it-IT"/>
        </w:rPr>
        <w:t>ASSUNZIONE DI CARICHE SOCIALI</w:t>
      </w:r>
    </w:p>
    <w:p w:rsidR="005603A8" w:rsidRPr="00100314" w:rsidRDefault="005603A8" w:rsidP="005603A8">
      <w:pPr>
        <w:autoSpaceDE w:val="0"/>
        <w:autoSpaceDN w:val="0"/>
        <w:adjustRightInd w:val="0"/>
        <w:spacing w:before="40" w:after="40" w:line="240" w:lineRule="auto"/>
        <w:jc w:val="both"/>
        <w:rPr>
          <w:rFonts w:cs="Calibri"/>
          <w:lang w:val="it-IT"/>
        </w:rPr>
      </w:pPr>
      <w:r w:rsidRPr="00100314">
        <w:rPr>
          <w:rFonts w:cs="Calibri"/>
          <w:lang w:val="it-IT"/>
        </w:rPr>
        <w:t>E’ verificata la condizione di reciprocità per quanto concerne le cariche sociali.</w:t>
      </w:r>
    </w:p>
    <w:p w:rsidR="005603A8" w:rsidRPr="00100314" w:rsidRDefault="005603A8" w:rsidP="005603A8">
      <w:pPr>
        <w:autoSpaceDE w:val="0"/>
        <w:autoSpaceDN w:val="0"/>
        <w:adjustRightInd w:val="0"/>
        <w:spacing w:before="40" w:after="40" w:line="240" w:lineRule="auto"/>
        <w:jc w:val="both"/>
        <w:rPr>
          <w:rFonts w:cs="Calibri"/>
          <w:lang w:val="it-IT"/>
        </w:rPr>
      </w:pPr>
    </w:p>
    <w:p w:rsidR="005603A8" w:rsidRDefault="005603A8" w:rsidP="005603A8">
      <w:pPr>
        <w:autoSpaceDE w:val="0"/>
        <w:autoSpaceDN w:val="0"/>
        <w:adjustRightInd w:val="0"/>
        <w:spacing w:before="40" w:after="40" w:line="240" w:lineRule="auto"/>
        <w:jc w:val="both"/>
        <w:rPr>
          <w:rFonts w:cs="Calibri"/>
          <w:color w:val="484848"/>
          <w:lang w:val="it-IT"/>
        </w:rPr>
      </w:pPr>
      <w:r w:rsidRPr="00100314">
        <w:rPr>
          <w:rFonts w:cs="Calibri"/>
          <w:lang w:val="it-IT"/>
        </w:rPr>
        <w:t>In materia di investimenti esteri vi è una disciplina in deroga sia al normale limite del 49% di proprietà che un cittadino straniero può detenere in una società registrata in Thailandia, sia ai vincoli relativi alla proprietà immobiliare. Essa riguarda settori che possano apportare al Paese un contributo in termini di capitale umano e tecnologico, secondo una procedura interamente gestita dal Board of Investment of Thailand (BOI) di cui è possibile consultare i dettagli al seguente link :</w:t>
      </w:r>
      <w:hyperlink r:id="rId8" w:history="1">
        <w:r w:rsidRPr="00100314">
          <w:rPr>
            <w:rFonts w:cs="Calibri"/>
            <w:color w:val="0000FF"/>
            <w:u w:val="single"/>
            <w:lang w:val="it-IT"/>
          </w:rPr>
          <w:t>http://www.boi.go.th/index.php?page=incentive</w:t>
        </w:r>
      </w:hyperlink>
      <w:r w:rsidRPr="00100314">
        <w:rPr>
          <w:rFonts w:cs="Calibri"/>
          <w:color w:val="484848"/>
          <w:lang w:val="it-IT"/>
        </w:rPr>
        <w:t>.</w:t>
      </w:r>
    </w:p>
    <w:p w:rsidR="004341EF" w:rsidRDefault="004341EF" w:rsidP="005603A8">
      <w:pPr>
        <w:autoSpaceDE w:val="0"/>
        <w:autoSpaceDN w:val="0"/>
        <w:adjustRightInd w:val="0"/>
        <w:spacing w:before="40" w:after="40" w:line="240" w:lineRule="auto"/>
        <w:jc w:val="both"/>
        <w:rPr>
          <w:rFonts w:cs="Calibri"/>
          <w:color w:val="484848"/>
          <w:lang w:val="it-IT"/>
        </w:rPr>
      </w:pPr>
    </w:p>
    <w:p w:rsidR="004341EF" w:rsidRDefault="004341EF" w:rsidP="005603A8">
      <w:pPr>
        <w:autoSpaceDE w:val="0"/>
        <w:autoSpaceDN w:val="0"/>
        <w:adjustRightInd w:val="0"/>
        <w:spacing w:before="40" w:after="40" w:line="240" w:lineRule="auto"/>
        <w:jc w:val="both"/>
        <w:rPr>
          <w:rFonts w:cs="Calibri"/>
          <w:color w:val="484848"/>
          <w:lang w:val="it-IT"/>
        </w:rPr>
      </w:pPr>
      <w:r>
        <w:rPr>
          <w:rFonts w:cs="Calibri"/>
          <w:color w:val="484848"/>
          <w:lang w:val="it-IT"/>
        </w:rPr>
        <w:t>ACCETTAZIONE DI DONAZIONI/EREDITA’</w:t>
      </w:r>
    </w:p>
    <w:p w:rsidR="004341EF" w:rsidRPr="00100314" w:rsidRDefault="004341EF" w:rsidP="005603A8">
      <w:pPr>
        <w:autoSpaceDE w:val="0"/>
        <w:autoSpaceDN w:val="0"/>
        <w:adjustRightInd w:val="0"/>
        <w:spacing w:before="40" w:after="40" w:line="240" w:lineRule="auto"/>
        <w:jc w:val="both"/>
        <w:rPr>
          <w:rFonts w:cs="Calibri"/>
          <w:color w:val="484848"/>
          <w:lang w:val="it-IT"/>
        </w:rPr>
      </w:pPr>
      <w:r>
        <w:rPr>
          <w:rFonts w:cs="Calibri"/>
          <w:color w:val="484848"/>
          <w:lang w:val="it-IT"/>
        </w:rPr>
        <w:t>Non esistono particolari limitazioni per gli stranieri all’accettazione di donazioni/eredità.</w:t>
      </w:r>
      <w:bookmarkStart w:id="0" w:name="_GoBack"/>
      <w:bookmarkEnd w:id="0"/>
    </w:p>
    <w:p w:rsidR="005603A8" w:rsidRPr="00100314" w:rsidRDefault="005603A8" w:rsidP="005603A8">
      <w:pPr>
        <w:autoSpaceDE w:val="0"/>
        <w:autoSpaceDN w:val="0"/>
        <w:adjustRightInd w:val="0"/>
        <w:spacing w:before="40" w:after="40" w:line="240" w:lineRule="auto"/>
        <w:jc w:val="both"/>
        <w:rPr>
          <w:rFonts w:cs="Calibri"/>
          <w:lang w:val="it-IT"/>
        </w:rPr>
      </w:pPr>
    </w:p>
    <w:p w:rsidR="005603A8" w:rsidRDefault="005603A8" w:rsidP="005603A8">
      <w:pPr>
        <w:autoSpaceDE w:val="0"/>
        <w:autoSpaceDN w:val="0"/>
        <w:adjustRightInd w:val="0"/>
        <w:spacing w:before="40" w:after="40" w:line="240" w:lineRule="auto"/>
        <w:jc w:val="both"/>
        <w:rPr>
          <w:rFonts w:cs="Calibri"/>
        </w:rPr>
      </w:pPr>
      <w:r>
        <w:rPr>
          <w:rFonts w:cs="Calibri"/>
        </w:rPr>
        <w:t>ACCORDI IN VIGORE:</w:t>
      </w:r>
    </w:p>
    <w:p w:rsidR="005603A8" w:rsidRPr="00100314" w:rsidRDefault="005603A8" w:rsidP="005603A8">
      <w:pPr>
        <w:numPr>
          <w:ilvl w:val="0"/>
          <w:numId w:val="1"/>
        </w:numPr>
        <w:autoSpaceDE w:val="0"/>
        <w:autoSpaceDN w:val="0"/>
        <w:adjustRightInd w:val="0"/>
        <w:spacing w:before="40" w:after="40" w:line="240" w:lineRule="auto"/>
        <w:ind w:left="720"/>
        <w:jc w:val="both"/>
        <w:rPr>
          <w:rFonts w:cs="Calibri"/>
          <w:lang w:val="it-IT"/>
        </w:rPr>
      </w:pPr>
      <w:r w:rsidRPr="00100314">
        <w:rPr>
          <w:rFonts w:cs="Calibri"/>
          <w:color w:val="00B050"/>
          <w:lang w:val="it-IT"/>
        </w:rPr>
        <w:t xml:space="preserve">CONVENZIONE PER EVITARE LE DOPPIE IMPOSIZIONI E PREVENIRE LE EVASIONI FISCALI IN MATERIA DI IMPOSTE SUL REDDITO, CON PROTOCOLLO </w:t>
      </w:r>
      <w:r w:rsidRPr="00100314">
        <w:rPr>
          <w:rFonts w:cs="Calibri"/>
          <w:lang w:val="it-IT"/>
        </w:rPr>
        <w:t>(firmata a Bangkok il 22.12.1977, in vigore dal 31.5.1980)</w:t>
      </w:r>
    </w:p>
    <w:p w:rsidR="005603A8" w:rsidRPr="00100314" w:rsidRDefault="00DA7171" w:rsidP="005603A8">
      <w:pPr>
        <w:autoSpaceDE w:val="0"/>
        <w:autoSpaceDN w:val="0"/>
        <w:adjustRightInd w:val="0"/>
        <w:spacing w:before="40" w:after="40" w:line="240" w:lineRule="auto"/>
        <w:ind w:left="360"/>
        <w:jc w:val="both"/>
        <w:rPr>
          <w:rFonts w:cs="Calibri"/>
          <w:lang w:val="it-IT"/>
        </w:rPr>
      </w:pPr>
      <w:hyperlink r:id="rId9" w:history="1">
        <w:r w:rsidR="005603A8" w:rsidRPr="00100314">
          <w:rPr>
            <w:rFonts w:cs="Calibri"/>
            <w:color w:val="0000FF"/>
            <w:u w:val="single"/>
            <w:lang w:val="it-IT"/>
          </w:rPr>
          <w:t>http://atrio.esteri.it/Ricerca_Documenti/wfrmRicerca_Documenti.aspx</w:t>
        </w:r>
      </w:hyperlink>
    </w:p>
    <w:p w:rsidR="00B56B20" w:rsidRPr="005603A8" w:rsidRDefault="00B56B20" w:rsidP="005603A8">
      <w:pPr>
        <w:rPr>
          <w:lang w:val="it-IT"/>
        </w:rPr>
      </w:pPr>
    </w:p>
    <w:sectPr w:rsidR="00B56B20" w:rsidRPr="005603A8" w:rsidSect="00AA6CB2">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63C5" w:rsidRDefault="00E563C5" w:rsidP="009D2CF7">
      <w:pPr>
        <w:spacing w:after="0" w:line="240" w:lineRule="auto"/>
      </w:pPr>
      <w:r>
        <w:separator/>
      </w:r>
    </w:p>
  </w:endnote>
  <w:endnote w:type="continuationSeparator" w:id="1">
    <w:p w:rsidR="00E563C5" w:rsidRDefault="00E563C5" w:rsidP="009D2CF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63C5" w:rsidRDefault="00E563C5" w:rsidP="009D2CF7">
      <w:pPr>
        <w:spacing w:after="0" w:line="240" w:lineRule="auto"/>
      </w:pPr>
      <w:r>
        <w:separator/>
      </w:r>
    </w:p>
  </w:footnote>
  <w:footnote w:type="continuationSeparator" w:id="1">
    <w:p w:rsidR="00E563C5" w:rsidRDefault="00E563C5" w:rsidP="009D2CF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1D2C3B6"/>
    <w:lvl w:ilvl="0">
      <w:numFmt w:val="bullet"/>
      <w:lvlText w:val="*"/>
      <w:lvlJc w:val="left"/>
    </w:lvl>
  </w:abstractNum>
  <w:abstractNum w:abstractNumId="1">
    <w:nsid w:val="5DA370E6"/>
    <w:multiLevelType w:val="hybridMultilevel"/>
    <w:tmpl w:val="EDC2E9D0"/>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num w:numId="1">
    <w:abstractNumId w:val="0"/>
    <w:lvlOverride w:ilvl="0">
      <w:lvl w:ilvl="0">
        <w:numFmt w:val="bullet"/>
        <w:lvlText w:val=""/>
        <w:legacy w:legacy="1" w:legacySpace="0" w:legacyIndent="0"/>
        <w:lvlJc w:val="left"/>
        <w:rPr>
          <w:rFonts w:ascii="Symbol" w:hAnsi="Symbol" w:hint="default"/>
        </w:rPr>
      </w:lvl>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footnotePr>
    <w:footnote w:id="0"/>
    <w:footnote w:id="1"/>
  </w:footnotePr>
  <w:endnotePr>
    <w:endnote w:id="0"/>
    <w:endnote w:id="1"/>
  </w:endnotePr>
  <w:compat/>
  <w:rsids>
    <w:rsidRoot w:val="007538AF"/>
    <w:rsid w:val="000112D0"/>
    <w:rsid w:val="00050B57"/>
    <w:rsid w:val="00064E74"/>
    <w:rsid w:val="00071C9D"/>
    <w:rsid w:val="00072227"/>
    <w:rsid w:val="00080F35"/>
    <w:rsid w:val="000A5623"/>
    <w:rsid w:val="000F51E0"/>
    <w:rsid w:val="000F64C3"/>
    <w:rsid w:val="00132672"/>
    <w:rsid w:val="00173546"/>
    <w:rsid w:val="001811A7"/>
    <w:rsid w:val="00191310"/>
    <w:rsid w:val="001B5821"/>
    <w:rsid w:val="001B6FA3"/>
    <w:rsid w:val="001C10ED"/>
    <w:rsid w:val="001C364C"/>
    <w:rsid w:val="001C7150"/>
    <w:rsid w:val="001E2046"/>
    <w:rsid w:val="0020258B"/>
    <w:rsid w:val="00210B9D"/>
    <w:rsid w:val="00222E80"/>
    <w:rsid w:val="00241A19"/>
    <w:rsid w:val="00273C0B"/>
    <w:rsid w:val="002766C5"/>
    <w:rsid w:val="002B4982"/>
    <w:rsid w:val="00317C17"/>
    <w:rsid w:val="003516D7"/>
    <w:rsid w:val="00354A8F"/>
    <w:rsid w:val="0039085D"/>
    <w:rsid w:val="00393E4A"/>
    <w:rsid w:val="003A3A74"/>
    <w:rsid w:val="003F75F8"/>
    <w:rsid w:val="00410313"/>
    <w:rsid w:val="00412BF4"/>
    <w:rsid w:val="004341EF"/>
    <w:rsid w:val="0045114A"/>
    <w:rsid w:val="00467FAA"/>
    <w:rsid w:val="004A0482"/>
    <w:rsid w:val="004A15B0"/>
    <w:rsid w:val="004C2291"/>
    <w:rsid w:val="004D0C4C"/>
    <w:rsid w:val="004F346F"/>
    <w:rsid w:val="00533817"/>
    <w:rsid w:val="00541ED1"/>
    <w:rsid w:val="00557A7E"/>
    <w:rsid w:val="005603A8"/>
    <w:rsid w:val="00561A7F"/>
    <w:rsid w:val="00564419"/>
    <w:rsid w:val="00590B18"/>
    <w:rsid w:val="0059215C"/>
    <w:rsid w:val="005B572F"/>
    <w:rsid w:val="005D3BCC"/>
    <w:rsid w:val="005E177C"/>
    <w:rsid w:val="005E2517"/>
    <w:rsid w:val="005F1A5A"/>
    <w:rsid w:val="00656863"/>
    <w:rsid w:val="006B37FF"/>
    <w:rsid w:val="006C2B42"/>
    <w:rsid w:val="006D1645"/>
    <w:rsid w:val="006D4362"/>
    <w:rsid w:val="00703D78"/>
    <w:rsid w:val="007076B9"/>
    <w:rsid w:val="00715F04"/>
    <w:rsid w:val="00720D14"/>
    <w:rsid w:val="0072340A"/>
    <w:rsid w:val="007538AF"/>
    <w:rsid w:val="0076443B"/>
    <w:rsid w:val="00766543"/>
    <w:rsid w:val="00777D35"/>
    <w:rsid w:val="007E77B7"/>
    <w:rsid w:val="007F0EA5"/>
    <w:rsid w:val="008166EE"/>
    <w:rsid w:val="00816D96"/>
    <w:rsid w:val="008203CC"/>
    <w:rsid w:val="00822D18"/>
    <w:rsid w:val="008248FD"/>
    <w:rsid w:val="0082645D"/>
    <w:rsid w:val="008572B0"/>
    <w:rsid w:val="008640C7"/>
    <w:rsid w:val="00876B65"/>
    <w:rsid w:val="00891498"/>
    <w:rsid w:val="008C39DC"/>
    <w:rsid w:val="008F0117"/>
    <w:rsid w:val="008F0B74"/>
    <w:rsid w:val="008F4BFA"/>
    <w:rsid w:val="009122EE"/>
    <w:rsid w:val="009209CE"/>
    <w:rsid w:val="009553BF"/>
    <w:rsid w:val="00960950"/>
    <w:rsid w:val="0097383F"/>
    <w:rsid w:val="0097633B"/>
    <w:rsid w:val="00994435"/>
    <w:rsid w:val="009C3827"/>
    <w:rsid w:val="009C6DCA"/>
    <w:rsid w:val="009D2CF7"/>
    <w:rsid w:val="00A0435D"/>
    <w:rsid w:val="00A13D21"/>
    <w:rsid w:val="00A24E42"/>
    <w:rsid w:val="00A357A1"/>
    <w:rsid w:val="00A410BC"/>
    <w:rsid w:val="00A44750"/>
    <w:rsid w:val="00A4529A"/>
    <w:rsid w:val="00A53273"/>
    <w:rsid w:val="00A53B2E"/>
    <w:rsid w:val="00A66B67"/>
    <w:rsid w:val="00A677C3"/>
    <w:rsid w:val="00A752A9"/>
    <w:rsid w:val="00A92E64"/>
    <w:rsid w:val="00A95A86"/>
    <w:rsid w:val="00AA225E"/>
    <w:rsid w:val="00AA6CB2"/>
    <w:rsid w:val="00AC0C55"/>
    <w:rsid w:val="00B2049B"/>
    <w:rsid w:val="00B30752"/>
    <w:rsid w:val="00B56B20"/>
    <w:rsid w:val="00B75AF2"/>
    <w:rsid w:val="00B865CE"/>
    <w:rsid w:val="00B96BE3"/>
    <w:rsid w:val="00B97155"/>
    <w:rsid w:val="00BA2C7A"/>
    <w:rsid w:val="00BA68A7"/>
    <w:rsid w:val="00BF4E7F"/>
    <w:rsid w:val="00C15593"/>
    <w:rsid w:val="00C33395"/>
    <w:rsid w:val="00C537B0"/>
    <w:rsid w:val="00C64278"/>
    <w:rsid w:val="00C72E3C"/>
    <w:rsid w:val="00C77B45"/>
    <w:rsid w:val="00C804B3"/>
    <w:rsid w:val="00C80FDD"/>
    <w:rsid w:val="00CB00D8"/>
    <w:rsid w:val="00CC4B0C"/>
    <w:rsid w:val="00D0390D"/>
    <w:rsid w:val="00D5025F"/>
    <w:rsid w:val="00D61262"/>
    <w:rsid w:val="00D713F1"/>
    <w:rsid w:val="00D84F4A"/>
    <w:rsid w:val="00D95E64"/>
    <w:rsid w:val="00DA7171"/>
    <w:rsid w:val="00DA7232"/>
    <w:rsid w:val="00DB5485"/>
    <w:rsid w:val="00DC13CC"/>
    <w:rsid w:val="00DD0187"/>
    <w:rsid w:val="00DD7C9B"/>
    <w:rsid w:val="00DE3BD6"/>
    <w:rsid w:val="00E06170"/>
    <w:rsid w:val="00E15F10"/>
    <w:rsid w:val="00E25619"/>
    <w:rsid w:val="00E26323"/>
    <w:rsid w:val="00E37E43"/>
    <w:rsid w:val="00E45261"/>
    <w:rsid w:val="00E470FD"/>
    <w:rsid w:val="00E563C5"/>
    <w:rsid w:val="00E62320"/>
    <w:rsid w:val="00E63A13"/>
    <w:rsid w:val="00E81A05"/>
    <w:rsid w:val="00E92369"/>
    <w:rsid w:val="00EF5A9D"/>
    <w:rsid w:val="00F12538"/>
    <w:rsid w:val="00F55BB0"/>
    <w:rsid w:val="00F67FCE"/>
    <w:rsid w:val="00F93AA3"/>
    <w:rsid w:val="00FC122B"/>
    <w:rsid w:val="00FD498C"/>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538AF"/>
    <w:pPr>
      <w:spacing w:after="160" w:line="259" w:lineRule="auto"/>
    </w:pPr>
    <w:rPr>
      <w:sz w:val="22"/>
      <w:szCs w:val="22"/>
      <w:lang w:val="ru-RU"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A410BC"/>
    <w:pPr>
      <w:ind w:left="720"/>
      <w:contextualSpacing/>
    </w:pPr>
    <w:rPr>
      <w:rFonts w:asciiTheme="minorHAnsi" w:eastAsiaTheme="minorHAnsi" w:hAnsiTheme="minorHAnsi" w:cstheme="minorBidi"/>
    </w:rPr>
  </w:style>
  <w:style w:type="paragraph" w:styleId="Intestazione">
    <w:name w:val="header"/>
    <w:basedOn w:val="Normale"/>
    <w:link w:val="IntestazioneCarattere"/>
    <w:uiPriority w:val="99"/>
    <w:unhideWhenUsed/>
    <w:rsid w:val="009D2CF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D2CF7"/>
    <w:rPr>
      <w:sz w:val="22"/>
      <w:szCs w:val="22"/>
      <w:lang w:val="ru-RU" w:eastAsia="en-US"/>
    </w:rPr>
  </w:style>
  <w:style w:type="paragraph" w:styleId="Pidipagina">
    <w:name w:val="footer"/>
    <w:basedOn w:val="Normale"/>
    <w:link w:val="PidipaginaCarattere"/>
    <w:uiPriority w:val="99"/>
    <w:unhideWhenUsed/>
    <w:rsid w:val="009D2CF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D2CF7"/>
    <w:rPr>
      <w:sz w:val="22"/>
      <w:szCs w:val="22"/>
      <w:lang w:val="ru-RU" w:eastAsia="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i.go.th/index.php?page=incentive" TargetMode="External"/><Relationship Id="rId3" Type="http://schemas.openxmlformats.org/officeDocument/2006/relationships/settings" Target="settings.xml"/><Relationship Id="rId7" Type="http://schemas.openxmlformats.org/officeDocument/2006/relationships/hyperlink" Target="http://www.boi.go.th/index.php?page=incentiv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atrio.esteri.it/Ricerca_Documenti/wfrmRicerca_Documenti.asp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462</Words>
  <Characters>2635</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MAECI</Company>
  <LinksUpToDate>false</LinksUpToDate>
  <CharactersWithSpaces>3091</CharactersWithSpaces>
  <SharedDoc>false</SharedDoc>
  <HLinks>
    <vt:vector size="12" baseType="variant">
      <vt:variant>
        <vt:i4>7995514</vt:i4>
      </vt:variant>
      <vt:variant>
        <vt:i4>3</vt:i4>
      </vt:variant>
      <vt:variant>
        <vt:i4>0</vt:i4>
      </vt:variant>
      <vt:variant>
        <vt:i4>5</vt:i4>
      </vt:variant>
      <vt:variant>
        <vt:lpwstr>http://atrio.esteri.it/Ricerca_Documenti/wfrmRicerca_Documenti.aspx</vt:lpwstr>
      </vt:variant>
      <vt:variant>
        <vt:lpwstr/>
      </vt:variant>
      <vt:variant>
        <vt:i4>7995514</vt:i4>
      </vt:variant>
      <vt:variant>
        <vt:i4>0</vt:i4>
      </vt:variant>
      <vt:variant>
        <vt:i4>0</vt:i4>
      </vt:variant>
      <vt:variant>
        <vt:i4>5</vt:i4>
      </vt:variant>
      <vt:variant>
        <vt:lpwstr>http://atrio.esteri.it/Ricerca_Documenti/wfrmRicerca_Documenti.aspx</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Toti Simona</dc:creator>
  <cp:lastModifiedBy>Utente</cp:lastModifiedBy>
  <cp:revision>3</cp:revision>
  <dcterms:created xsi:type="dcterms:W3CDTF">2020-06-25T12:56:00Z</dcterms:created>
  <dcterms:modified xsi:type="dcterms:W3CDTF">2020-06-25T12:58:00Z</dcterms:modified>
</cp:coreProperties>
</file>