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50" w:rsidRPr="00833093" w:rsidRDefault="00385E50" w:rsidP="00385E50">
      <w:pPr>
        <w:autoSpaceDE w:val="0"/>
        <w:autoSpaceDN w:val="0"/>
        <w:adjustRightInd w:val="0"/>
        <w:spacing w:before="40" w:after="40" w:line="240" w:lineRule="auto"/>
        <w:jc w:val="both"/>
        <w:rPr>
          <w:rFonts w:cs="Calibri"/>
          <w:b/>
          <w:bCs/>
          <w:lang w:val="it-IT"/>
        </w:rPr>
      </w:pPr>
      <w:r w:rsidRPr="00833093">
        <w:rPr>
          <w:rFonts w:cs="Calibri"/>
          <w:b/>
          <w:bCs/>
          <w:lang w:val="it-IT"/>
        </w:rPr>
        <w:t>TUNISIA</w:t>
      </w:r>
    </w:p>
    <w:p w:rsidR="00385E50" w:rsidRPr="00833093" w:rsidRDefault="00385E50" w:rsidP="00385E50">
      <w:pPr>
        <w:autoSpaceDE w:val="0"/>
        <w:autoSpaceDN w:val="0"/>
        <w:adjustRightInd w:val="0"/>
        <w:spacing w:before="40" w:after="40" w:line="240" w:lineRule="auto"/>
        <w:jc w:val="both"/>
        <w:rPr>
          <w:rFonts w:cs="Calibri"/>
          <w:lang w:val="it-IT"/>
        </w:rPr>
      </w:pPr>
    </w:p>
    <w:p w:rsidR="00385E50" w:rsidRPr="00833093" w:rsidRDefault="00E67B28" w:rsidP="00385E50">
      <w:pPr>
        <w:autoSpaceDE w:val="0"/>
        <w:autoSpaceDN w:val="0"/>
        <w:adjustRightInd w:val="0"/>
        <w:spacing w:line="264" w:lineRule="auto"/>
        <w:jc w:val="both"/>
        <w:rPr>
          <w:rFonts w:cs="Calibri"/>
          <w:color w:val="484848"/>
          <w:lang w:val="it-IT"/>
        </w:rPr>
      </w:pPr>
      <w:r w:rsidRPr="00833093">
        <w:rPr>
          <w:rFonts w:cs="Calibri"/>
          <w:color w:val="484848"/>
          <w:lang w:val="it-IT"/>
        </w:rPr>
        <w:t>Fra</w:t>
      </w:r>
      <w:r w:rsidR="003443DC" w:rsidRPr="00833093">
        <w:rPr>
          <w:rFonts w:cs="Calibri"/>
          <w:color w:val="484848"/>
          <w:lang w:val="it-IT"/>
        </w:rPr>
        <w:t xml:space="preserve"> l’Italia e la Tunisia è in vigore</w:t>
      </w:r>
      <w:r w:rsidRPr="001972D4">
        <w:rPr>
          <w:rFonts w:cs="Calibri"/>
          <w:color w:val="484848"/>
          <w:lang w:val="it-IT"/>
        </w:rPr>
        <w:t xml:space="preserve"> un Accordo </w:t>
      </w:r>
      <w:r w:rsidR="001972D4" w:rsidRPr="001972D4">
        <w:rPr>
          <w:rFonts w:cs="Calibri"/>
          <w:bCs/>
          <w:color w:val="484848"/>
          <w:lang w:val="it-IT"/>
        </w:rPr>
        <w:t>bilaterale in materia di promozione e protezione degli investimenti</w:t>
      </w:r>
      <w:r w:rsidRPr="001972D4">
        <w:rPr>
          <w:rFonts w:cs="Calibri"/>
          <w:color w:val="484848"/>
          <w:lang w:val="it-IT"/>
        </w:rPr>
        <w:t xml:space="preserve">, </w:t>
      </w:r>
      <w:r w:rsidR="003443DC" w:rsidRPr="001972D4">
        <w:rPr>
          <w:rFonts w:cs="Calibri"/>
          <w:color w:val="484848"/>
          <w:lang w:val="it-IT"/>
        </w:rPr>
        <w:t xml:space="preserve">sottoscritto in </w:t>
      </w:r>
      <w:r w:rsidRPr="001972D4">
        <w:rPr>
          <w:rFonts w:cs="Calibri"/>
          <w:color w:val="484848"/>
          <w:lang w:val="it-IT"/>
        </w:rPr>
        <w:t>forma</w:t>
      </w:r>
      <w:r w:rsidRPr="00833093">
        <w:rPr>
          <w:rFonts w:cs="Calibri"/>
          <w:color w:val="484848"/>
          <w:lang w:val="it-IT"/>
        </w:rPr>
        <w:t xml:space="preserve"> di scambio di lettere (firmato a Roma il 17.10.1985, in vigore dal 24.6.1989). I</w:t>
      </w:r>
      <w:r w:rsidR="00385E50" w:rsidRPr="00833093">
        <w:rPr>
          <w:rFonts w:cs="Calibri"/>
          <w:color w:val="484848"/>
          <w:lang w:val="it-IT"/>
        </w:rPr>
        <w:t xml:space="preserve">l provvedimento di ratifica ed esecuzione dell’Accordo assume </w:t>
      </w:r>
      <w:r w:rsidR="003443DC" w:rsidRPr="00833093">
        <w:rPr>
          <w:rFonts w:cs="Calibri"/>
          <w:color w:val="484848"/>
          <w:lang w:val="it-IT"/>
        </w:rPr>
        <w:t xml:space="preserve">quindi </w:t>
      </w:r>
      <w:r w:rsidR="00385E50" w:rsidRPr="00833093">
        <w:rPr>
          <w:rFonts w:cs="Calibri"/>
          <w:color w:val="484848"/>
          <w:lang w:val="it-IT"/>
        </w:rPr>
        <w:t>carattere di “</w:t>
      </w:r>
      <w:r w:rsidR="00385E50" w:rsidRPr="00833093">
        <w:rPr>
          <w:rFonts w:cs="Calibri"/>
          <w:i/>
          <w:iCs/>
          <w:color w:val="484848"/>
          <w:lang w:val="it-IT"/>
        </w:rPr>
        <w:t>lex specialis</w:t>
      </w:r>
      <w:r w:rsidR="00385E50" w:rsidRPr="00833093">
        <w:rPr>
          <w:rFonts w:cs="Calibri"/>
          <w:color w:val="484848"/>
          <w:lang w:val="it-IT"/>
        </w:rPr>
        <w:t xml:space="preserve">” rispetto </w:t>
      </w:r>
      <w:r w:rsidRPr="00833093">
        <w:rPr>
          <w:rFonts w:cs="Calibri"/>
          <w:color w:val="484848"/>
          <w:lang w:val="it-IT"/>
        </w:rPr>
        <w:t xml:space="preserve">a quanto previsto in via generale </w:t>
      </w:r>
      <w:r w:rsidR="00385E50" w:rsidRPr="00833093">
        <w:rPr>
          <w:rFonts w:cs="Calibri"/>
          <w:color w:val="484848"/>
          <w:lang w:val="it-IT"/>
        </w:rPr>
        <w:t>d</w:t>
      </w:r>
      <w:r w:rsidRPr="00833093">
        <w:rPr>
          <w:rFonts w:cs="Calibri"/>
          <w:color w:val="484848"/>
          <w:lang w:val="it-IT"/>
        </w:rPr>
        <w:t>a</w:t>
      </w:r>
      <w:r w:rsidR="00385E50" w:rsidRPr="00833093">
        <w:rPr>
          <w:rFonts w:cs="Calibri"/>
          <w:color w:val="484848"/>
          <w:lang w:val="it-IT"/>
        </w:rPr>
        <w:t xml:space="preserve">ll’art. 16 delle Preleggi e si ritiene </w:t>
      </w:r>
      <w:r w:rsidR="003443DC" w:rsidRPr="00833093">
        <w:rPr>
          <w:rFonts w:cs="Calibri"/>
          <w:color w:val="484848"/>
          <w:lang w:val="it-IT"/>
        </w:rPr>
        <w:t>pertanto</w:t>
      </w:r>
      <w:r w:rsidR="001972D4">
        <w:rPr>
          <w:rFonts w:cs="Calibri"/>
          <w:color w:val="484848"/>
          <w:lang w:val="it-IT"/>
        </w:rPr>
        <w:t xml:space="preserve"> assicurata - s</w:t>
      </w:r>
      <w:r w:rsidR="001972D4" w:rsidRPr="00833093">
        <w:rPr>
          <w:rFonts w:cs="Calibri"/>
          <w:color w:val="484848"/>
          <w:lang w:val="it-IT"/>
        </w:rPr>
        <w:t>econdo interpretazione costante ed in linea generale</w:t>
      </w:r>
      <w:r w:rsidR="001972D4">
        <w:rPr>
          <w:rFonts w:cs="Calibri"/>
          <w:color w:val="484848"/>
          <w:lang w:val="it-IT"/>
        </w:rPr>
        <w:t xml:space="preserve"> -</w:t>
      </w:r>
      <w:r w:rsidR="00385E50" w:rsidRPr="00833093">
        <w:rPr>
          <w:rFonts w:cs="Calibri"/>
          <w:color w:val="484848"/>
          <w:lang w:val="it-IT"/>
        </w:rPr>
        <w:t xml:space="preserve"> la condizione di reciprocità relativamente alle materie </w:t>
      </w:r>
      <w:r w:rsidR="001972D4">
        <w:rPr>
          <w:rFonts w:cs="Calibri"/>
          <w:color w:val="484848"/>
          <w:lang w:val="it-IT"/>
        </w:rPr>
        <w:t xml:space="preserve">in esso </w:t>
      </w:r>
      <w:r w:rsidR="00385E50" w:rsidRPr="00833093">
        <w:rPr>
          <w:rFonts w:cs="Calibri"/>
          <w:color w:val="484848"/>
          <w:lang w:val="it-IT"/>
        </w:rPr>
        <w:t xml:space="preserve">disciplinate. </w:t>
      </w:r>
    </w:p>
    <w:p w:rsidR="00620BC5" w:rsidRDefault="00385E50" w:rsidP="00385E50">
      <w:pPr>
        <w:autoSpaceDE w:val="0"/>
        <w:autoSpaceDN w:val="0"/>
        <w:adjustRightInd w:val="0"/>
        <w:spacing w:line="264" w:lineRule="auto"/>
        <w:jc w:val="both"/>
        <w:rPr>
          <w:rFonts w:cs="Calibri"/>
          <w:color w:val="484848"/>
          <w:lang w:val="it-IT"/>
        </w:rPr>
      </w:pPr>
      <w:r w:rsidRPr="00833093">
        <w:rPr>
          <w:rFonts w:cs="Calibri"/>
          <w:color w:val="484848"/>
          <w:lang w:val="it-IT"/>
        </w:rPr>
        <w:t xml:space="preserve">Ciò premesso, si riportano per completezza alcune </w:t>
      </w:r>
      <w:r w:rsidR="00620BC5">
        <w:rPr>
          <w:rFonts w:cs="Calibri"/>
          <w:color w:val="484848"/>
          <w:lang w:val="it-IT"/>
        </w:rPr>
        <w:t>precisazioni:</w:t>
      </w:r>
    </w:p>
    <w:p w:rsidR="00385E50" w:rsidRPr="00620BC5" w:rsidRDefault="00620BC5" w:rsidP="00620BC5">
      <w:pPr>
        <w:pStyle w:val="Paragrafoelenco"/>
        <w:numPr>
          <w:ilvl w:val="0"/>
          <w:numId w:val="3"/>
        </w:numPr>
        <w:autoSpaceDE w:val="0"/>
        <w:autoSpaceDN w:val="0"/>
        <w:adjustRightInd w:val="0"/>
        <w:spacing w:line="264" w:lineRule="auto"/>
        <w:jc w:val="both"/>
        <w:rPr>
          <w:rFonts w:cs="Calibri"/>
          <w:color w:val="484848"/>
          <w:lang w:val="it-IT"/>
        </w:rPr>
      </w:pPr>
      <w:r>
        <w:rPr>
          <w:rFonts w:cs="Calibri"/>
          <w:color w:val="484848"/>
          <w:lang w:val="it-IT"/>
        </w:rPr>
        <w:t>Assunzione di cariche sociali</w:t>
      </w:r>
    </w:p>
    <w:p w:rsidR="001F7FF8" w:rsidRPr="00833093" w:rsidRDefault="00385E50" w:rsidP="00385E50">
      <w:pPr>
        <w:autoSpaceDE w:val="0"/>
        <w:autoSpaceDN w:val="0"/>
        <w:adjustRightInd w:val="0"/>
        <w:spacing w:line="264" w:lineRule="auto"/>
        <w:jc w:val="both"/>
        <w:rPr>
          <w:rFonts w:cs="Calibri"/>
          <w:color w:val="484848"/>
          <w:lang w:val="it-IT"/>
        </w:rPr>
      </w:pPr>
      <w:r w:rsidRPr="00833093">
        <w:rPr>
          <w:rFonts w:cs="Calibri"/>
          <w:color w:val="484848"/>
          <w:lang w:val="it-IT"/>
        </w:rPr>
        <w:t>In linea generale, il diritto societario tunisino consente ad un cittadino straniero di assumere la carica di amministratore di una società a responsabilità limitata. L'esercizio di talune attività di servizi e attività industriali è tuttavia riservato alle società tunisine. In questi casi, una S.r.l. tunisina può avere esclusivamente un amministratore di cittadinanza tunisina</w:t>
      </w:r>
      <w:r w:rsidR="001F7FF8" w:rsidRPr="00833093">
        <w:rPr>
          <w:rFonts w:cs="Calibri"/>
          <w:color w:val="484848"/>
          <w:lang w:val="it-IT"/>
        </w:rPr>
        <w:t>.</w:t>
      </w:r>
    </w:p>
    <w:p w:rsidR="00385E50" w:rsidRDefault="00385E50" w:rsidP="00385E50">
      <w:pPr>
        <w:autoSpaceDE w:val="0"/>
        <w:autoSpaceDN w:val="0"/>
        <w:adjustRightInd w:val="0"/>
        <w:spacing w:line="264" w:lineRule="auto"/>
        <w:jc w:val="both"/>
        <w:rPr>
          <w:rFonts w:cs="Calibri"/>
          <w:color w:val="484848"/>
          <w:lang w:val="it-IT"/>
        </w:rPr>
      </w:pPr>
      <w:r w:rsidRPr="00833093">
        <w:rPr>
          <w:rFonts w:cs="Calibri"/>
          <w:color w:val="484848"/>
          <w:lang w:val="it-IT"/>
        </w:rPr>
        <w:t>L'esercizio dell'attività commerciale è invece esclusivamente riservato alle aziende tunisine, con amministratore di cittadinanza tunisina. Tuttavia, nel caso in cui una società straniera riesca ad ottenere dal Ministero del Commercio l'autorizzazione all'esercizio dell'attività commerciale, il requisito della cittadinanza tunisina dell'amministratore non è più richiesto.</w:t>
      </w:r>
    </w:p>
    <w:p w:rsidR="00620BC5" w:rsidRDefault="00620BC5" w:rsidP="00620BC5">
      <w:pPr>
        <w:pStyle w:val="Paragrafoelenco"/>
        <w:numPr>
          <w:ilvl w:val="0"/>
          <w:numId w:val="3"/>
        </w:numPr>
        <w:autoSpaceDE w:val="0"/>
        <w:autoSpaceDN w:val="0"/>
        <w:adjustRightInd w:val="0"/>
        <w:spacing w:line="264" w:lineRule="auto"/>
        <w:jc w:val="both"/>
        <w:rPr>
          <w:rFonts w:cs="Calibri"/>
          <w:color w:val="484848"/>
          <w:lang w:val="it-IT"/>
        </w:rPr>
      </w:pPr>
      <w:r>
        <w:rPr>
          <w:rFonts w:cs="Calibri"/>
          <w:color w:val="484848"/>
          <w:lang w:val="it-IT"/>
        </w:rPr>
        <w:t>Acquisto di beni immobili</w:t>
      </w:r>
    </w:p>
    <w:p w:rsidR="00620BC5" w:rsidRPr="00620BC5" w:rsidRDefault="00620BC5" w:rsidP="00620BC5">
      <w:pPr>
        <w:jc w:val="both"/>
        <w:rPr>
          <w:rFonts w:cs="Calibri"/>
          <w:color w:val="484848"/>
          <w:lang w:val="it-IT"/>
        </w:rPr>
      </w:pPr>
      <w:r>
        <w:rPr>
          <w:rFonts w:cs="Calibri"/>
          <w:color w:val="484848"/>
          <w:lang w:val="it-IT"/>
        </w:rPr>
        <w:t>U</w:t>
      </w:r>
      <w:r w:rsidRPr="00620BC5">
        <w:rPr>
          <w:rFonts w:cs="Calibri"/>
          <w:color w:val="484848"/>
          <w:lang w:val="it-IT"/>
        </w:rPr>
        <w:t xml:space="preserve">n cittadino italiano è libero di acquistare un bene immobile in Tunisia, al di fuori dei beni a vocazione agricola. Egli è </w:t>
      </w:r>
      <w:r>
        <w:rPr>
          <w:rFonts w:cs="Calibri"/>
          <w:color w:val="484848"/>
          <w:lang w:val="it-IT"/>
        </w:rPr>
        <w:t>tuttavia</w:t>
      </w:r>
      <w:r w:rsidRPr="00620BC5">
        <w:rPr>
          <w:rFonts w:cs="Calibri"/>
          <w:color w:val="484848"/>
          <w:lang w:val="it-IT"/>
        </w:rPr>
        <w:t xml:space="preserve"> soggetto all'autorizzazione del governatore e, nel caso in cui non fosse residente in Tunisia, anche all'autorizzazione della banca centrale. L'iter da seguire consiste in una promessa di vendita, ottenimento dell'autorizzazione del governatore, firma del contatto di vendita, ottenimento dell'autorizzazione della banca centrale prima di depositare il fascicolo al catasto. </w:t>
      </w:r>
    </w:p>
    <w:p w:rsidR="00620BC5" w:rsidRPr="00620BC5" w:rsidRDefault="00620BC5" w:rsidP="00620BC5">
      <w:pPr>
        <w:autoSpaceDE w:val="0"/>
        <w:autoSpaceDN w:val="0"/>
        <w:adjustRightInd w:val="0"/>
        <w:spacing w:line="264" w:lineRule="auto"/>
        <w:jc w:val="both"/>
        <w:rPr>
          <w:rFonts w:cs="Calibri"/>
          <w:color w:val="484848"/>
          <w:lang w:val="it-IT"/>
        </w:rPr>
      </w:pPr>
      <w:r w:rsidRPr="00620BC5">
        <w:rPr>
          <w:rFonts w:cs="Calibri"/>
          <w:color w:val="484848"/>
          <w:lang w:val="it-IT"/>
        </w:rPr>
        <w:t xml:space="preserve">L'eccezione concerne i beni che si trovano nelle zone industriali o turistiche attrezzate e destinate all'investimento: in questo caso </w:t>
      </w:r>
      <w:r>
        <w:rPr>
          <w:rFonts w:cs="Calibri"/>
          <w:color w:val="484848"/>
          <w:lang w:val="it-IT"/>
        </w:rPr>
        <w:t>non è richiesta</w:t>
      </w:r>
      <w:r w:rsidRPr="00620BC5">
        <w:rPr>
          <w:rFonts w:cs="Calibri"/>
          <w:color w:val="484848"/>
          <w:lang w:val="it-IT"/>
        </w:rPr>
        <w:t xml:space="preserve"> alcuna preventiva autorizzazione</w:t>
      </w:r>
      <w:r>
        <w:rPr>
          <w:rFonts w:cs="Calibri"/>
          <w:color w:val="484848"/>
          <w:lang w:val="it-IT"/>
        </w:rPr>
        <w:t xml:space="preserve"> alla vendita</w:t>
      </w:r>
      <w:bookmarkStart w:id="0" w:name="_GoBack"/>
      <w:bookmarkEnd w:id="0"/>
      <w:r w:rsidRPr="00620BC5">
        <w:rPr>
          <w:rFonts w:eastAsia="Times New Roman"/>
        </w:rPr>
        <w:t>.</w:t>
      </w:r>
    </w:p>
    <w:p w:rsidR="00385E50" w:rsidRPr="00833093" w:rsidRDefault="00385E50" w:rsidP="00385E50">
      <w:pPr>
        <w:autoSpaceDE w:val="0"/>
        <w:autoSpaceDN w:val="0"/>
        <w:adjustRightInd w:val="0"/>
        <w:spacing w:before="40" w:after="40" w:line="240" w:lineRule="auto"/>
        <w:jc w:val="both"/>
        <w:rPr>
          <w:rFonts w:cs="Calibri"/>
          <w:color w:val="484848"/>
          <w:lang w:val="it-IT"/>
        </w:rPr>
      </w:pPr>
      <w:r w:rsidRPr="00833093">
        <w:rPr>
          <w:rFonts w:cs="Calibri"/>
          <w:color w:val="484848"/>
          <w:lang w:val="it-IT"/>
        </w:rPr>
        <w:t xml:space="preserve">ACCORDI </w:t>
      </w:r>
      <w:r w:rsidR="00E67B28" w:rsidRPr="00833093">
        <w:rPr>
          <w:rFonts w:cs="Calibri"/>
          <w:color w:val="484848"/>
          <w:lang w:val="it-IT"/>
        </w:rPr>
        <w:t xml:space="preserve">BILATERALI </w:t>
      </w:r>
      <w:r w:rsidRPr="00833093">
        <w:rPr>
          <w:rFonts w:cs="Calibri"/>
          <w:color w:val="484848"/>
          <w:lang w:val="it-IT"/>
        </w:rPr>
        <w:t>IN VIGORE:</w:t>
      </w:r>
    </w:p>
    <w:p w:rsidR="00385E50" w:rsidRPr="00833093" w:rsidRDefault="00385E50" w:rsidP="00385E50">
      <w:pPr>
        <w:numPr>
          <w:ilvl w:val="0"/>
          <w:numId w:val="1"/>
        </w:numPr>
        <w:autoSpaceDE w:val="0"/>
        <w:autoSpaceDN w:val="0"/>
        <w:adjustRightInd w:val="0"/>
        <w:spacing w:before="40" w:after="40" w:line="240" w:lineRule="auto"/>
        <w:ind w:left="720"/>
        <w:jc w:val="both"/>
        <w:rPr>
          <w:rFonts w:cs="Calibri"/>
          <w:color w:val="484848"/>
          <w:lang w:val="it-IT"/>
        </w:rPr>
      </w:pPr>
      <w:r w:rsidRPr="00833093">
        <w:rPr>
          <w:rFonts w:cs="Calibri"/>
          <w:color w:val="484848"/>
          <w:lang w:val="it-IT"/>
        </w:rPr>
        <w:t>ACCORDO PER LA PROMOZIONE E LA PROTEZIONE RECIPROCA DEGLI INVESTIMENTI, CON DUE SCAMBI DI LETTERE (firmato a Roma il 17.10.1985, in vigore dal 24.6.1989)</w:t>
      </w:r>
    </w:p>
    <w:p w:rsidR="00385E50" w:rsidRPr="00833093" w:rsidRDefault="00FC4019" w:rsidP="00385E50">
      <w:pPr>
        <w:autoSpaceDE w:val="0"/>
        <w:autoSpaceDN w:val="0"/>
        <w:adjustRightInd w:val="0"/>
        <w:spacing w:before="40" w:after="40" w:line="240" w:lineRule="auto"/>
        <w:ind w:left="360"/>
        <w:jc w:val="both"/>
        <w:rPr>
          <w:rFonts w:cs="Calibri"/>
          <w:color w:val="484848"/>
          <w:lang w:val="it-IT"/>
        </w:rPr>
      </w:pPr>
      <w:hyperlink r:id="rId7" w:history="1">
        <w:r w:rsidR="00385E50" w:rsidRPr="00833093">
          <w:rPr>
            <w:rFonts w:cs="Calibri"/>
            <w:color w:val="484848"/>
            <w:lang w:val="it-IT"/>
          </w:rPr>
          <w:t>http://atrio.esteri.it/Ricerca_Documenti/wfrmRicerca_Documenti.aspx</w:t>
        </w:r>
      </w:hyperlink>
    </w:p>
    <w:p w:rsidR="00385E50" w:rsidRPr="00833093" w:rsidRDefault="00385E50" w:rsidP="00385E50">
      <w:pPr>
        <w:numPr>
          <w:ilvl w:val="0"/>
          <w:numId w:val="1"/>
        </w:numPr>
        <w:autoSpaceDE w:val="0"/>
        <w:autoSpaceDN w:val="0"/>
        <w:adjustRightInd w:val="0"/>
        <w:spacing w:before="40" w:after="40" w:line="240" w:lineRule="auto"/>
        <w:ind w:left="720"/>
        <w:jc w:val="both"/>
        <w:rPr>
          <w:rFonts w:cs="Calibri"/>
          <w:color w:val="484848"/>
          <w:lang w:val="it-IT"/>
        </w:rPr>
      </w:pPr>
      <w:r w:rsidRPr="00833093">
        <w:rPr>
          <w:rFonts w:cs="Calibri"/>
          <w:color w:val="484848"/>
          <w:lang w:val="it-IT"/>
        </w:rPr>
        <w:t>CONVENZIONE RELATIVA ALL'ASSISTENZA GIUDIZIARIA IN MATERIA CIVILE, COMMERCIALE E PENALE, AL RICONOSCIMENTO E ALL'ESECUZIONE DELLE SENTENZE E DELLE DECISIONI ARBITRALI E ALL'ESTRADIZIONE (firmata a Roma il 15.11.1967, in vigore dal 19.4.1972)</w:t>
      </w:r>
    </w:p>
    <w:p w:rsidR="00385E50" w:rsidRPr="00833093" w:rsidRDefault="00FC4019" w:rsidP="00385E50">
      <w:pPr>
        <w:autoSpaceDE w:val="0"/>
        <w:autoSpaceDN w:val="0"/>
        <w:adjustRightInd w:val="0"/>
        <w:spacing w:before="40" w:after="40" w:line="240" w:lineRule="auto"/>
        <w:ind w:left="360"/>
        <w:jc w:val="both"/>
        <w:rPr>
          <w:rFonts w:cs="Calibri"/>
          <w:color w:val="484848"/>
          <w:lang w:val="it-IT"/>
        </w:rPr>
      </w:pPr>
      <w:hyperlink r:id="rId8" w:history="1">
        <w:r w:rsidR="00385E50" w:rsidRPr="00833093">
          <w:rPr>
            <w:rFonts w:cs="Calibri"/>
            <w:color w:val="484848"/>
            <w:lang w:val="it-IT"/>
          </w:rPr>
          <w:t>http://atrio.esteri.it/Ricerca_Documenti/wfrmRicerca_Documenti.aspx</w:t>
        </w:r>
      </w:hyperlink>
    </w:p>
    <w:p w:rsidR="00385E50" w:rsidRPr="00833093" w:rsidRDefault="00385E50" w:rsidP="00385E50">
      <w:pPr>
        <w:numPr>
          <w:ilvl w:val="0"/>
          <w:numId w:val="1"/>
        </w:numPr>
        <w:autoSpaceDE w:val="0"/>
        <w:autoSpaceDN w:val="0"/>
        <w:adjustRightInd w:val="0"/>
        <w:spacing w:before="40" w:after="40" w:line="240" w:lineRule="auto"/>
        <w:ind w:left="720"/>
        <w:jc w:val="both"/>
        <w:rPr>
          <w:rFonts w:cs="Calibri"/>
          <w:color w:val="484848"/>
          <w:lang w:val="it-IT"/>
        </w:rPr>
      </w:pPr>
      <w:r w:rsidRPr="00833093">
        <w:rPr>
          <w:rFonts w:cs="Calibri"/>
          <w:color w:val="484848"/>
          <w:lang w:val="it-IT"/>
        </w:rPr>
        <w:t>CONVENZIONE PER EVITARE LE DOPPIE IMPOSIZIONI IN MATERIA DI IMPOSTE SUL REDDITO E PER PREVENIRE LE EVASIONI FISCALI, CON PROTOCOLLO AGGIUNTIVO (firmata a Tunisi il 16.5.1979, in vigore dal 17.9.1981)</w:t>
      </w:r>
    </w:p>
    <w:p w:rsidR="00385E50" w:rsidRPr="00833093" w:rsidRDefault="00FC4019" w:rsidP="00385E50">
      <w:pPr>
        <w:autoSpaceDE w:val="0"/>
        <w:autoSpaceDN w:val="0"/>
        <w:adjustRightInd w:val="0"/>
        <w:spacing w:before="40" w:after="40" w:line="240" w:lineRule="auto"/>
        <w:ind w:left="360"/>
        <w:jc w:val="both"/>
        <w:rPr>
          <w:rFonts w:cs="Calibri"/>
          <w:color w:val="484848"/>
          <w:lang w:val="it-IT"/>
        </w:rPr>
      </w:pPr>
      <w:hyperlink r:id="rId9" w:history="1">
        <w:r w:rsidR="00385E50" w:rsidRPr="00833093">
          <w:rPr>
            <w:rFonts w:cs="Calibri"/>
            <w:color w:val="484848"/>
            <w:lang w:val="it-IT"/>
          </w:rPr>
          <w:t>http://atrio.esteri.it/Ricerca_Documenti/wfrmRicerca_Documenti.aspx</w:t>
        </w:r>
      </w:hyperlink>
    </w:p>
    <w:p w:rsidR="00385E50" w:rsidRPr="00833093" w:rsidRDefault="00385E50" w:rsidP="00385E50">
      <w:pPr>
        <w:numPr>
          <w:ilvl w:val="0"/>
          <w:numId w:val="1"/>
        </w:numPr>
        <w:autoSpaceDE w:val="0"/>
        <w:autoSpaceDN w:val="0"/>
        <w:adjustRightInd w:val="0"/>
        <w:spacing w:before="40" w:after="40" w:line="240" w:lineRule="auto"/>
        <w:ind w:left="720"/>
        <w:jc w:val="both"/>
        <w:rPr>
          <w:rFonts w:cs="Calibri"/>
          <w:color w:val="484848"/>
          <w:lang w:val="it-IT"/>
        </w:rPr>
      </w:pPr>
      <w:r w:rsidRPr="00833093">
        <w:rPr>
          <w:rFonts w:cs="Calibri"/>
          <w:color w:val="484848"/>
          <w:lang w:val="it-IT"/>
        </w:rPr>
        <w:t>PROTOCOLLO DI MODIFICA ALLE CONDIZIONI E MODALITA' DI CONCESSIONE DELLA LINEA DI CREDITO PER IL PARTENARIATO TUNISINO-ITALIANO E LE PICCOLE E MEDIE IMPRESE TUNISINE (firmato a Tunisi il 05.4.2001, in vigore dall'11.4.2002)</w:t>
      </w:r>
    </w:p>
    <w:p w:rsidR="00385E50" w:rsidRPr="00833093" w:rsidRDefault="00FC4019" w:rsidP="00385E50">
      <w:pPr>
        <w:autoSpaceDE w:val="0"/>
        <w:autoSpaceDN w:val="0"/>
        <w:adjustRightInd w:val="0"/>
        <w:spacing w:before="40" w:after="40" w:line="240" w:lineRule="auto"/>
        <w:ind w:left="360"/>
        <w:jc w:val="both"/>
        <w:rPr>
          <w:rFonts w:cs="Calibri"/>
          <w:color w:val="484848"/>
          <w:lang w:val="it-IT"/>
        </w:rPr>
      </w:pPr>
      <w:hyperlink r:id="rId10" w:history="1">
        <w:r w:rsidR="00385E50" w:rsidRPr="00833093">
          <w:rPr>
            <w:rFonts w:cs="Calibri"/>
            <w:color w:val="484848"/>
            <w:lang w:val="it-IT"/>
          </w:rPr>
          <w:t>http://atrio.esteri.it/Ricerca_Documenti/wfrmRicerca_Documenti.aspx</w:t>
        </w:r>
      </w:hyperlink>
    </w:p>
    <w:p w:rsidR="00B56B20" w:rsidRPr="00833093" w:rsidRDefault="00B56B20" w:rsidP="00385E50">
      <w:pPr>
        <w:rPr>
          <w:rFonts w:cs="Calibri"/>
          <w:color w:val="484848"/>
          <w:lang w:val="it-IT"/>
        </w:rPr>
      </w:pPr>
    </w:p>
    <w:sectPr w:rsidR="00B56B20" w:rsidRPr="00833093" w:rsidSect="00D9790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19" w:rsidRDefault="00FC4019" w:rsidP="009D2CF7">
      <w:pPr>
        <w:spacing w:after="0" w:line="240" w:lineRule="auto"/>
      </w:pPr>
      <w:r>
        <w:separator/>
      </w:r>
    </w:p>
  </w:endnote>
  <w:endnote w:type="continuationSeparator" w:id="0">
    <w:p w:rsidR="00FC4019" w:rsidRDefault="00FC4019" w:rsidP="009D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19" w:rsidRDefault="00FC4019" w:rsidP="009D2CF7">
      <w:pPr>
        <w:spacing w:after="0" w:line="240" w:lineRule="auto"/>
      </w:pPr>
      <w:r>
        <w:separator/>
      </w:r>
    </w:p>
  </w:footnote>
  <w:footnote w:type="continuationSeparator" w:id="0">
    <w:p w:rsidR="00FC4019" w:rsidRDefault="00FC4019" w:rsidP="009D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abstractNum w:abstractNumId="1" w15:restartNumberingAfterBreak="0">
    <w:nsid w:val="59F67465"/>
    <w:multiLevelType w:val="hybridMultilevel"/>
    <w:tmpl w:val="72848C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538AF"/>
    <w:rsid w:val="000112D0"/>
    <w:rsid w:val="00050B57"/>
    <w:rsid w:val="00064E74"/>
    <w:rsid w:val="00071C9D"/>
    <w:rsid w:val="00072227"/>
    <w:rsid w:val="00080F35"/>
    <w:rsid w:val="0008349D"/>
    <w:rsid w:val="000A5623"/>
    <w:rsid w:val="000F51E0"/>
    <w:rsid w:val="000F64C3"/>
    <w:rsid w:val="00132672"/>
    <w:rsid w:val="00173546"/>
    <w:rsid w:val="001811A7"/>
    <w:rsid w:val="00191310"/>
    <w:rsid w:val="001972D4"/>
    <w:rsid w:val="001B4F24"/>
    <w:rsid w:val="001B5821"/>
    <w:rsid w:val="001B6FA3"/>
    <w:rsid w:val="001C10ED"/>
    <w:rsid w:val="001C364C"/>
    <w:rsid w:val="001C7150"/>
    <w:rsid w:val="001E2046"/>
    <w:rsid w:val="001F7FF8"/>
    <w:rsid w:val="0020258B"/>
    <w:rsid w:val="00210B9D"/>
    <w:rsid w:val="00222E80"/>
    <w:rsid w:val="00241A19"/>
    <w:rsid w:val="002560CC"/>
    <w:rsid w:val="00273C0B"/>
    <w:rsid w:val="002766C5"/>
    <w:rsid w:val="002B4982"/>
    <w:rsid w:val="002D296B"/>
    <w:rsid w:val="00317C17"/>
    <w:rsid w:val="003443DC"/>
    <w:rsid w:val="00354A8F"/>
    <w:rsid w:val="00385E50"/>
    <w:rsid w:val="0039085D"/>
    <w:rsid w:val="00393E4A"/>
    <w:rsid w:val="003A3A74"/>
    <w:rsid w:val="003C1AE5"/>
    <w:rsid w:val="003F75F8"/>
    <w:rsid w:val="00410313"/>
    <w:rsid w:val="00412BF4"/>
    <w:rsid w:val="0045114A"/>
    <w:rsid w:val="00467FAA"/>
    <w:rsid w:val="004A0482"/>
    <w:rsid w:val="004A15B0"/>
    <w:rsid w:val="004C2291"/>
    <w:rsid w:val="004D0C4C"/>
    <w:rsid w:val="004F346F"/>
    <w:rsid w:val="00533817"/>
    <w:rsid w:val="00541ED1"/>
    <w:rsid w:val="00557A7E"/>
    <w:rsid w:val="005603A8"/>
    <w:rsid w:val="00561A7F"/>
    <w:rsid w:val="00564419"/>
    <w:rsid w:val="00590B18"/>
    <w:rsid w:val="0059215C"/>
    <w:rsid w:val="005B572F"/>
    <w:rsid w:val="005C6AF1"/>
    <w:rsid w:val="005D3BCC"/>
    <w:rsid w:val="005E177C"/>
    <w:rsid w:val="005E2517"/>
    <w:rsid w:val="005F1A5A"/>
    <w:rsid w:val="00620BC5"/>
    <w:rsid w:val="00656863"/>
    <w:rsid w:val="006B37FF"/>
    <w:rsid w:val="006C2B42"/>
    <w:rsid w:val="006C469F"/>
    <w:rsid w:val="006D1645"/>
    <w:rsid w:val="006D4362"/>
    <w:rsid w:val="00703D78"/>
    <w:rsid w:val="007076B9"/>
    <w:rsid w:val="00715F04"/>
    <w:rsid w:val="00720D14"/>
    <w:rsid w:val="0072340A"/>
    <w:rsid w:val="007538AF"/>
    <w:rsid w:val="0076443B"/>
    <w:rsid w:val="00766543"/>
    <w:rsid w:val="00777D35"/>
    <w:rsid w:val="007E77B7"/>
    <w:rsid w:val="007F0EA5"/>
    <w:rsid w:val="00804E1A"/>
    <w:rsid w:val="008166EE"/>
    <w:rsid w:val="00816D96"/>
    <w:rsid w:val="008203CC"/>
    <w:rsid w:val="00822D18"/>
    <w:rsid w:val="008248FD"/>
    <w:rsid w:val="00833093"/>
    <w:rsid w:val="008572B0"/>
    <w:rsid w:val="008640C7"/>
    <w:rsid w:val="008755AB"/>
    <w:rsid w:val="00876B65"/>
    <w:rsid w:val="00891498"/>
    <w:rsid w:val="008C39DC"/>
    <w:rsid w:val="008F0117"/>
    <w:rsid w:val="008F0B74"/>
    <w:rsid w:val="008F4BFA"/>
    <w:rsid w:val="008F7AB2"/>
    <w:rsid w:val="009122EE"/>
    <w:rsid w:val="009209CE"/>
    <w:rsid w:val="009553BF"/>
    <w:rsid w:val="00960950"/>
    <w:rsid w:val="0097633B"/>
    <w:rsid w:val="00994435"/>
    <w:rsid w:val="009C3827"/>
    <w:rsid w:val="009C6DCA"/>
    <w:rsid w:val="009D2CF7"/>
    <w:rsid w:val="00A0435D"/>
    <w:rsid w:val="00A13D21"/>
    <w:rsid w:val="00A24E42"/>
    <w:rsid w:val="00A357A1"/>
    <w:rsid w:val="00A410BC"/>
    <w:rsid w:val="00A44750"/>
    <w:rsid w:val="00A4529A"/>
    <w:rsid w:val="00A53273"/>
    <w:rsid w:val="00A53B2E"/>
    <w:rsid w:val="00A66B67"/>
    <w:rsid w:val="00A677C3"/>
    <w:rsid w:val="00A752A9"/>
    <w:rsid w:val="00A92E64"/>
    <w:rsid w:val="00A95A86"/>
    <w:rsid w:val="00AA225E"/>
    <w:rsid w:val="00AC0C55"/>
    <w:rsid w:val="00B30752"/>
    <w:rsid w:val="00B56B20"/>
    <w:rsid w:val="00B75AF2"/>
    <w:rsid w:val="00B8476E"/>
    <w:rsid w:val="00B865CE"/>
    <w:rsid w:val="00B96BE3"/>
    <w:rsid w:val="00B97155"/>
    <w:rsid w:val="00BA2C7A"/>
    <w:rsid w:val="00BA68A7"/>
    <w:rsid w:val="00BF4E7F"/>
    <w:rsid w:val="00C15593"/>
    <w:rsid w:val="00C33395"/>
    <w:rsid w:val="00C537B0"/>
    <w:rsid w:val="00C64278"/>
    <w:rsid w:val="00C72E3C"/>
    <w:rsid w:val="00C77B45"/>
    <w:rsid w:val="00C804B3"/>
    <w:rsid w:val="00C80FDD"/>
    <w:rsid w:val="00CB00D8"/>
    <w:rsid w:val="00CC4B0C"/>
    <w:rsid w:val="00D0390D"/>
    <w:rsid w:val="00D5025F"/>
    <w:rsid w:val="00D61262"/>
    <w:rsid w:val="00D713F1"/>
    <w:rsid w:val="00D84F4A"/>
    <w:rsid w:val="00D95E64"/>
    <w:rsid w:val="00D9790A"/>
    <w:rsid w:val="00DA5793"/>
    <w:rsid w:val="00DB5485"/>
    <w:rsid w:val="00DC13CC"/>
    <w:rsid w:val="00DD0187"/>
    <w:rsid w:val="00DD7C9B"/>
    <w:rsid w:val="00DE3BD6"/>
    <w:rsid w:val="00E06170"/>
    <w:rsid w:val="00E15F10"/>
    <w:rsid w:val="00E25619"/>
    <w:rsid w:val="00E26323"/>
    <w:rsid w:val="00E37E43"/>
    <w:rsid w:val="00E45261"/>
    <w:rsid w:val="00E470FD"/>
    <w:rsid w:val="00E62320"/>
    <w:rsid w:val="00E63A13"/>
    <w:rsid w:val="00E67B28"/>
    <w:rsid w:val="00E81A05"/>
    <w:rsid w:val="00E92369"/>
    <w:rsid w:val="00EF5A9D"/>
    <w:rsid w:val="00F12538"/>
    <w:rsid w:val="00F426AE"/>
    <w:rsid w:val="00F55BB0"/>
    <w:rsid w:val="00F67FCE"/>
    <w:rsid w:val="00F93AA3"/>
    <w:rsid w:val="00FC122B"/>
    <w:rsid w:val="00FC4019"/>
    <w:rsid w:val="00FD49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7DA6"/>
  <w15:docId w15:val="{BB91C831-6C42-461A-B58D-56C20C05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4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rio.esteri.it/Ricerca_Documenti/wfrmRicerca_Documenti.aspx" TargetMode="External"/><Relationship Id="rId3" Type="http://schemas.openxmlformats.org/officeDocument/2006/relationships/settings" Target="settings.xml"/><Relationship Id="rId7" Type="http://schemas.openxmlformats.org/officeDocument/2006/relationships/hyperlink" Target="http://atrio.esteri.it/Ricerca_Documenti/wfrmRicerca_Documenti.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trio.esteri.it/Ricerca_Documenti/wfrmRicerca_Documenti.aspx" TargetMode="External"/><Relationship Id="rId4" Type="http://schemas.openxmlformats.org/officeDocument/2006/relationships/webSettings" Target="webSettings.xml"/><Relationship Id="rId9" Type="http://schemas.openxmlformats.org/officeDocument/2006/relationships/hyperlink" Target="http://atrio.esteri.it/Ricerca_Documenti/wfrmRicerca_Documenti.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3602</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Avagliano Roberta</cp:lastModifiedBy>
  <cp:revision>5</cp:revision>
  <dcterms:created xsi:type="dcterms:W3CDTF">2020-06-04T12:40:00Z</dcterms:created>
  <dcterms:modified xsi:type="dcterms:W3CDTF">2022-01-25T10:16:00Z</dcterms:modified>
</cp:coreProperties>
</file>