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0D" w:rsidRDefault="009E0A0D" w:rsidP="00205F8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bookmarkEnd w:id="0"/>
    </w:p>
    <w:p w:rsidR="00205F8F" w:rsidRPr="00100314" w:rsidRDefault="00205F8F" w:rsidP="00205F8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UCRAINA</w:t>
      </w:r>
    </w:p>
    <w:p w:rsidR="00205F8F" w:rsidRPr="00100314" w:rsidRDefault="00205F8F" w:rsidP="00205F8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205F8F" w:rsidRPr="00A47DBC" w:rsidRDefault="00205F8F" w:rsidP="00205F8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highlight w:val="white"/>
          <w:lang w:val="it-IT"/>
        </w:rPr>
      </w:pPr>
      <w:r w:rsidRPr="00A47DBC">
        <w:rPr>
          <w:rFonts w:cs="Calibri"/>
          <w:b/>
          <w:highlight w:val="white"/>
          <w:lang w:val="it-IT"/>
        </w:rPr>
        <w:t xml:space="preserve">ACQUISTO </w:t>
      </w:r>
      <w:r w:rsidR="00806E4C">
        <w:rPr>
          <w:rFonts w:cs="Calibri"/>
          <w:b/>
          <w:highlight w:val="white"/>
          <w:lang w:val="it-IT"/>
        </w:rPr>
        <w:t xml:space="preserve">DI </w:t>
      </w:r>
      <w:r w:rsidRPr="00A47DBC">
        <w:rPr>
          <w:rFonts w:cs="Calibri"/>
          <w:b/>
          <w:highlight w:val="white"/>
          <w:lang w:val="it-IT"/>
        </w:rPr>
        <w:t xml:space="preserve">IMMOBILI AD USO </w:t>
      </w:r>
      <w:r w:rsidR="00A47DBC">
        <w:rPr>
          <w:rFonts w:cs="Calibri"/>
          <w:b/>
          <w:highlight w:val="white"/>
          <w:lang w:val="it-IT"/>
        </w:rPr>
        <w:t>RESIDENZIALE</w:t>
      </w:r>
      <w:r w:rsidRPr="00A47DBC">
        <w:rPr>
          <w:rFonts w:cs="Calibri"/>
          <w:b/>
          <w:highlight w:val="white"/>
          <w:lang w:val="it-IT"/>
        </w:rPr>
        <w:t xml:space="preserve"> E COMMERCIALE</w:t>
      </w:r>
    </w:p>
    <w:p w:rsidR="00205F8F" w:rsidRPr="00100314" w:rsidRDefault="00205F8F" w:rsidP="00205F8F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I</w:t>
      </w:r>
      <w:r w:rsidRPr="00100314">
        <w:rPr>
          <w:rFonts w:cs="Calibri"/>
          <w:lang w:val="it-IT"/>
        </w:rPr>
        <w:t xml:space="preserve">n </w:t>
      </w:r>
      <w:r w:rsidRPr="00100314">
        <w:rPr>
          <w:rFonts w:cs="Calibri"/>
          <w:highlight w:val="white"/>
          <w:lang w:val="it-IT"/>
        </w:rPr>
        <w:t xml:space="preserve">Ucraina non </w:t>
      </w:r>
      <w:r w:rsidR="00A47DBC">
        <w:rPr>
          <w:rFonts w:cs="Calibri"/>
          <w:highlight w:val="white"/>
          <w:lang w:val="it-IT"/>
        </w:rPr>
        <w:t>vi sono</w:t>
      </w:r>
      <w:r w:rsidRPr="00100314">
        <w:rPr>
          <w:rFonts w:cs="Calibri"/>
          <w:highlight w:val="white"/>
          <w:lang w:val="it-IT"/>
        </w:rPr>
        <w:t xml:space="preserve"> limitazioni </w:t>
      </w:r>
      <w:r w:rsidR="00A07E58">
        <w:rPr>
          <w:rFonts w:cs="Calibri"/>
          <w:highlight w:val="white"/>
          <w:lang w:val="it-IT"/>
        </w:rPr>
        <w:t>a</w:t>
      </w:r>
      <w:r w:rsidRPr="00100314">
        <w:rPr>
          <w:rFonts w:cs="Calibri"/>
          <w:highlight w:val="white"/>
          <w:lang w:val="it-IT"/>
        </w:rPr>
        <w:t xml:space="preserve">ll'acquisto di </w:t>
      </w:r>
      <w:r w:rsidR="00747E77">
        <w:rPr>
          <w:rFonts w:cs="Calibri"/>
          <w:highlight w:val="white"/>
          <w:lang w:val="it-IT"/>
        </w:rPr>
        <w:t>immobili</w:t>
      </w:r>
      <w:r w:rsidR="00806E4C">
        <w:rPr>
          <w:rFonts w:cs="Calibri"/>
          <w:highlight w:val="white"/>
          <w:lang w:val="it-IT"/>
        </w:rPr>
        <w:t xml:space="preserve"> </w:t>
      </w:r>
      <w:r w:rsidR="00A47DBC">
        <w:rPr>
          <w:rFonts w:cs="Calibri"/>
          <w:highlight w:val="white"/>
          <w:lang w:val="it-IT"/>
        </w:rPr>
        <w:t>ad uso residenziale</w:t>
      </w:r>
      <w:r w:rsidRPr="00100314">
        <w:rPr>
          <w:rFonts w:cs="Calibri"/>
          <w:highlight w:val="white"/>
          <w:lang w:val="it-IT"/>
        </w:rPr>
        <w:t xml:space="preserve"> e commerciale</w:t>
      </w:r>
      <w:r w:rsidR="00A47DBC">
        <w:rPr>
          <w:rFonts w:cs="Calibri"/>
          <w:highlight w:val="white"/>
          <w:lang w:val="it-IT"/>
        </w:rPr>
        <w:t xml:space="preserve"> da parte di non residenti</w:t>
      </w:r>
      <w:r w:rsidRPr="00100314">
        <w:rPr>
          <w:rFonts w:cs="Calibri"/>
          <w:highlight w:val="white"/>
          <w:lang w:val="it-IT"/>
        </w:rPr>
        <w:t>.</w:t>
      </w:r>
    </w:p>
    <w:p w:rsidR="00205F8F" w:rsidRPr="00A47DBC" w:rsidRDefault="00205F8F" w:rsidP="00205F8F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b/>
          <w:highlight w:val="white"/>
          <w:lang w:val="it-IT"/>
        </w:rPr>
      </w:pPr>
      <w:r w:rsidRPr="00A47DBC">
        <w:rPr>
          <w:rFonts w:cs="Calibri"/>
          <w:b/>
          <w:highlight w:val="white"/>
          <w:lang w:val="it-IT"/>
        </w:rPr>
        <w:t xml:space="preserve">ACQUISTO </w:t>
      </w:r>
      <w:r w:rsidR="00806E4C">
        <w:rPr>
          <w:rFonts w:cs="Calibri"/>
          <w:b/>
          <w:highlight w:val="white"/>
          <w:lang w:val="it-IT"/>
        </w:rPr>
        <w:t xml:space="preserve">DI </w:t>
      </w:r>
      <w:r w:rsidRPr="00A47DBC">
        <w:rPr>
          <w:rFonts w:cs="Calibri"/>
          <w:b/>
          <w:highlight w:val="white"/>
          <w:lang w:val="it-IT"/>
        </w:rPr>
        <w:t>TERRENI</w:t>
      </w:r>
    </w:p>
    <w:p w:rsidR="00205F8F" w:rsidRPr="00F05684" w:rsidRDefault="00806E4C" w:rsidP="00205F8F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L</w:t>
      </w:r>
      <w:r w:rsidR="00205F8F" w:rsidRPr="006C3FF2">
        <w:rPr>
          <w:rFonts w:cs="Calibri"/>
          <w:lang w:val="it-IT"/>
        </w:rPr>
        <w:t>'acquisto di terreni da parte di stra</w:t>
      </w:r>
      <w:r w:rsidR="001F2D63">
        <w:rPr>
          <w:rFonts w:cs="Calibri"/>
          <w:lang w:val="it-IT"/>
        </w:rPr>
        <w:t xml:space="preserve">nieri è ammesso solo per i terreni </w:t>
      </w:r>
      <w:r w:rsidR="00205F8F" w:rsidRPr="006C3FF2">
        <w:rPr>
          <w:rFonts w:cs="Calibri"/>
          <w:lang w:val="it-IT"/>
        </w:rPr>
        <w:t>con destinazione d'uso non agricol</w:t>
      </w:r>
      <w:r w:rsidR="0097054C">
        <w:rPr>
          <w:rFonts w:cs="Calibri"/>
          <w:lang w:val="it-IT"/>
        </w:rPr>
        <w:t>a</w:t>
      </w:r>
      <w:r w:rsidR="00205F8F" w:rsidRPr="006C3FF2">
        <w:rPr>
          <w:rFonts w:cs="Calibri"/>
          <w:lang w:val="it-IT"/>
        </w:rPr>
        <w:t xml:space="preserve"> e purché ubicati in area urbana, in </w:t>
      </w:r>
      <w:r w:rsidR="00205F8F" w:rsidRPr="00100314">
        <w:rPr>
          <w:rFonts w:cs="Calibri"/>
          <w:highlight w:val="white"/>
          <w:lang w:val="it-IT"/>
        </w:rPr>
        <w:t xml:space="preserve">base al combinato disposto della Parte II dell'art. 374 del Codice Civile dell'Ucraina e dell'art.81 del Codice </w:t>
      </w:r>
      <w:r w:rsidR="007D29BB">
        <w:rPr>
          <w:rFonts w:cs="Calibri"/>
          <w:highlight w:val="white"/>
          <w:lang w:val="it-IT"/>
        </w:rPr>
        <w:t>Fondiariodell’Ucraina</w:t>
      </w:r>
      <w:r w:rsidR="00205F8F" w:rsidRPr="00100314">
        <w:rPr>
          <w:rFonts w:cs="Calibri"/>
          <w:highlight w:val="white"/>
          <w:lang w:val="it-IT"/>
        </w:rPr>
        <w:t>. Gli stranieri possono acquistare terreni con</w:t>
      </w:r>
      <w:r w:rsidR="0097054C">
        <w:rPr>
          <w:rFonts w:cs="Calibri"/>
          <w:highlight w:val="white"/>
          <w:lang w:val="it-IT"/>
        </w:rPr>
        <w:t xml:space="preserve"> destinazione d'uso non agricola</w:t>
      </w:r>
      <w:r w:rsidR="00205F8F" w:rsidRPr="00100314">
        <w:rPr>
          <w:rFonts w:cs="Calibri"/>
          <w:highlight w:val="white"/>
          <w:lang w:val="it-IT"/>
        </w:rPr>
        <w:t xml:space="preserve"> ubicati al di fuori di un'area urbana solo se su di essi insistono capannoni o abitazioni di loro proprietà, ma non possono acquistare terreni ad esclusivo uso agricolo, limitazione che, tuttavia, vale anche per i cittadini ucraini in base ad una norma transitoria, che vieta la compravendita di terreni agricoli; tale disciplina risulta da un complesso di norme di rango costituzionale e di rango ordinario (Codice Fondiario, Legge sul Catasto dei Terreni, Codice civile, Codice dell'Economia, Codice Fiscale, Legge sulla Registrazione Statale dei Diritti di Proprietà Immobiliare e Loro Vincoli, Legge sulla Valutazione della T</w:t>
      </w:r>
      <w:r w:rsidR="007D29BB">
        <w:rPr>
          <w:rFonts w:cs="Calibri"/>
          <w:highlight w:val="white"/>
          <w:lang w:val="it-IT"/>
        </w:rPr>
        <w:t>erra, Legge sull'Affitto della T</w:t>
      </w:r>
      <w:r w:rsidR="00205F8F" w:rsidRPr="00100314">
        <w:rPr>
          <w:rFonts w:cs="Calibri"/>
          <w:highlight w:val="white"/>
          <w:lang w:val="it-IT"/>
        </w:rPr>
        <w:t>erra, Legge s</w:t>
      </w:r>
      <w:r w:rsidR="007D29BB">
        <w:rPr>
          <w:rFonts w:cs="Calibri"/>
          <w:highlight w:val="white"/>
          <w:lang w:val="it-IT"/>
        </w:rPr>
        <w:t>ul godimento della T</w:t>
      </w:r>
      <w:r w:rsidR="00205F8F" w:rsidRPr="00100314">
        <w:rPr>
          <w:rFonts w:cs="Calibri"/>
          <w:highlight w:val="white"/>
          <w:lang w:val="it-IT"/>
        </w:rPr>
        <w:t xml:space="preserve">erra, Legge sulla Tutela del Territorio, Legge </w:t>
      </w:r>
      <w:r w:rsidR="00205F8F" w:rsidRPr="00F05684">
        <w:rPr>
          <w:rFonts w:cs="Calibri"/>
          <w:lang w:val="it-IT"/>
        </w:rPr>
        <w:t>sul Controllo Statale sull'Uso e la Protezione della Terra).</w:t>
      </w:r>
    </w:p>
    <w:p w:rsidR="008C5E01" w:rsidRPr="00F05684" w:rsidRDefault="00FA20E9" w:rsidP="0063445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Si noti che il 31.03.2020 </w:t>
      </w:r>
      <w:r w:rsidR="0097054C">
        <w:rPr>
          <w:rFonts w:cs="Calibri"/>
          <w:lang w:val="it-IT"/>
        </w:rPr>
        <w:t>il P</w:t>
      </w:r>
      <w:r w:rsidR="008C5E01" w:rsidRPr="00F05684">
        <w:rPr>
          <w:rFonts w:cs="Calibri"/>
          <w:lang w:val="it-IT"/>
        </w:rPr>
        <w:t>arlamento</w:t>
      </w:r>
      <w:r w:rsidRPr="00F05684">
        <w:rPr>
          <w:rFonts w:cs="Calibri"/>
          <w:lang w:val="it-IT"/>
        </w:rPr>
        <w:t xml:space="preserve"> dell’</w:t>
      </w:r>
      <w:r w:rsidR="0074168A" w:rsidRPr="00F05684">
        <w:rPr>
          <w:rFonts w:cs="Calibri"/>
          <w:lang w:val="it-IT"/>
        </w:rPr>
        <w:t>Ucraina ha</w:t>
      </w:r>
      <w:r w:rsidR="008C5E01" w:rsidRPr="00F05684">
        <w:rPr>
          <w:rFonts w:cs="Calibri"/>
          <w:lang w:val="it-IT"/>
        </w:rPr>
        <w:t xml:space="preserve"> approvato</w:t>
      </w:r>
      <w:r w:rsidRPr="00F05684">
        <w:rPr>
          <w:rFonts w:cs="Calibri"/>
          <w:lang w:val="it-IT"/>
        </w:rPr>
        <w:t>la Legge “</w:t>
      </w:r>
      <w:r w:rsidR="0074168A" w:rsidRPr="00F05684">
        <w:rPr>
          <w:rFonts w:cs="Calibri"/>
          <w:lang w:val="it-IT"/>
        </w:rPr>
        <w:t>Sull’introduzione delle modifiche ad  alcuni</w:t>
      </w:r>
      <w:r w:rsidR="008C5E01" w:rsidRPr="00F05684">
        <w:rPr>
          <w:rFonts w:cs="Calibri"/>
          <w:lang w:val="it-IT"/>
        </w:rPr>
        <w:t xml:space="preserve"> atti legislativi dell'Ucraina riguardan</w:t>
      </w:r>
      <w:r w:rsidR="0074168A" w:rsidRPr="00F05684">
        <w:rPr>
          <w:rFonts w:cs="Calibri"/>
          <w:lang w:val="it-IT"/>
        </w:rPr>
        <w:t>ti le condizioni di circolazione</w:t>
      </w:r>
      <w:r w:rsidR="00806E4C">
        <w:rPr>
          <w:rFonts w:cs="Calibri"/>
          <w:lang w:val="it-IT"/>
        </w:rPr>
        <w:t xml:space="preserve"> di terreni agricoli”, che </w:t>
      </w:r>
      <w:r w:rsidR="000826BB" w:rsidRPr="00F05684">
        <w:rPr>
          <w:rFonts w:cs="Calibri"/>
          <w:lang w:val="it-IT"/>
        </w:rPr>
        <w:t xml:space="preserve">entrerà </w:t>
      </w:r>
      <w:r w:rsidR="0074168A" w:rsidRPr="00F05684">
        <w:rPr>
          <w:rFonts w:cs="Calibri"/>
          <w:lang w:val="it-IT"/>
        </w:rPr>
        <w:t xml:space="preserve">in vigore </w:t>
      </w:r>
      <w:r w:rsidR="00806E4C">
        <w:rPr>
          <w:rFonts w:cs="Calibri"/>
          <w:lang w:val="it-IT"/>
        </w:rPr>
        <w:t>a partire da</w:t>
      </w:r>
      <w:r w:rsidR="0074168A" w:rsidRPr="00F05684">
        <w:rPr>
          <w:rFonts w:cs="Calibri"/>
          <w:lang w:val="it-IT"/>
        </w:rPr>
        <w:t>l 1 luglio 2021</w:t>
      </w:r>
      <w:r w:rsidR="00806E4C">
        <w:rPr>
          <w:rFonts w:cs="Calibri"/>
          <w:lang w:val="it-IT"/>
        </w:rPr>
        <w:t xml:space="preserve"> </w:t>
      </w:r>
      <w:r w:rsidR="0074168A" w:rsidRPr="00F05684">
        <w:rPr>
          <w:rFonts w:cs="Calibri"/>
          <w:lang w:val="it-IT"/>
        </w:rPr>
        <w:t xml:space="preserve">.La legge prevede </w:t>
      </w:r>
      <w:r w:rsidR="000826BB" w:rsidRPr="00F05684">
        <w:rPr>
          <w:rFonts w:cs="Calibri"/>
          <w:lang w:val="it-IT"/>
        </w:rPr>
        <w:t xml:space="preserve">l’eventuale possibilità </w:t>
      </w:r>
      <w:r w:rsidR="008C5E01" w:rsidRPr="00F05684">
        <w:rPr>
          <w:rFonts w:cs="Calibri"/>
          <w:lang w:val="it-IT"/>
        </w:rPr>
        <w:t>di acquisizione di terreni agricoli da parte di persone giuridiche,</w:t>
      </w:r>
      <w:r w:rsidR="00312411" w:rsidRPr="00F05684">
        <w:rPr>
          <w:rFonts w:cs="Calibri"/>
          <w:lang w:val="it-IT"/>
        </w:rPr>
        <w:t xml:space="preserve"> costituite e registrate ai sensi della legislazione ucraina, </w:t>
      </w:r>
      <w:r w:rsidR="008C5E01" w:rsidRPr="00F05684">
        <w:rPr>
          <w:rFonts w:cs="Calibri"/>
          <w:lang w:val="it-IT"/>
        </w:rPr>
        <w:t>soci o beneficiari finali</w:t>
      </w:r>
      <w:r w:rsidR="008017E7" w:rsidRPr="00F05684">
        <w:rPr>
          <w:rFonts w:cs="Calibri"/>
          <w:lang w:val="it-IT"/>
        </w:rPr>
        <w:t xml:space="preserve"> delle quali</w:t>
      </w:r>
      <w:r w:rsidR="008C5E01" w:rsidRPr="00F05684">
        <w:rPr>
          <w:rFonts w:cs="Calibri"/>
          <w:lang w:val="it-IT"/>
        </w:rPr>
        <w:t xml:space="preserve"> sono </w:t>
      </w:r>
      <w:r w:rsidR="008017E7" w:rsidRPr="00F05684">
        <w:rPr>
          <w:rFonts w:cs="Calibri"/>
          <w:lang w:val="it-IT"/>
        </w:rPr>
        <w:t>stranieri</w:t>
      </w:r>
      <w:r w:rsidR="002D1551">
        <w:rPr>
          <w:rFonts w:cs="Calibri"/>
          <w:lang w:val="it-IT"/>
        </w:rPr>
        <w:t xml:space="preserve">. Tale norma </w:t>
      </w:r>
      <w:r w:rsidR="009E2635">
        <w:rPr>
          <w:rFonts w:cs="Calibri"/>
          <w:lang w:val="it-IT"/>
        </w:rPr>
        <w:t>è</w:t>
      </w:r>
      <w:r w:rsidR="002D1551">
        <w:rPr>
          <w:rFonts w:cs="Calibri"/>
          <w:lang w:val="it-IT"/>
        </w:rPr>
        <w:t xml:space="preserve"> tuttavia s</w:t>
      </w:r>
      <w:r w:rsidR="00312411" w:rsidRPr="00F05684">
        <w:rPr>
          <w:rFonts w:cs="Calibri"/>
          <w:lang w:val="it-IT"/>
        </w:rPr>
        <w:t>oggetta</w:t>
      </w:r>
      <w:r w:rsidR="00806E4C">
        <w:rPr>
          <w:rFonts w:cs="Calibri"/>
          <w:lang w:val="it-IT"/>
        </w:rPr>
        <w:t xml:space="preserve"> </w:t>
      </w:r>
      <w:r w:rsidR="00312411" w:rsidRPr="00F05684">
        <w:rPr>
          <w:rFonts w:cs="Calibri"/>
          <w:lang w:val="it-IT"/>
        </w:rPr>
        <w:t>alla successiva approvazione mediante referendum. E’ da tener presente ch</w:t>
      </w:r>
      <w:r w:rsidR="000826BB" w:rsidRPr="00F05684">
        <w:rPr>
          <w:rFonts w:cs="Calibri"/>
          <w:lang w:val="it-IT"/>
        </w:rPr>
        <w:t>e la legge sul referendum non è</w:t>
      </w:r>
      <w:r w:rsidR="00312411" w:rsidRPr="00F05684">
        <w:rPr>
          <w:rFonts w:cs="Calibri"/>
          <w:lang w:val="it-IT"/>
        </w:rPr>
        <w:t xml:space="preserve"> attualmente</w:t>
      </w:r>
      <w:r w:rsidR="002D1551">
        <w:rPr>
          <w:rFonts w:cs="Calibri"/>
          <w:lang w:val="it-IT"/>
        </w:rPr>
        <w:t xml:space="preserve"> ancora stata</w:t>
      </w:r>
      <w:r w:rsidR="00312411" w:rsidRPr="00F05684">
        <w:rPr>
          <w:rFonts w:cs="Calibri"/>
          <w:lang w:val="it-IT"/>
        </w:rPr>
        <w:t xml:space="preserve"> approvata.</w:t>
      </w:r>
    </w:p>
    <w:p w:rsidR="00634459" w:rsidRPr="00F05684" w:rsidRDefault="0074168A" w:rsidP="00FA20E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>In caso di approvazione</w:t>
      </w:r>
      <w:r w:rsidR="00634459" w:rsidRPr="00F05684">
        <w:rPr>
          <w:rFonts w:cs="Calibri"/>
          <w:lang w:val="it-IT"/>
        </w:rPr>
        <w:t xml:space="preserve"> di tale decisione</w:t>
      </w:r>
      <w:r w:rsidR="00806E4C">
        <w:rPr>
          <w:rFonts w:cs="Calibri"/>
          <w:lang w:val="it-IT"/>
        </w:rPr>
        <w:t xml:space="preserve"> </w:t>
      </w:r>
      <w:r w:rsidR="002D1551">
        <w:rPr>
          <w:rFonts w:cs="Calibri"/>
          <w:lang w:val="it-IT"/>
        </w:rPr>
        <w:t>tramite</w:t>
      </w:r>
      <w:r w:rsidRPr="00F05684">
        <w:rPr>
          <w:rFonts w:cs="Calibri"/>
          <w:lang w:val="it-IT"/>
        </w:rPr>
        <w:t xml:space="preserve"> referendum,</w:t>
      </w:r>
      <w:r w:rsidR="000826BB" w:rsidRPr="00F05684">
        <w:rPr>
          <w:rFonts w:cs="Calibri"/>
          <w:lang w:val="it-IT"/>
        </w:rPr>
        <w:t xml:space="preserve"> verrà </w:t>
      </w:r>
      <w:r w:rsidR="00634459" w:rsidRPr="00F05684">
        <w:rPr>
          <w:rFonts w:cs="Calibri"/>
          <w:lang w:val="it-IT"/>
        </w:rPr>
        <w:t>tolto anche il divieto agli stranieri di acquisire le quote, azioni, partecipazioni nel capitale sociale delle persone giuridiche (tranne nel capitale sociale delle banche) che sono proprietari di terreni agricoli.</w:t>
      </w:r>
    </w:p>
    <w:p w:rsidR="008017E7" w:rsidRPr="00F05684" w:rsidRDefault="008017E7" w:rsidP="008017E7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>Indipendentemente dall’esito del referendum,</w:t>
      </w:r>
      <w:r w:rsidR="00806E4C">
        <w:rPr>
          <w:rFonts w:cs="Calibri"/>
          <w:lang w:val="it-IT"/>
        </w:rPr>
        <w:t xml:space="preserve"> </w:t>
      </w:r>
      <w:r w:rsidRPr="00F05684">
        <w:rPr>
          <w:rFonts w:cs="Calibri"/>
          <w:lang w:val="it-IT"/>
        </w:rPr>
        <w:t>l'</w:t>
      </w:r>
      <w:r w:rsidRPr="00F05684">
        <w:rPr>
          <w:rFonts w:cs="Calibri"/>
          <w:bCs/>
          <w:lang w:val="it-IT"/>
        </w:rPr>
        <w:t>acquisto</w:t>
      </w:r>
      <w:r w:rsidRPr="00F05684">
        <w:rPr>
          <w:rFonts w:cs="Calibri"/>
          <w:lang w:val="it-IT"/>
        </w:rPr>
        <w:t> dei </w:t>
      </w:r>
      <w:r w:rsidRPr="00F05684">
        <w:rPr>
          <w:rFonts w:cs="Calibri"/>
          <w:bCs/>
          <w:lang w:val="it-IT"/>
        </w:rPr>
        <w:t>terreni agricoli sarà vietato</w:t>
      </w:r>
      <w:r w:rsidRPr="00F05684">
        <w:rPr>
          <w:rFonts w:cs="Calibri"/>
          <w:lang w:val="it-IT"/>
        </w:rPr>
        <w:t> a:</w:t>
      </w:r>
    </w:p>
    <w:p w:rsidR="008017E7" w:rsidRPr="00F05684" w:rsidRDefault="008017E7" w:rsidP="00FA20E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uk-UA"/>
        </w:rPr>
      </w:pPr>
      <w:r w:rsidRPr="00F05684">
        <w:rPr>
          <w:rFonts w:cs="Calibri"/>
          <w:lang w:val="it-IT"/>
        </w:rPr>
        <w:t xml:space="preserve">1) persone giuridiche, soci o beneficiari finali delle quali non sono cittadini ucraini – tale divieto riguarda terreni agricoli di proprietà statale e comunale, terreni agricoli </w:t>
      </w:r>
      <w:r w:rsidR="009115EE" w:rsidRPr="00F05684">
        <w:rPr>
          <w:rFonts w:cs="Calibri"/>
          <w:lang w:val="it-IT"/>
        </w:rPr>
        <w:t xml:space="preserve">assegnati </w:t>
      </w:r>
      <w:r w:rsidR="00A07E58">
        <w:rPr>
          <w:rFonts w:cs="Calibri"/>
          <w:lang w:val="it-IT"/>
        </w:rPr>
        <w:t xml:space="preserve">dallo Stato </w:t>
      </w:r>
      <w:r w:rsidR="009115EE" w:rsidRPr="00F05684">
        <w:rPr>
          <w:rFonts w:cs="Calibri"/>
          <w:lang w:val="it-IT"/>
        </w:rPr>
        <w:t xml:space="preserve">in natura </w:t>
      </w:r>
      <w:r w:rsidRPr="00F05684">
        <w:rPr>
          <w:rFonts w:cs="Calibri"/>
          <w:lang w:val="it-IT"/>
        </w:rPr>
        <w:t xml:space="preserve">ai </w:t>
      </w:r>
      <w:r w:rsidR="00A07E58">
        <w:rPr>
          <w:rFonts w:cs="Calibri"/>
          <w:lang w:val="it-IT"/>
        </w:rPr>
        <w:t>contadini</w:t>
      </w:r>
      <w:r w:rsidR="00806E4C">
        <w:rPr>
          <w:rFonts w:cs="Calibri"/>
          <w:lang w:val="it-IT"/>
        </w:rPr>
        <w:t xml:space="preserve"> </w:t>
      </w:r>
      <w:r w:rsidR="00A07E58">
        <w:rPr>
          <w:rFonts w:cs="Calibri"/>
          <w:lang w:val="it-IT"/>
        </w:rPr>
        <w:t>tramite</w:t>
      </w:r>
      <w:r w:rsidR="009115EE" w:rsidRPr="00F05684">
        <w:rPr>
          <w:rFonts w:cs="Calibri"/>
          <w:lang w:val="it-IT"/>
        </w:rPr>
        <w:t xml:space="preserve"> “pai” </w:t>
      </w:r>
      <w:r w:rsidR="00A07E58">
        <w:rPr>
          <w:rFonts w:cs="Calibri"/>
          <w:lang w:val="it-IT"/>
        </w:rPr>
        <w:t xml:space="preserve">(certificati di </w:t>
      </w:r>
      <w:r w:rsidR="009E2635">
        <w:rPr>
          <w:rFonts w:cs="Calibri"/>
          <w:lang w:val="it-IT"/>
        </w:rPr>
        <w:t>proprietà</w:t>
      </w:r>
      <w:r w:rsidR="00A07E58">
        <w:rPr>
          <w:rFonts w:cs="Calibri"/>
          <w:lang w:val="it-IT"/>
        </w:rPr>
        <w:t xml:space="preserve">) </w:t>
      </w:r>
      <w:r w:rsidR="009115EE" w:rsidRPr="00F05684">
        <w:rPr>
          <w:rFonts w:cs="Calibri"/>
          <w:lang w:val="it-IT"/>
        </w:rPr>
        <w:t>situati</w:t>
      </w:r>
      <w:r w:rsidRPr="00F05684">
        <w:rPr>
          <w:rFonts w:cs="Calibri"/>
          <w:lang w:val="it-IT"/>
        </w:rPr>
        <w:t xml:space="preserve"> a una distanza inferior</w:t>
      </w:r>
      <w:r w:rsidR="009115EE" w:rsidRPr="00F05684">
        <w:rPr>
          <w:rFonts w:cs="Calibri"/>
          <w:lang w:val="it-IT"/>
        </w:rPr>
        <w:t>e a 50 chilometri dal confine dello Stato</w:t>
      </w:r>
      <w:r w:rsidRPr="00F05684">
        <w:rPr>
          <w:rFonts w:cs="Calibri"/>
          <w:lang w:val="it-IT"/>
        </w:rPr>
        <w:t xml:space="preserve"> (ad eccezione del confine </w:t>
      </w:r>
      <w:r w:rsidR="009115EE" w:rsidRPr="00F05684">
        <w:rPr>
          <w:rFonts w:cs="Calibri"/>
          <w:lang w:val="it-IT"/>
        </w:rPr>
        <w:t>marittimo</w:t>
      </w:r>
      <w:r w:rsidRPr="00F05684">
        <w:rPr>
          <w:rFonts w:cs="Calibri"/>
          <w:lang w:val="it-IT"/>
        </w:rPr>
        <w:t>);</w:t>
      </w:r>
    </w:p>
    <w:p w:rsidR="009115EE" w:rsidRPr="00F05684" w:rsidRDefault="009115EE" w:rsidP="009115E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bookmarkStart w:id="1" w:name="n20"/>
      <w:bookmarkEnd w:id="1"/>
      <w:r w:rsidRPr="00F05684">
        <w:rPr>
          <w:rFonts w:cs="Calibri"/>
          <w:lang w:val="it-IT"/>
        </w:rPr>
        <w:t xml:space="preserve">2) </w:t>
      </w:r>
      <w:r w:rsidR="00051AC1" w:rsidRPr="00F05684">
        <w:rPr>
          <w:rFonts w:cs="Calibri"/>
          <w:lang w:val="it-IT"/>
        </w:rPr>
        <w:t xml:space="preserve">persone giuridiche, soci o beneficiari finali delle quali sono </w:t>
      </w:r>
      <w:r w:rsidRPr="00F05684">
        <w:rPr>
          <w:rFonts w:cs="Calibri"/>
          <w:lang w:val="it-IT"/>
        </w:rPr>
        <w:t>cittadini dello stato riconosciuto dall'Ucraina come stato aggressore o stato occupante;</w:t>
      </w:r>
    </w:p>
    <w:p w:rsidR="009115EE" w:rsidRPr="00F05684" w:rsidRDefault="009115EE" w:rsidP="009115E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3) persone appartenenti </w:t>
      </w:r>
      <w:r w:rsidR="00051AC1" w:rsidRPr="00F05684">
        <w:rPr>
          <w:rFonts w:cs="Calibri"/>
          <w:lang w:val="it-IT"/>
        </w:rPr>
        <w:t xml:space="preserve">(attualmente o in passato) </w:t>
      </w:r>
      <w:r w:rsidRPr="00F05684">
        <w:rPr>
          <w:rFonts w:cs="Calibri"/>
          <w:lang w:val="it-IT"/>
        </w:rPr>
        <w:t>ad organizzazioni terroristiche;</w:t>
      </w:r>
    </w:p>
    <w:p w:rsidR="009115EE" w:rsidRPr="00F05684" w:rsidRDefault="009115EE" w:rsidP="009115E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4) </w:t>
      </w:r>
      <w:r w:rsidR="00051AC1" w:rsidRPr="00F05684">
        <w:rPr>
          <w:rFonts w:cs="Calibri"/>
          <w:lang w:val="it-IT"/>
        </w:rPr>
        <w:t xml:space="preserve">persone giuridiche, soci o beneficiari finali delle quali </w:t>
      </w:r>
      <w:r w:rsidRPr="00F05684">
        <w:rPr>
          <w:rFonts w:cs="Calibri"/>
          <w:lang w:val="it-IT"/>
        </w:rPr>
        <w:t>sono stati stranieri;</w:t>
      </w:r>
    </w:p>
    <w:p w:rsidR="0074168A" w:rsidRPr="00F05684" w:rsidRDefault="009115EE" w:rsidP="0074168A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5) </w:t>
      </w:r>
      <w:r w:rsidR="00051AC1" w:rsidRPr="00F05684">
        <w:rPr>
          <w:rFonts w:cs="Calibri"/>
          <w:lang w:val="it-IT"/>
        </w:rPr>
        <w:t>persone giuridiche nelle quali è impossibile identificar</w:t>
      </w:r>
      <w:r w:rsidRPr="00F05684">
        <w:rPr>
          <w:rFonts w:cs="Calibri"/>
          <w:lang w:val="it-IT"/>
        </w:rPr>
        <w:t>e il beneficiario finale;</w:t>
      </w:r>
    </w:p>
    <w:p w:rsidR="00051AC1" w:rsidRPr="00F05684" w:rsidRDefault="00051AC1" w:rsidP="0074168A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6) persone giuridiche, beneficiari finali </w:t>
      </w:r>
      <w:r w:rsidR="00FD0A51" w:rsidRPr="00F05684">
        <w:rPr>
          <w:rFonts w:cs="Calibri"/>
          <w:lang w:val="it-IT"/>
        </w:rPr>
        <w:t xml:space="preserve">delle quali </w:t>
      </w:r>
      <w:r w:rsidRPr="00F05684">
        <w:rPr>
          <w:rFonts w:cs="Calibri"/>
          <w:lang w:val="it-IT"/>
        </w:rPr>
        <w:t xml:space="preserve">sono registrati in zone offshore, </w:t>
      </w:r>
      <w:r w:rsidR="00FD0A51" w:rsidRPr="00F05684">
        <w:rPr>
          <w:rFonts w:cs="Calibri"/>
          <w:lang w:val="it-IT"/>
        </w:rPr>
        <w:t>di cui al</w:t>
      </w:r>
      <w:r w:rsidRPr="00F05684">
        <w:rPr>
          <w:rFonts w:cs="Calibri"/>
          <w:lang w:val="it-IT"/>
        </w:rPr>
        <w:t>l'elen</w:t>
      </w:r>
      <w:r w:rsidR="00FD0A51" w:rsidRPr="00F05684">
        <w:rPr>
          <w:rFonts w:cs="Calibri"/>
          <w:lang w:val="it-IT"/>
        </w:rPr>
        <w:t>co delle zone offshore approvato</w:t>
      </w:r>
      <w:r w:rsidRPr="00F05684">
        <w:rPr>
          <w:rFonts w:cs="Calibri"/>
          <w:lang w:val="it-IT"/>
        </w:rPr>
        <w:t xml:space="preserve"> dal Gabinetto dei Ministri dell'Ucraina;</w:t>
      </w:r>
    </w:p>
    <w:p w:rsidR="0074168A" w:rsidRPr="00F05684" w:rsidRDefault="00051AC1" w:rsidP="0074168A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lastRenderedPageBreak/>
        <w:t xml:space="preserve"> 7) </w:t>
      </w:r>
      <w:r w:rsidR="00FD0A51" w:rsidRPr="00F05684">
        <w:rPr>
          <w:rFonts w:cs="Calibri"/>
          <w:lang w:val="it-IT"/>
        </w:rPr>
        <w:t>persone fisiche e giuridiche al</w:t>
      </w:r>
      <w:r w:rsidRPr="00F05684">
        <w:rPr>
          <w:rFonts w:cs="Calibri"/>
          <w:lang w:val="it-IT"/>
        </w:rPr>
        <w:t xml:space="preserve">le quali sono state applicate speciali misure economiche e altre misure restrittive (sanzioni) ai sensi della legge </w:t>
      </w:r>
      <w:r w:rsidR="00FD0A51" w:rsidRPr="00F05684">
        <w:rPr>
          <w:rFonts w:cs="Calibri"/>
          <w:lang w:val="it-IT"/>
        </w:rPr>
        <w:t>dell’U</w:t>
      </w:r>
      <w:r w:rsidRPr="00F05684">
        <w:rPr>
          <w:rFonts w:cs="Calibri"/>
          <w:lang w:val="it-IT"/>
        </w:rPr>
        <w:t>craina "</w:t>
      </w:r>
      <w:r w:rsidR="00FD0A51" w:rsidRPr="00F05684">
        <w:rPr>
          <w:rFonts w:cs="Calibri"/>
          <w:lang w:val="it-IT"/>
        </w:rPr>
        <w:t>Sulle s</w:t>
      </w:r>
      <w:r w:rsidRPr="00F05684">
        <w:rPr>
          <w:rFonts w:cs="Calibri"/>
          <w:lang w:val="it-IT"/>
        </w:rPr>
        <w:t>anzioni" sotto forma di divieto di concl</w:t>
      </w:r>
      <w:r w:rsidR="00FD0A51" w:rsidRPr="00F05684">
        <w:rPr>
          <w:rFonts w:cs="Calibri"/>
          <w:lang w:val="it-IT"/>
        </w:rPr>
        <w:t>udere transazioni relative all’acquisizione di terreni, nonché le persone collegat</w:t>
      </w:r>
      <w:r w:rsidRPr="00F05684">
        <w:rPr>
          <w:rFonts w:cs="Calibri"/>
          <w:lang w:val="it-IT"/>
        </w:rPr>
        <w:t>e;</w:t>
      </w:r>
      <w:bookmarkStart w:id="2" w:name="n21"/>
      <w:bookmarkStart w:id="3" w:name="n22"/>
      <w:bookmarkStart w:id="4" w:name="n23"/>
      <w:bookmarkStart w:id="5" w:name="n24"/>
      <w:bookmarkStart w:id="6" w:name="n25"/>
      <w:bookmarkEnd w:id="2"/>
      <w:bookmarkEnd w:id="3"/>
      <w:bookmarkEnd w:id="4"/>
      <w:bookmarkEnd w:id="5"/>
      <w:bookmarkEnd w:id="6"/>
    </w:p>
    <w:p w:rsidR="0084316F" w:rsidRPr="00F05684" w:rsidRDefault="00FD0A51" w:rsidP="00205F8F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bookmarkStart w:id="7" w:name="n26"/>
      <w:bookmarkEnd w:id="7"/>
      <w:r w:rsidRPr="00F05684">
        <w:rPr>
          <w:rFonts w:cs="Calibri"/>
          <w:lang w:val="it-IT"/>
        </w:rPr>
        <w:t>8) persone giuridiche costituite ai sensi della legislazione ucraina, controllate da persone fisiche e gi</w:t>
      </w:r>
      <w:r w:rsidR="002D1551">
        <w:rPr>
          <w:rFonts w:cs="Calibri"/>
          <w:lang w:val="it-IT"/>
        </w:rPr>
        <w:t>uridiche registrate negli Stati</w:t>
      </w:r>
      <w:r w:rsidRPr="00F05684">
        <w:rPr>
          <w:rFonts w:cs="Calibri"/>
          <w:lang w:val="it-IT"/>
        </w:rPr>
        <w:t xml:space="preserve"> inclusi dal Gruppo</w:t>
      </w:r>
      <w:r w:rsidR="00D77003" w:rsidRPr="00F05684">
        <w:rPr>
          <w:rFonts w:cs="Calibri"/>
          <w:lang w:val="it-IT"/>
        </w:rPr>
        <w:t xml:space="preserve"> di azione finanziaria</w:t>
      </w:r>
      <w:r w:rsidRPr="00F05684">
        <w:rPr>
          <w:rFonts w:cs="Calibri"/>
          <w:lang w:val="it-IT"/>
        </w:rPr>
        <w:t xml:space="preserve"> internazionale</w:t>
      </w:r>
      <w:r w:rsidR="002D1551">
        <w:rPr>
          <w:rFonts w:cs="Calibri"/>
          <w:lang w:val="it-IT"/>
        </w:rPr>
        <w:t xml:space="preserve"> (GAFI) ne</w:t>
      </w:r>
      <w:r w:rsidRPr="00F05684">
        <w:rPr>
          <w:rFonts w:cs="Calibri"/>
          <w:lang w:val="it-IT"/>
        </w:rPr>
        <w:t xml:space="preserve">ll'elenco degli Stati </w:t>
      </w:r>
      <w:r w:rsidR="00D77003" w:rsidRPr="00F05684">
        <w:rPr>
          <w:rFonts w:cs="Calibri"/>
          <w:lang w:val="it-IT"/>
        </w:rPr>
        <w:t>che non cooperano nella lotta contro il</w:t>
      </w:r>
      <w:r w:rsidRPr="00F05684">
        <w:rPr>
          <w:rFonts w:cs="Calibri"/>
          <w:lang w:val="it-IT"/>
        </w:rPr>
        <w:t xml:space="preserve"> riciclaggio d</w:t>
      </w:r>
      <w:r w:rsidR="00D77003" w:rsidRPr="00F05684">
        <w:rPr>
          <w:rFonts w:cs="Calibri"/>
          <w:lang w:val="it-IT"/>
        </w:rPr>
        <w:t>el</w:t>
      </w:r>
      <w:r w:rsidRPr="00F05684">
        <w:rPr>
          <w:rFonts w:cs="Calibri"/>
          <w:lang w:val="it-IT"/>
        </w:rPr>
        <w:t xml:space="preserve"> denaro.</w:t>
      </w:r>
      <w:bookmarkStart w:id="8" w:name="n27"/>
      <w:bookmarkEnd w:id="8"/>
    </w:p>
    <w:p w:rsidR="00205F8F" w:rsidRPr="00F05684" w:rsidRDefault="00205F8F" w:rsidP="00205F8F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b/>
          <w:lang w:val="it-IT"/>
        </w:rPr>
      </w:pPr>
      <w:r w:rsidRPr="00F05684">
        <w:rPr>
          <w:rFonts w:cs="Calibri"/>
          <w:b/>
          <w:lang w:val="it-IT"/>
        </w:rPr>
        <w:t xml:space="preserve">COSTITUZIONE </w:t>
      </w:r>
      <w:r w:rsidR="00806E4C">
        <w:rPr>
          <w:rFonts w:cs="Calibri"/>
          <w:b/>
          <w:lang w:val="it-IT"/>
        </w:rPr>
        <w:t xml:space="preserve">DI </w:t>
      </w:r>
      <w:r w:rsidRPr="00F05684">
        <w:rPr>
          <w:rFonts w:cs="Calibri"/>
          <w:b/>
          <w:lang w:val="it-IT"/>
        </w:rPr>
        <w:t>SOCIETA’ E ACQUISIZIONE DI CARICHE SOCIALI</w:t>
      </w:r>
    </w:p>
    <w:p w:rsidR="00090C4E" w:rsidRPr="00F05684" w:rsidRDefault="00205F8F" w:rsidP="00090C4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>Gli stranieri in Ucraina possono detenere partecipazioni in società di capitali e ricoprire cariche soci</w:t>
      </w:r>
      <w:r w:rsidR="0084316F" w:rsidRPr="00F05684">
        <w:rPr>
          <w:rFonts w:cs="Calibri"/>
          <w:lang w:val="it-IT"/>
        </w:rPr>
        <w:t>ali. Tuttavia, riguardo</w:t>
      </w:r>
      <w:r w:rsidRPr="00F05684">
        <w:rPr>
          <w:rFonts w:cs="Calibri"/>
          <w:lang w:val="it-IT"/>
        </w:rPr>
        <w:t xml:space="preserve"> a quest'ultimo punto,</w:t>
      </w:r>
      <w:r w:rsidR="0084316F" w:rsidRPr="00F05684">
        <w:rPr>
          <w:rFonts w:cs="Calibri"/>
          <w:lang w:val="it-IT"/>
        </w:rPr>
        <w:t xml:space="preserve"> vi sono taluni ambiti in</w:t>
      </w:r>
      <w:r w:rsidR="005E2875" w:rsidRPr="00F05684">
        <w:rPr>
          <w:rFonts w:cs="Calibri"/>
          <w:lang w:val="it-IT"/>
        </w:rPr>
        <w:t xml:space="preserve"> cui </w:t>
      </w:r>
      <w:r w:rsidR="0084316F" w:rsidRPr="00F05684">
        <w:rPr>
          <w:rFonts w:cs="Calibri"/>
          <w:lang w:val="it-IT"/>
        </w:rPr>
        <w:t xml:space="preserve">gli stranieri </w:t>
      </w:r>
      <w:r w:rsidR="005E2875" w:rsidRPr="00F05684">
        <w:rPr>
          <w:rFonts w:cs="Calibri"/>
          <w:lang w:val="it-IT"/>
        </w:rPr>
        <w:t>godono del trattamento giuridico diverso</w:t>
      </w:r>
      <w:r w:rsidR="00960AB4" w:rsidRPr="00F05684">
        <w:rPr>
          <w:rFonts w:cs="Calibri"/>
          <w:lang w:val="it-IT"/>
        </w:rPr>
        <w:t xml:space="preserve"> rispetto a quello riservato ai cittadini</w:t>
      </w:r>
      <w:r w:rsidR="0084316F" w:rsidRPr="00F05684">
        <w:rPr>
          <w:rFonts w:cs="Calibri"/>
          <w:lang w:val="it-IT"/>
        </w:rPr>
        <w:t xml:space="preserve"> ucraini</w:t>
      </w:r>
      <w:r w:rsidR="005E2875" w:rsidRPr="00F05684">
        <w:rPr>
          <w:rFonts w:cs="Calibri"/>
          <w:lang w:val="it-IT"/>
        </w:rPr>
        <w:t>:</w:t>
      </w:r>
    </w:p>
    <w:p w:rsidR="00EA6A7D" w:rsidRPr="00F05684" w:rsidRDefault="005E2875" w:rsidP="00090C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>Q</w:t>
      </w:r>
      <w:r w:rsidR="00205F8F" w:rsidRPr="00F05684">
        <w:rPr>
          <w:rFonts w:cs="Calibri"/>
          <w:lang w:val="it-IT"/>
        </w:rPr>
        <w:t xml:space="preserve">ualora lo straniero intenda ricoprire una carica direttiva, oppure assumere la rappresentanza legale di una società, è necessario che ottenga </w:t>
      </w:r>
      <w:r w:rsidR="00A47DBC" w:rsidRPr="00F05684">
        <w:rPr>
          <w:rFonts w:cs="Calibri"/>
          <w:lang w:val="it-IT"/>
        </w:rPr>
        <w:t>il nulla osta al lavoro (“</w:t>
      </w:r>
      <w:r w:rsidR="00205F8F" w:rsidRPr="00F05684">
        <w:rPr>
          <w:rFonts w:cs="Calibri"/>
          <w:lang w:val="it-IT"/>
        </w:rPr>
        <w:t>permesso di lavoro</w:t>
      </w:r>
      <w:r w:rsidR="00A47DBC" w:rsidRPr="00F05684">
        <w:rPr>
          <w:rFonts w:cs="Calibri"/>
          <w:lang w:val="it-IT"/>
        </w:rPr>
        <w:t>”)</w:t>
      </w:r>
      <w:r w:rsidR="00205F8F" w:rsidRPr="00F05684">
        <w:rPr>
          <w:rFonts w:cs="Calibri"/>
          <w:lang w:val="it-IT"/>
        </w:rPr>
        <w:t xml:space="preserve"> di durata </w:t>
      </w:r>
      <w:r w:rsidR="00EA6A7D" w:rsidRPr="00F05684">
        <w:rPr>
          <w:rFonts w:cs="Calibri"/>
          <w:lang w:val="it-IT"/>
        </w:rPr>
        <w:t>a partire da 6 mesi a 3 anni,</w:t>
      </w:r>
      <w:r w:rsidR="00205F8F" w:rsidRPr="00F05684">
        <w:rPr>
          <w:rFonts w:cs="Calibri"/>
          <w:lang w:val="it-IT"/>
        </w:rPr>
        <w:t xml:space="preserve"> mentre se tale carica viene ricoperta in Uffici di Rappresentanza - non considerati persone giuridiche come le SpA e le Srl</w:t>
      </w:r>
      <w:r w:rsidR="00806E4C">
        <w:rPr>
          <w:rFonts w:cs="Calibri"/>
          <w:lang w:val="it-IT"/>
        </w:rPr>
        <w:t xml:space="preserve"> </w:t>
      </w:r>
      <w:r w:rsidR="00EA6A7D" w:rsidRPr="00F05684">
        <w:rPr>
          <w:rFonts w:cs="Calibri"/>
          <w:lang w:val="it-IT"/>
        </w:rPr>
        <w:t>–</w:t>
      </w:r>
      <w:r w:rsidR="00806E4C">
        <w:rPr>
          <w:rFonts w:cs="Calibri"/>
          <w:lang w:val="it-IT"/>
        </w:rPr>
        <w:t xml:space="preserve"> </w:t>
      </w:r>
      <w:r w:rsidR="00EA6A7D" w:rsidRPr="00F05684">
        <w:rPr>
          <w:rFonts w:cs="Calibri"/>
          <w:lang w:val="it-IT"/>
        </w:rPr>
        <w:t>si ottiene la cosid</w:t>
      </w:r>
      <w:r w:rsidR="000826BB" w:rsidRPr="00F05684">
        <w:rPr>
          <w:rFonts w:cs="Calibri"/>
          <w:lang w:val="it-IT"/>
        </w:rPr>
        <w:t>d</w:t>
      </w:r>
      <w:r w:rsidR="00EA6A7D" w:rsidRPr="00F05684">
        <w:rPr>
          <w:rFonts w:cs="Calibri"/>
          <w:lang w:val="it-IT"/>
        </w:rPr>
        <w:t>etta “carta di servizio”</w:t>
      </w:r>
      <w:r w:rsidR="0084316F" w:rsidRPr="00F05684">
        <w:rPr>
          <w:rFonts w:cs="Calibri"/>
          <w:lang w:val="it-IT"/>
        </w:rPr>
        <w:t>di durata massima di 3 anni</w:t>
      </w:r>
      <w:r w:rsidR="00205F8F" w:rsidRPr="00F05684">
        <w:rPr>
          <w:rFonts w:cs="Calibri"/>
          <w:lang w:val="it-IT"/>
        </w:rPr>
        <w:t xml:space="preserve"> (</w:t>
      </w:r>
      <w:r w:rsidR="00973E33" w:rsidRPr="00F05684">
        <w:rPr>
          <w:rFonts w:cs="Calibri"/>
          <w:lang w:val="it-IT"/>
        </w:rPr>
        <w:t xml:space="preserve">Legge dell’Ucraina “Sull’occupazione” </w:t>
      </w:r>
      <w:r w:rsidR="00973E33" w:rsidRPr="00F05684">
        <w:rPr>
          <w:rFonts w:cs="Calibri"/>
          <w:lang w:val="uk-UA"/>
        </w:rPr>
        <w:t>№</w:t>
      </w:r>
      <w:r w:rsidR="00973E33" w:rsidRPr="00F05684">
        <w:rPr>
          <w:rFonts w:cs="Calibri"/>
          <w:lang w:val="it-IT"/>
        </w:rPr>
        <w:t xml:space="preserve"> 5067-VIdel 05.07.2012, </w:t>
      </w:r>
      <w:r w:rsidR="00A47DBC" w:rsidRPr="00F05684">
        <w:rPr>
          <w:rFonts w:cs="Calibri"/>
          <w:lang w:val="it-IT"/>
        </w:rPr>
        <w:t xml:space="preserve">Ordine del Ministero dell’Economia dell’Ucraina </w:t>
      </w:r>
      <w:r w:rsidR="00A47DBC" w:rsidRPr="00F05684">
        <w:rPr>
          <w:rFonts w:cs="Calibri"/>
          <w:lang w:val="uk-UA"/>
        </w:rPr>
        <w:t xml:space="preserve">№ 179 </w:t>
      </w:r>
      <w:r w:rsidR="00A47DBC" w:rsidRPr="00F05684">
        <w:rPr>
          <w:rFonts w:cs="Calibri"/>
          <w:lang w:val="it-IT"/>
        </w:rPr>
        <w:t>del</w:t>
      </w:r>
      <w:r w:rsidR="00A47DBC" w:rsidRPr="00F05684">
        <w:rPr>
          <w:rFonts w:cs="Calibri"/>
          <w:lang w:val="uk-UA"/>
        </w:rPr>
        <w:t xml:space="preserve"> 15.06.2007</w:t>
      </w:r>
      <w:r w:rsidRPr="00F05684">
        <w:rPr>
          <w:rFonts w:cs="Calibri"/>
          <w:lang w:val="it-IT"/>
        </w:rPr>
        <w:t>);</w:t>
      </w:r>
    </w:p>
    <w:p w:rsidR="00227471" w:rsidRPr="00F05684" w:rsidRDefault="00227471" w:rsidP="00090C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Il diritto di </w:t>
      </w:r>
      <w:r w:rsidR="00090C4E" w:rsidRPr="00F05684">
        <w:rPr>
          <w:rFonts w:cs="Calibri"/>
          <w:lang w:val="it-IT"/>
        </w:rPr>
        <w:t xml:space="preserve"> costituire</w:t>
      </w:r>
      <w:r w:rsidRPr="00F05684">
        <w:rPr>
          <w:rFonts w:cs="Calibri"/>
          <w:lang w:val="it-IT"/>
        </w:rPr>
        <w:t xml:space="preserve"> un'agenzia di informazione in Ucraina</w:t>
      </w:r>
      <w:r w:rsidR="00806E4C">
        <w:rPr>
          <w:rFonts w:cs="Calibri"/>
          <w:lang w:val="it-IT"/>
        </w:rPr>
        <w:t xml:space="preserve"> </w:t>
      </w:r>
      <w:r w:rsidR="00090C4E" w:rsidRPr="00F05684">
        <w:rPr>
          <w:rFonts w:cs="Calibri"/>
          <w:lang w:val="it-IT"/>
        </w:rPr>
        <w:t>é riservato solo a i cittadini e persone giuridiche dell’Ucraina.Ciononostante i non residenti (sia persone fisiche che giuridiche)</w:t>
      </w:r>
      <w:r w:rsidRPr="00F05684">
        <w:rPr>
          <w:rFonts w:cs="Calibri"/>
          <w:lang w:val="it-IT"/>
        </w:rPr>
        <w:t xml:space="preserve"> hanno il diritto di essere co-fondatori di agenzie </w:t>
      </w:r>
      <w:r w:rsidR="00090C4E" w:rsidRPr="00F05684">
        <w:rPr>
          <w:rFonts w:cs="Calibri"/>
          <w:lang w:val="it-IT"/>
        </w:rPr>
        <w:t>di informazione in Ucraina a condizione che la loro quota nel capitale sociale dell’agenzia stampa non sia superiore al 35% (Legge dell’Ucra</w:t>
      </w:r>
      <w:r w:rsidR="007D29BB" w:rsidRPr="00F05684">
        <w:rPr>
          <w:rFonts w:cs="Calibri"/>
          <w:lang w:val="uk-UA"/>
        </w:rPr>
        <w:t>i</w:t>
      </w:r>
      <w:r w:rsidR="00090C4E" w:rsidRPr="00F05684">
        <w:rPr>
          <w:rFonts w:cs="Calibri"/>
          <w:lang w:val="it-IT"/>
        </w:rPr>
        <w:t>na “Sulle agenzie di informazione in Ucraina” № 74/95-</w:t>
      </w:r>
      <w:r w:rsidR="00090C4E" w:rsidRPr="00F05684">
        <w:rPr>
          <w:rFonts w:cs="Calibri"/>
        </w:rPr>
        <w:t>ВР</w:t>
      </w:r>
      <w:r w:rsidR="00090C4E" w:rsidRPr="00F05684">
        <w:rPr>
          <w:rFonts w:cs="Calibri"/>
          <w:lang w:val="it-IT"/>
        </w:rPr>
        <w:t xml:space="preserve"> del 28.02.1995);</w:t>
      </w:r>
    </w:p>
    <w:p w:rsidR="00F659DF" w:rsidRPr="00F05684" w:rsidRDefault="00090C4E" w:rsidP="00090C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F05684">
        <w:rPr>
          <w:rFonts w:cs="Calibri"/>
          <w:lang w:val="it-IT"/>
        </w:rPr>
        <w:t xml:space="preserve">Il diritto di costituire società radiotelevisive in Ucraina </w:t>
      </w:r>
      <w:r w:rsidR="00A07E58" w:rsidRPr="00F05684">
        <w:rPr>
          <w:rFonts w:cs="Calibri"/>
          <w:lang w:val="it-IT"/>
        </w:rPr>
        <w:t>è</w:t>
      </w:r>
      <w:r w:rsidR="00F659DF" w:rsidRPr="00F05684">
        <w:rPr>
          <w:rFonts w:cs="Calibri"/>
          <w:lang w:val="it-IT"/>
        </w:rPr>
        <w:t xml:space="preserve"> riservato solo </w:t>
      </w:r>
      <w:r w:rsidR="00A07E58">
        <w:rPr>
          <w:rFonts w:cs="Calibri"/>
          <w:lang w:val="it-IT"/>
        </w:rPr>
        <w:t>a</w:t>
      </w:r>
      <w:r w:rsidRPr="00F05684">
        <w:rPr>
          <w:rFonts w:cs="Calibri"/>
          <w:lang w:val="it-IT"/>
        </w:rPr>
        <w:t xml:space="preserve"> cittadini e persone giuridiche dell’Ucraina.</w:t>
      </w:r>
    </w:p>
    <w:p w:rsidR="00F659DF" w:rsidRPr="00F05684" w:rsidRDefault="008C5E01" w:rsidP="007D29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uk-UA"/>
        </w:rPr>
      </w:pPr>
      <w:r w:rsidRPr="00F05684">
        <w:rPr>
          <w:rFonts w:cs="Calibri"/>
          <w:lang w:val="it-IT"/>
        </w:rPr>
        <w:t>Il</w:t>
      </w:r>
      <w:r w:rsidR="00F659DF" w:rsidRPr="00F05684">
        <w:rPr>
          <w:rFonts w:cs="Calibri"/>
          <w:lang w:val="it-IT"/>
        </w:rPr>
        <w:t xml:space="preserve"> beneficiario</w:t>
      </w:r>
      <w:r w:rsidRPr="00F05684">
        <w:rPr>
          <w:rFonts w:cs="Calibri"/>
          <w:lang w:val="it-IT"/>
        </w:rPr>
        <w:t xml:space="preserve"> finale</w:t>
      </w:r>
      <w:r w:rsidR="00F659DF" w:rsidRPr="00F05684">
        <w:rPr>
          <w:rFonts w:cs="Calibri"/>
          <w:lang w:val="it-IT"/>
        </w:rPr>
        <w:t xml:space="preserve"> di un fornitore di servizi televisivi multicanale può essere esclusivamente un cittadino ucraino</w:t>
      </w:r>
      <w:r w:rsidR="007D29BB" w:rsidRPr="00F05684">
        <w:rPr>
          <w:rFonts w:cs="Calibri"/>
          <w:lang w:val="it-IT"/>
        </w:rPr>
        <w:t xml:space="preserve"> (Legge dell’Ucraina “Sulla telev</w:t>
      </w:r>
      <w:r w:rsidR="00A07E58">
        <w:rPr>
          <w:rFonts w:cs="Calibri"/>
          <w:lang w:val="it-IT"/>
        </w:rPr>
        <w:t xml:space="preserve">isione e radiotrasmissione” № </w:t>
      </w:r>
      <w:r w:rsidR="007D29BB" w:rsidRPr="00F05684">
        <w:rPr>
          <w:rFonts w:cs="Calibri"/>
          <w:lang w:val="it-IT"/>
        </w:rPr>
        <w:t>3759-XII del 21.12.1993)</w:t>
      </w:r>
      <w:r w:rsidR="00F659DF" w:rsidRPr="00F05684">
        <w:rPr>
          <w:rFonts w:cs="Calibri"/>
          <w:lang w:val="it-IT"/>
        </w:rPr>
        <w:t>.</w:t>
      </w:r>
    </w:p>
    <w:p w:rsidR="00227471" w:rsidRPr="00227471" w:rsidRDefault="00227471" w:rsidP="00227471">
      <w:pPr>
        <w:pStyle w:val="Paragrafoelenco"/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darkGray"/>
          <w:lang w:val="it-IT"/>
        </w:rPr>
      </w:pPr>
    </w:p>
    <w:p w:rsidR="00205F8F" w:rsidRPr="007D29BB" w:rsidRDefault="00205F8F" w:rsidP="00205F8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7D29BB">
        <w:rPr>
          <w:rFonts w:cs="Calibri"/>
          <w:lang w:val="it-IT"/>
        </w:rPr>
        <w:t>ACCORDI IN VIGORE:</w:t>
      </w:r>
    </w:p>
    <w:p w:rsidR="00205F8F" w:rsidRPr="00100314" w:rsidRDefault="00205F8F" w:rsidP="00205F8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SUL PATRIMONIO E PER PREVENIRE LE EVASIONI FISCALI, CON PROTOCOLLO AGGIUNTIVO </w:t>
      </w:r>
      <w:r w:rsidRPr="00100314">
        <w:rPr>
          <w:rFonts w:cs="Calibri"/>
          <w:lang w:val="it-IT"/>
        </w:rPr>
        <w:t>(firmata a Kiev il 26.02.1997, in vigore dal 25.02.2003)</w:t>
      </w:r>
    </w:p>
    <w:p w:rsidR="00B56B20" w:rsidRPr="006C3FF2" w:rsidRDefault="00C713A9" w:rsidP="006C3FF2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="00205F8F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sectPr w:rsidR="00B56B20" w:rsidRPr="006C3FF2" w:rsidSect="00C71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87" w:rsidRDefault="00E23787" w:rsidP="009D2CF7">
      <w:pPr>
        <w:spacing w:after="0" w:line="240" w:lineRule="auto"/>
      </w:pPr>
      <w:r>
        <w:separator/>
      </w:r>
    </w:p>
  </w:endnote>
  <w:endnote w:type="continuationSeparator" w:id="1">
    <w:p w:rsidR="00E23787" w:rsidRDefault="00E23787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87" w:rsidRDefault="00E23787" w:rsidP="009D2CF7">
      <w:pPr>
        <w:spacing w:after="0" w:line="240" w:lineRule="auto"/>
      </w:pPr>
      <w:r>
        <w:separator/>
      </w:r>
    </w:p>
  </w:footnote>
  <w:footnote w:type="continuationSeparator" w:id="1">
    <w:p w:rsidR="00E23787" w:rsidRDefault="00E23787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37CF5190"/>
    <w:multiLevelType w:val="hybridMultilevel"/>
    <w:tmpl w:val="7C44A3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32684"/>
    <w:rsid w:val="00050B57"/>
    <w:rsid w:val="00051AC1"/>
    <w:rsid w:val="0006023F"/>
    <w:rsid w:val="00064E74"/>
    <w:rsid w:val="00071C9D"/>
    <w:rsid w:val="00072227"/>
    <w:rsid w:val="00080F35"/>
    <w:rsid w:val="000826BB"/>
    <w:rsid w:val="00090290"/>
    <w:rsid w:val="00090C4E"/>
    <w:rsid w:val="00091AA0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1F2D63"/>
    <w:rsid w:val="0020258B"/>
    <w:rsid w:val="00205F8F"/>
    <w:rsid w:val="00210B9D"/>
    <w:rsid w:val="00222E80"/>
    <w:rsid w:val="00227471"/>
    <w:rsid w:val="00241A19"/>
    <w:rsid w:val="002712A8"/>
    <w:rsid w:val="00273C0B"/>
    <w:rsid w:val="002766C5"/>
    <w:rsid w:val="002B4982"/>
    <w:rsid w:val="002D1551"/>
    <w:rsid w:val="00307E65"/>
    <w:rsid w:val="00312411"/>
    <w:rsid w:val="00317C17"/>
    <w:rsid w:val="00354A8F"/>
    <w:rsid w:val="00385E50"/>
    <w:rsid w:val="0039085D"/>
    <w:rsid w:val="00393E4A"/>
    <w:rsid w:val="003A3A74"/>
    <w:rsid w:val="003B0AA5"/>
    <w:rsid w:val="003F75F8"/>
    <w:rsid w:val="00410313"/>
    <w:rsid w:val="00412BF4"/>
    <w:rsid w:val="0045114A"/>
    <w:rsid w:val="00453A64"/>
    <w:rsid w:val="004617DC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1113"/>
    <w:rsid w:val="005D3BCC"/>
    <w:rsid w:val="005E177C"/>
    <w:rsid w:val="005E2517"/>
    <w:rsid w:val="005E2875"/>
    <w:rsid w:val="005F1A5A"/>
    <w:rsid w:val="00634459"/>
    <w:rsid w:val="00656863"/>
    <w:rsid w:val="006921C1"/>
    <w:rsid w:val="006B37FF"/>
    <w:rsid w:val="006C2B42"/>
    <w:rsid w:val="006C3FF2"/>
    <w:rsid w:val="006D1645"/>
    <w:rsid w:val="006D4362"/>
    <w:rsid w:val="00703D78"/>
    <w:rsid w:val="007076B9"/>
    <w:rsid w:val="00715F04"/>
    <w:rsid w:val="00717D22"/>
    <w:rsid w:val="00720D14"/>
    <w:rsid w:val="0072340A"/>
    <w:rsid w:val="0074168A"/>
    <w:rsid w:val="00747E77"/>
    <w:rsid w:val="007538AF"/>
    <w:rsid w:val="0076443B"/>
    <w:rsid w:val="00766543"/>
    <w:rsid w:val="00777D35"/>
    <w:rsid w:val="007D29BB"/>
    <w:rsid w:val="007E77B7"/>
    <w:rsid w:val="007F0EA5"/>
    <w:rsid w:val="008017E7"/>
    <w:rsid w:val="00806E4C"/>
    <w:rsid w:val="008166EE"/>
    <w:rsid w:val="00816D96"/>
    <w:rsid w:val="008203CC"/>
    <w:rsid w:val="008209ED"/>
    <w:rsid w:val="00822D18"/>
    <w:rsid w:val="008248FD"/>
    <w:rsid w:val="00825E5E"/>
    <w:rsid w:val="0084316F"/>
    <w:rsid w:val="008572B0"/>
    <w:rsid w:val="008640C7"/>
    <w:rsid w:val="008755AB"/>
    <w:rsid w:val="00876B65"/>
    <w:rsid w:val="00891498"/>
    <w:rsid w:val="008C39DC"/>
    <w:rsid w:val="008C5E01"/>
    <w:rsid w:val="008F0117"/>
    <w:rsid w:val="008F0B74"/>
    <w:rsid w:val="008F4BFA"/>
    <w:rsid w:val="008F7AB2"/>
    <w:rsid w:val="009115EE"/>
    <w:rsid w:val="009122EE"/>
    <w:rsid w:val="009209CE"/>
    <w:rsid w:val="009553BF"/>
    <w:rsid w:val="00960950"/>
    <w:rsid w:val="00960AB4"/>
    <w:rsid w:val="0097054C"/>
    <w:rsid w:val="00973E33"/>
    <w:rsid w:val="0097633B"/>
    <w:rsid w:val="00994435"/>
    <w:rsid w:val="009C3827"/>
    <w:rsid w:val="009C6DCA"/>
    <w:rsid w:val="009D2CF7"/>
    <w:rsid w:val="009E027B"/>
    <w:rsid w:val="009E0A0D"/>
    <w:rsid w:val="009E2635"/>
    <w:rsid w:val="00A0435D"/>
    <w:rsid w:val="00A07E58"/>
    <w:rsid w:val="00A13D21"/>
    <w:rsid w:val="00A24E42"/>
    <w:rsid w:val="00A357A1"/>
    <w:rsid w:val="00A410BC"/>
    <w:rsid w:val="00A44750"/>
    <w:rsid w:val="00A4529A"/>
    <w:rsid w:val="00A47DBC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346F6"/>
    <w:rsid w:val="00B350EB"/>
    <w:rsid w:val="00B56B20"/>
    <w:rsid w:val="00B65635"/>
    <w:rsid w:val="00B662BB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289E"/>
    <w:rsid w:val="00C537B0"/>
    <w:rsid w:val="00C64278"/>
    <w:rsid w:val="00C713A9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77003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07E90"/>
    <w:rsid w:val="00E15F10"/>
    <w:rsid w:val="00E23787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948E4"/>
    <w:rsid w:val="00EA6A7D"/>
    <w:rsid w:val="00EB4910"/>
    <w:rsid w:val="00EF5A9D"/>
    <w:rsid w:val="00F01729"/>
    <w:rsid w:val="00F05684"/>
    <w:rsid w:val="00F12538"/>
    <w:rsid w:val="00F426AE"/>
    <w:rsid w:val="00F55BB0"/>
    <w:rsid w:val="00F659DF"/>
    <w:rsid w:val="00F67FCE"/>
    <w:rsid w:val="00F93AA3"/>
    <w:rsid w:val="00F97CC1"/>
    <w:rsid w:val="00FA20E9"/>
    <w:rsid w:val="00FC122B"/>
    <w:rsid w:val="00FD0A51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customStyle="1" w:styleId="rvps2">
    <w:name w:val="rvps2"/>
    <w:basedOn w:val="Normale"/>
    <w:rsid w:val="00820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Carpredefinitoparagrafo"/>
    <w:rsid w:val="008209E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659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659DF"/>
    <w:rPr>
      <w:rFonts w:ascii="Consolas" w:hAnsi="Consolas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7416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customStyle="1" w:styleId="rvps2">
    <w:name w:val="rvps2"/>
    <w:basedOn w:val="Normale"/>
    <w:rsid w:val="00820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Carpredefinitoparagrafo"/>
    <w:rsid w:val="008209E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659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659DF"/>
    <w:rPr>
      <w:rFonts w:ascii="Consolas" w:hAnsi="Consolas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7416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6022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3</cp:revision>
  <cp:lastPrinted>2020-05-27T12:37:00Z</cp:lastPrinted>
  <dcterms:created xsi:type="dcterms:W3CDTF">2020-06-24T14:16:00Z</dcterms:created>
  <dcterms:modified xsi:type="dcterms:W3CDTF">2020-06-24T14:19:00Z</dcterms:modified>
</cp:coreProperties>
</file>