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672AAA" w:rsidRPr="00AF7D78" w:rsidTr="00EC6FF0">
        <w:trPr>
          <w:trHeight w:val="611"/>
          <w:jc w:val="center"/>
        </w:trPr>
        <w:tc>
          <w:tcPr>
            <w:tcW w:w="4359" w:type="dxa"/>
          </w:tcPr>
          <w:p w:rsidR="00672AAA" w:rsidRPr="003E74A2" w:rsidRDefault="00672AAA" w:rsidP="003E74A2">
            <w:pPr>
              <w:ind w:right="-1881"/>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eastAsia="en-GB"/>
              </w:rPr>
              <w:t>Post identification:</w:t>
            </w:r>
          </w:p>
          <w:p w:rsidR="00672AAA" w:rsidRPr="003E74A2" w:rsidRDefault="00672AAA" w:rsidP="003E74A2">
            <w:pPr>
              <w:ind w:right="-1881"/>
              <w:jc w:val="both"/>
              <w:rPr>
                <w:rFonts w:ascii="Times New Roman" w:eastAsia="Times New Roman" w:hAnsi="Times New Roman" w:cs="Times New Roman"/>
                <w:sz w:val="24"/>
                <w:szCs w:val="24"/>
                <w:lang w:eastAsia="en-GB"/>
              </w:rPr>
            </w:pPr>
            <w:r w:rsidRPr="003E74A2">
              <w:rPr>
                <w:rFonts w:ascii="Times New Roman" w:eastAsia="Times New Roman" w:hAnsi="Times New Roman" w:cs="Times New Roman"/>
                <w:sz w:val="24"/>
                <w:szCs w:val="24"/>
                <w:lang w:eastAsia="en-GB"/>
              </w:rPr>
              <w:t>(DG-DIR-UNIT)</w:t>
            </w:r>
          </w:p>
        </w:tc>
        <w:tc>
          <w:tcPr>
            <w:tcW w:w="5597" w:type="dxa"/>
            <w:vAlign w:val="center"/>
          </w:tcPr>
          <w:p w:rsidR="00672AAA" w:rsidRPr="00672AAA" w:rsidRDefault="00672AAA" w:rsidP="00672AAA">
            <w:pPr>
              <w:rPr>
                <w:rFonts w:ascii="Times New Roman" w:hAnsi="Times New Roman" w:cs="Times New Roman"/>
                <w:b/>
                <w:sz w:val="24"/>
                <w:szCs w:val="24"/>
              </w:rPr>
            </w:pPr>
            <w:r w:rsidRPr="00672AAA">
              <w:rPr>
                <w:rFonts w:ascii="Times New Roman" w:hAnsi="Times New Roman" w:cs="Times New Roman"/>
                <w:b/>
                <w:sz w:val="24"/>
                <w:szCs w:val="24"/>
              </w:rPr>
              <w:t>FISMA</w:t>
            </w:r>
            <w:r>
              <w:rPr>
                <w:rFonts w:ascii="Times New Roman" w:hAnsi="Times New Roman" w:cs="Times New Roman"/>
                <w:b/>
                <w:sz w:val="24"/>
                <w:szCs w:val="24"/>
              </w:rPr>
              <w:t>-</w:t>
            </w:r>
            <w:r w:rsidRPr="00672AAA">
              <w:rPr>
                <w:rFonts w:ascii="Times New Roman" w:hAnsi="Times New Roman" w:cs="Times New Roman"/>
                <w:b/>
                <w:sz w:val="24"/>
                <w:szCs w:val="24"/>
              </w:rPr>
              <w:t>C</w:t>
            </w:r>
            <w:r>
              <w:rPr>
                <w:rFonts w:ascii="Times New Roman" w:hAnsi="Times New Roman" w:cs="Times New Roman"/>
                <w:b/>
                <w:sz w:val="24"/>
                <w:szCs w:val="24"/>
              </w:rPr>
              <w:t>-</w:t>
            </w:r>
            <w:r w:rsidRPr="00672AAA">
              <w:rPr>
                <w:rFonts w:ascii="Times New Roman" w:hAnsi="Times New Roman" w:cs="Times New Roman"/>
                <w:b/>
                <w:sz w:val="24"/>
                <w:szCs w:val="24"/>
              </w:rPr>
              <w:t>1</w:t>
            </w:r>
          </w:p>
        </w:tc>
      </w:tr>
      <w:tr w:rsidR="00672AAA" w:rsidRPr="005417FF" w:rsidTr="00EC6FF0">
        <w:trPr>
          <w:trHeight w:val="1977"/>
          <w:jc w:val="center"/>
        </w:trPr>
        <w:tc>
          <w:tcPr>
            <w:tcW w:w="4359" w:type="dxa"/>
            <w:tcBorders>
              <w:bottom w:val="nil"/>
            </w:tcBorders>
          </w:tcPr>
          <w:p w:rsidR="00672AAA" w:rsidRPr="003E74A2" w:rsidRDefault="00672AAA"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Head of Unit:</w:t>
            </w:r>
          </w:p>
          <w:p w:rsidR="00672AAA" w:rsidRPr="003E74A2" w:rsidRDefault="00672AAA"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Email address:</w:t>
            </w:r>
          </w:p>
          <w:p w:rsidR="00672AAA" w:rsidRPr="003E74A2" w:rsidRDefault="00672AAA"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Telephone:</w:t>
            </w:r>
          </w:p>
          <w:p w:rsidR="00672AAA" w:rsidRPr="003E74A2" w:rsidRDefault="00672AAA"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Number of available posts:</w:t>
            </w:r>
          </w:p>
          <w:p w:rsidR="00672AAA" w:rsidRPr="003E74A2" w:rsidRDefault="00672AAA"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taking up duty:</w:t>
            </w:r>
          </w:p>
          <w:p w:rsidR="00672AAA" w:rsidRPr="003E74A2" w:rsidRDefault="00672AAA"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initial duration:</w:t>
            </w:r>
          </w:p>
          <w:p w:rsidR="00672AAA" w:rsidRPr="003E74A2" w:rsidRDefault="00672AAA" w:rsidP="003E74A2">
            <w:pPr>
              <w:tabs>
                <w:tab w:val="left" w:pos="1697"/>
              </w:tabs>
              <w:ind w:right="-1739"/>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val="en-US" w:eastAsia="en-GB"/>
              </w:rPr>
              <w:t>Place of secondment:</w:t>
            </w:r>
          </w:p>
        </w:tc>
        <w:tc>
          <w:tcPr>
            <w:tcW w:w="5597" w:type="dxa"/>
          </w:tcPr>
          <w:p w:rsidR="00672AAA" w:rsidRPr="00672AAA" w:rsidRDefault="00672AAA" w:rsidP="00C76C94">
            <w:pPr>
              <w:rPr>
                <w:rFonts w:ascii="Times New Roman" w:hAnsi="Times New Roman" w:cs="Times New Roman"/>
                <w:b/>
                <w:sz w:val="24"/>
                <w:szCs w:val="24"/>
                <w:lang w:val="fi-FI"/>
              </w:rPr>
            </w:pPr>
            <w:r w:rsidRPr="00672AAA">
              <w:rPr>
                <w:rFonts w:ascii="Times New Roman" w:hAnsi="Times New Roman" w:cs="Times New Roman"/>
                <w:b/>
                <w:sz w:val="24"/>
                <w:szCs w:val="24"/>
                <w:lang w:val="fi-FI"/>
              </w:rPr>
              <w:t>Alain DECKERS</w:t>
            </w:r>
          </w:p>
          <w:p w:rsidR="00672AAA" w:rsidRPr="00672AAA" w:rsidRDefault="00672AAA" w:rsidP="00C76C94">
            <w:pPr>
              <w:rPr>
                <w:rFonts w:ascii="Times New Roman" w:hAnsi="Times New Roman" w:cs="Times New Roman"/>
                <w:b/>
                <w:sz w:val="24"/>
                <w:szCs w:val="24"/>
                <w:lang w:val="fi-FI"/>
              </w:rPr>
            </w:pPr>
            <w:hyperlink r:id="rId9" w:history="1">
              <w:r w:rsidRPr="009F5060">
                <w:rPr>
                  <w:rStyle w:val="Hyperlink"/>
                  <w:rFonts w:ascii="Times New Roman" w:hAnsi="Times New Roman" w:cs="Times New Roman"/>
                  <w:b/>
                  <w:sz w:val="24"/>
                  <w:szCs w:val="24"/>
                  <w:lang w:val="fi-FI"/>
                </w:rPr>
                <w:t>alain.deckers@ec.europa.eu</w:t>
              </w:r>
            </w:hyperlink>
            <w:r>
              <w:rPr>
                <w:rFonts w:ascii="Times New Roman" w:hAnsi="Times New Roman" w:cs="Times New Roman"/>
                <w:b/>
                <w:sz w:val="24"/>
                <w:szCs w:val="24"/>
                <w:lang w:val="fi-FI"/>
              </w:rPr>
              <w:t xml:space="preserve"> </w:t>
            </w:r>
          </w:p>
          <w:p w:rsidR="00672AAA" w:rsidRPr="00672AAA" w:rsidRDefault="00672AAA" w:rsidP="00C76C94">
            <w:pPr>
              <w:rPr>
                <w:rFonts w:ascii="Times New Roman" w:hAnsi="Times New Roman" w:cs="Times New Roman"/>
                <w:b/>
                <w:sz w:val="24"/>
                <w:szCs w:val="24"/>
                <w:lang w:val="en-GB"/>
              </w:rPr>
            </w:pPr>
            <w:r w:rsidRPr="00672AAA">
              <w:rPr>
                <w:rFonts w:ascii="Times New Roman" w:hAnsi="Times New Roman" w:cs="Times New Roman"/>
                <w:b/>
                <w:sz w:val="24"/>
                <w:szCs w:val="24"/>
                <w:lang w:val="en-GB"/>
              </w:rPr>
              <w:t>+32 229-92348</w:t>
            </w:r>
          </w:p>
          <w:p w:rsidR="00672AAA" w:rsidRPr="00672AAA" w:rsidRDefault="00672AAA" w:rsidP="00C76C94">
            <w:pPr>
              <w:ind w:right="1317"/>
              <w:jc w:val="both"/>
              <w:rPr>
                <w:rFonts w:ascii="Times New Roman" w:hAnsi="Times New Roman" w:cs="Times New Roman"/>
                <w:b/>
                <w:sz w:val="24"/>
                <w:szCs w:val="24"/>
                <w:lang w:val="en-US"/>
              </w:rPr>
            </w:pPr>
            <w:r w:rsidRPr="00672AAA">
              <w:rPr>
                <w:rFonts w:ascii="Times New Roman" w:hAnsi="Times New Roman" w:cs="Times New Roman"/>
                <w:b/>
                <w:sz w:val="24"/>
                <w:szCs w:val="24"/>
                <w:lang w:val="en-US"/>
              </w:rPr>
              <w:t>1</w:t>
            </w:r>
          </w:p>
          <w:p w:rsidR="00672AAA" w:rsidRPr="00672AAA" w:rsidRDefault="00672AAA" w:rsidP="00C76C94">
            <w:pPr>
              <w:ind w:right="1317"/>
              <w:jc w:val="both"/>
              <w:rPr>
                <w:rFonts w:ascii="Times New Roman" w:hAnsi="Times New Roman" w:cs="Times New Roman"/>
                <w:b/>
                <w:sz w:val="24"/>
                <w:szCs w:val="24"/>
                <w:lang w:val="en-US"/>
              </w:rPr>
            </w:pPr>
            <w:r w:rsidRPr="00672AAA">
              <w:rPr>
                <w:rFonts w:ascii="Times New Roman" w:hAnsi="Times New Roman" w:cs="Times New Roman"/>
                <w:b/>
                <w:sz w:val="24"/>
                <w:szCs w:val="24"/>
                <w:lang w:val="en-US"/>
              </w:rPr>
              <w:t>1</w:t>
            </w:r>
            <w:r w:rsidRPr="00672AAA">
              <w:rPr>
                <w:rFonts w:ascii="Times New Roman" w:hAnsi="Times New Roman" w:cs="Times New Roman"/>
                <w:b/>
                <w:sz w:val="24"/>
                <w:szCs w:val="24"/>
                <w:vertAlign w:val="superscript"/>
                <w:lang w:val="en-US"/>
              </w:rPr>
              <w:t>st</w:t>
            </w:r>
            <w:r w:rsidRPr="00672AAA">
              <w:rPr>
                <w:rFonts w:ascii="Times New Roman" w:hAnsi="Times New Roman" w:cs="Times New Roman"/>
                <w:b/>
                <w:sz w:val="24"/>
                <w:szCs w:val="24"/>
                <w:lang w:val="en-US"/>
              </w:rPr>
              <w:t xml:space="preserve"> quarter 2020 </w:t>
            </w:r>
            <w:r w:rsidRPr="00672AAA">
              <w:rPr>
                <w:rFonts w:ascii="Times New Roman" w:hAnsi="Times New Roman" w:cs="Times New Roman"/>
                <w:b/>
                <w:sz w:val="24"/>
                <w:szCs w:val="24"/>
                <w:vertAlign w:val="superscript"/>
              </w:rPr>
              <w:footnoteReference w:id="1"/>
            </w:r>
          </w:p>
          <w:p w:rsidR="00672AAA" w:rsidRPr="00672AAA" w:rsidRDefault="00672AAA" w:rsidP="00C76C94">
            <w:pPr>
              <w:ind w:right="1317"/>
              <w:jc w:val="both"/>
              <w:rPr>
                <w:rFonts w:ascii="Times New Roman" w:hAnsi="Times New Roman" w:cs="Times New Roman"/>
                <w:b/>
                <w:sz w:val="24"/>
                <w:szCs w:val="24"/>
                <w:lang w:val="en-US"/>
              </w:rPr>
            </w:pPr>
            <w:r w:rsidRPr="00672AAA">
              <w:rPr>
                <w:rFonts w:ascii="Times New Roman" w:hAnsi="Times New Roman" w:cs="Times New Roman"/>
                <w:b/>
                <w:sz w:val="24"/>
                <w:szCs w:val="24"/>
                <w:lang w:val="en-US"/>
              </w:rPr>
              <w:t>2 years</w:t>
            </w:r>
            <w:r w:rsidRPr="00672AAA">
              <w:rPr>
                <w:rFonts w:ascii="Times New Roman" w:hAnsi="Times New Roman" w:cs="Times New Roman"/>
                <w:b/>
                <w:sz w:val="24"/>
                <w:szCs w:val="24"/>
                <w:vertAlign w:val="superscript"/>
                <w:lang w:val="en-US"/>
              </w:rPr>
              <w:t>1</w:t>
            </w:r>
          </w:p>
          <w:p w:rsidR="00672AAA" w:rsidRPr="00672AAA" w:rsidRDefault="00672AAA" w:rsidP="00C76C94">
            <w:pPr>
              <w:rPr>
                <w:rFonts w:ascii="Times New Roman" w:hAnsi="Times New Roman" w:cs="Times New Roman"/>
                <w:b/>
                <w:sz w:val="24"/>
                <w:szCs w:val="24"/>
                <w:lang w:val="en-US"/>
              </w:rPr>
            </w:pPr>
            <w:r>
              <w:rPr>
                <w:rFonts w:ascii="Times New Roman" w:eastAsia="MS Minngs" w:hAnsi="Times New Roman" w:cs="Times New Roman"/>
                <w:b/>
                <w:bCs/>
                <w:sz w:val="24"/>
                <w:szCs w:val="24"/>
                <w:lang w:val="en-GB"/>
              </w:rPr>
              <w:sym w:font="Wingdings" w:char="F078"/>
            </w:r>
            <w:r>
              <w:rPr>
                <w:rFonts w:ascii="Times New Roman" w:eastAsia="MS Minngs" w:hAnsi="Times New Roman" w:cs="Times New Roman"/>
                <w:b/>
                <w:bCs/>
                <w:sz w:val="24"/>
                <w:szCs w:val="24"/>
                <w:lang w:val="en-GB"/>
              </w:rPr>
              <w:t xml:space="preserve"> </w:t>
            </w:r>
            <w:r w:rsidRPr="00672AAA">
              <w:rPr>
                <w:rFonts w:ascii="Times New Roman" w:hAnsi="Times New Roman" w:cs="Times New Roman"/>
                <w:b/>
                <w:sz w:val="24"/>
                <w:szCs w:val="24"/>
                <w:lang w:val="en-US"/>
              </w:rPr>
              <w:t xml:space="preserve">Brussels  </w:t>
            </w:r>
            <w:r w:rsidRPr="00672AAA">
              <w:rPr>
                <w:rFonts w:ascii="Times New Roman" w:eastAsia="MS Minngs" w:hAnsi="Times New Roman" w:cs="Times New Roman"/>
                <w:b/>
                <w:bCs/>
                <w:sz w:val="24"/>
                <w:szCs w:val="24"/>
                <w:lang w:val="fr-FR"/>
              </w:rPr>
              <w:sym w:font="Wingdings 2" w:char="F0A3"/>
            </w:r>
            <w:r w:rsidRPr="00672AAA">
              <w:rPr>
                <w:rFonts w:ascii="Times New Roman" w:eastAsia="MS Minngs" w:hAnsi="Times New Roman" w:cs="Times New Roman"/>
                <w:b/>
                <w:bCs/>
                <w:sz w:val="24"/>
                <w:szCs w:val="24"/>
                <w:lang w:val="en-US"/>
              </w:rPr>
              <w:t xml:space="preserve"> </w:t>
            </w:r>
            <w:r w:rsidRPr="00672AAA">
              <w:rPr>
                <w:rFonts w:ascii="Times New Roman" w:hAnsi="Times New Roman" w:cs="Times New Roman"/>
                <w:b/>
                <w:sz w:val="24"/>
                <w:szCs w:val="24"/>
                <w:lang w:val="en-US"/>
              </w:rPr>
              <w:t xml:space="preserve">Luxemburg  </w:t>
            </w:r>
            <w:r w:rsidRPr="00672AAA">
              <w:rPr>
                <w:rFonts w:ascii="Times New Roman" w:eastAsia="MS Minngs" w:hAnsi="Times New Roman" w:cs="Times New Roman"/>
                <w:b/>
                <w:bCs/>
                <w:sz w:val="24"/>
                <w:szCs w:val="24"/>
                <w:lang w:val="fr-FR"/>
              </w:rPr>
              <w:sym w:font="Wingdings 2" w:char="F0A3"/>
            </w:r>
            <w:r w:rsidRPr="00672AAA">
              <w:rPr>
                <w:rFonts w:ascii="Times New Roman" w:eastAsia="MS Minngs" w:hAnsi="Times New Roman" w:cs="Times New Roman"/>
                <w:b/>
                <w:bCs/>
                <w:sz w:val="24"/>
                <w:szCs w:val="24"/>
                <w:lang w:val="en-US"/>
              </w:rPr>
              <w:t xml:space="preserve"> Other</w:t>
            </w:r>
            <w:r w:rsidRPr="00672AAA">
              <w:rPr>
                <w:rFonts w:ascii="Times New Roman" w:hAnsi="Times New Roman" w:cs="Times New Roman"/>
                <w:b/>
                <w:sz w:val="24"/>
                <w:szCs w:val="24"/>
                <w:lang w:val="en-US"/>
              </w:rPr>
              <w:t>: ……………..</w:t>
            </w:r>
          </w:p>
        </w:tc>
      </w:tr>
      <w:tr w:rsidR="00672AAA" w:rsidRPr="00672AAA" w:rsidTr="00EC6FF0">
        <w:trPr>
          <w:trHeight w:val="545"/>
          <w:jc w:val="center"/>
        </w:trPr>
        <w:tc>
          <w:tcPr>
            <w:tcW w:w="4359" w:type="dxa"/>
            <w:tcBorders>
              <w:top w:val="nil"/>
              <w:left w:val="single" w:sz="4" w:space="0" w:color="auto"/>
              <w:bottom w:val="single" w:sz="4" w:space="0" w:color="auto"/>
              <w:right w:val="single" w:sz="4" w:space="0" w:color="auto"/>
            </w:tcBorders>
          </w:tcPr>
          <w:p w:rsidR="00672AAA" w:rsidRPr="003E74A2" w:rsidRDefault="00672AAA" w:rsidP="00AF7D78">
            <w:pPr>
              <w:rPr>
                <w:rFonts w:ascii="Times New Roman" w:eastAsia="Times New Roman" w:hAnsi="Times New Roman" w:cs="Times New Roman"/>
                <w:sz w:val="24"/>
                <w:szCs w:val="24"/>
                <w:lang w:val="en-US" w:eastAsia="en-GB"/>
              </w:rPr>
            </w:pPr>
          </w:p>
        </w:tc>
        <w:tc>
          <w:tcPr>
            <w:tcW w:w="5597" w:type="dxa"/>
            <w:tcBorders>
              <w:left w:val="single" w:sz="4" w:space="0" w:color="auto"/>
            </w:tcBorders>
            <w:vAlign w:val="center"/>
          </w:tcPr>
          <w:p w:rsidR="00672AAA" w:rsidRPr="00672AAA" w:rsidRDefault="00672AAA" w:rsidP="00C76C94">
            <w:pPr>
              <w:rPr>
                <w:rFonts w:ascii="Times New Roman" w:hAnsi="Times New Roman" w:cs="Times New Roman"/>
                <w:b/>
                <w:sz w:val="24"/>
                <w:szCs w:val="24"/>
                <w:lang w:val="en-US"/>
              </w:rPr>
            </w:pPr>
            <w:r>
              <w:rPr>
                <w:rFonts w:ascii="Times New Roman" w:eastAsia="MS Minngs" w:hAnsi="Times New Roman" w:cs="Times New Roman"/>
                <w:b/>
                <w:bCs/>
                <w:sz w:val="24"/>
                <w:szCs w:val="24"/>
                <w:lang w:val="en-GB"/>
              </w:rPr>
              <w:sym w:font="Wingdings" w:char="F078"/>
            </w:r>
            <w:r w:rsidRPr="00672AAA">
              <w:rPr>
                <w:rStyle w:val="Strong"/>
                <w:rFonts w:ascii="Times New Roman" w:hAnsi="Times New Roman" w:cs="Times New Roman"/>
                <w:b w:val="0"/>
                <w:sz w:val="24"/>
                <w:szCs w:val="24"/>
                <w:lang w:val="en-US"/>
              </w:rPr>
              <w:t xml:space="preserve">    </w:t>
            </w:r>
            <w:r w:rsidRPr="00672AAA">
              <w:rPr>
                <w:rFonts w:ascii="Times New Roman" w:hAnsi="Times New Roman" w:cs="Times New Roman"/>
                <w:b/>
                <w:sz w:val="24"/>
                <w:szCs w:val="24"/>
                <w:lang w:val="en-US"/>
              </w:rPr>
              <w:t xml:space="preserve">With allowances                </w:t>
            </w:r>
            <w:r w:rsidRPr="00672AAA">
              <w:rPr>
                <w:rFonts w:ascii="Times New Roman" w:eastAsia="MS Minngs" w:hAnsi="Times New Roman" w:cs="Times New Roman"/>
                <w:b/>
                <w:bCs/>
                <w:sz w:val="24"/>
                <w:szCs w:val="24"/>
                <w:lang w:val="fr-FR"/>
              </w:rPr>
              <w:sym w:font="Wingdings 2" w:char="F0A3"/>
            </w:r>
            <w:r w:rsidRPr="00672AAA">
              <w:rPr>
                <w:rFonts w:ascii="Times New Roman" w:eastAsia="MS Minngs" w:hAnsi="Times New Roman" w:cs="Times New Roman"/>
                <w:b/>
                <w:bCs/>
                <w:sz w:val="24"/>
                <w:szCs w:val="24"/>
                <w:lang w:val="en-US"/>
              </w:rPr>
              <w:t xml:space="preserve">   </w:t>
            </w:r>
            <w:r w:rsidRPr="00672AAA">
              <w:rPr>
                <w:rStyle w:val="Strong"/>
                <w:rFonts w:ascii="Times New Roman" w:hAnsi="Times New Roman" w:cs="Times New Roman"/>
                <w:b w:val="0"/>
                <w:sz w:val="24"/>
                <w:szCs w:val="24"/>
                <w:lang w:val="en-US"/>
              </w:rPr>
              <w:t> </w:t>
            </w:r>
            <w:r w:rsidRPr="00672AAA">
              <w:rPr>
                <w:rFonts w:ascii="Times New Roman" w:eastAsia="MS Minngs" w:hAnsi="Times New Roman" w:cs="Times New Roman"/>
                <w:b/>
                <w:bCs/>
                <w:sz w:val="24"/>
                <w:szCs w:val="24"/>
                <w:lang w:val="en-US"/>
              </w:rPr>
              <w:t xml:space="preserve"> </w:t>
            </w:r>
            <w:r w:rsidRPr="00672AAA">
              <w:rPr>
                <w:rFonts w:ascii="Times New Roman" w:hAnsi="Times New Roman" w:cs="Times New Roman"/>
                <w:b/>
                <w:sz w:val="24"/>
                <w:szCs w:val="24"/>
                <w:lang w:val="en-US"/>
              </w:rPr>
              <w:t>Cost-free</w:t>
            </w:r>
          </w:p>
        </w:tc>
      </w:tr>
      <w:tr w:rsidR="00AF7D78" w:rsidRPr="005417F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3E74A2" w:rsidRDefault="00AF7D78" w:rsidP="00AF7D78">
            <w:pPr>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This vacancy notice is also open to</w:t>
            </w:r>
          </w:p>
          <w:p w:rsidR="00AF7D78" w:rsidRPr="003E74A2" w:rsidRDefault="00AF7D78" w:rsidP="00AF7D78">
            <w:pPr>
              <w:rPr>
                <w:rFonts w:ascii="Times New Roman" w:eastAsia="Times New Roman" w:hAnsi="Times New Roman" w:cs="Times New Roman"/>
                <w:b/>
                <w:sz w:val="24"/>
                <w:szCs w:val="24"/>
                <w:lang w:val="en-US" w:eastAsia="en-GB"/>
              </w:rPr>
            </w:pPr>
          </w:p>
          <w:p w:rsidR="00AF7D78" w:rsidRPr="003E74A2" w:rsidRDefault="00AF7D78" w:rsidP="00AF7D78">
            <w:pPr>
              <w:rPr>
                <w:rFonts w:ascii="Times New Roman" w:eastAsia="Times New Roman" w:hAnsi="Times New Roman" w:cs="Times New Roman"/>
                <w:sz w:val="24"/>
                <w:szCs w:val="24"/>
                <w:lang w:val="en-US" w:eastAsia="en-GB"/>
              </w:rPr>
            </w:pP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the following EFTA countries :</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Iceland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Liechtenstein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Norway  </w:t>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Switzerland</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EFTA-EEA In-Kind agreement (Iceland, Liechtenstein, Norway)</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the following third countries:</w:t>
            </w:r>
            <w:r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Pr="003E74A2">
              <w:rPr>
                <w:rFonts w:ascii="Times New Roman" w:eastAsia="Times New Roman" w:hAnsi="Times New Roman" w:cs="Times New Roman"/>
                <w:b/>
                <w:sz w:val="24"/>
                <w:szCs w:val="24"/>
                <w:lang w:val="en-US" w:eastAsia="en-GB"/>
              </w:rPr>
              <w:t xml:space="preserve">    the following intergovernmental </w:t>
            </w:r>
            <w:proofErr w:type="spellStart"/>
            <w:r w:rsidRPr="003E74A2">
              <w:rPr>
                <w:rFonts w:ascii="Times New Roman" w:eastAsia="Times New Roman" w:hAnsi="Times New Roman" w:cs="Times New Roman"/>
                <w:b/>
                <w:sz w:val="24"/>
                <w:szCs w:val="24"/>
                <w:lang w:val="en-US" w:eastAsia="en-GB"/>
              </w:rPr>
              <w:t>organisations</w:t>
            </w:r>
            <w:proofErr w:type="spellEnd"/>
            <w:r w:rsidRPr="003E74A2">
              <w:rPr>
                <w:rFonts w:ascii="Times New Roman" w:eastAsia="Times New Roman" w:hAnsi="Times New Roman" w:cs="Times New Roman"/>
                <w:b/>
                <w:sz w:val="24"/>
                <w:szCs w:val="24"/>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5417F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5417FF">
        <w:rPr>
          <w:rFonts w:ascii="Times New Roman" w:eastAsia="Times New Roman" w:hAnsi="Times New Roman" w:cs="Times New Roman"/>
          <w:b/>
          <w:sz w:val="24"/>
          <w:szCs w:val="20"/>
          <w:lang w:val="en-US" w:eastAsia="en-GB"/>
        </w:rPr>
        <w:t>1.</w:t>
      </w:r>
      <w:r w:rsidRPr="005417FF">
        <w:rPr>
          <w:rFonts w:ascii="Times New Roman" w:eastAsia="Times New Roman" w:hAnsi="Times New Roman" w:cs="Times New Roman"/>
          <w:b/>
          <w:sz w:val="24"/>
          <w:szCs w:val="20"/>
          <w:lang w:val="en-US" w:eastAsia="en-GB"/>
        </w:rPr>
        <w:tab/>
      </w:r>
      <w:r w:rsidRPr="005417FF">
        <w:rPr>
          <w:rFonts w:ascii="Times New Roman" w:eastAsia="Times New Roman" w:hAnsi="Times New Roman" w:cs="Times New Roman"/>
          <w:b/>
          <w:sz w:val="24"/>
          <w:szCs w:val="20"/>
          <w:u w:val="single"/>
          <w:lang w:val="en-US" w:eastAsia="en-GB"/>
        </w:rPr>
        <w:t>Nature of the tasks</w:t>
      </w:r>
    </w:p>
    <w:p w:rsidR="00AF7D78" w:rsidRPr="005417FF" w:rsidRDefault="00AF7D78" w:rsidP="00AF7D78">
      <w:pPr>
        <w:spacing w:after="0" w:line="240" w:lineRule="auto"/>
        <w:rPr>
          <w:rFonts w:ascii="Times New Roman" w:eastAsia="Times New Roman" w:hAnsi="Times New Roman" w:cs="Times New Roman"/>
          <w:sz w:val="24"/>
          <w:szCs w:val="20"/>
          <w:lang w:val="en-US" w:eastAsia="en-GB"/>
        </w:rPr>
      </w:pP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r w:rsidRPr="00672AAA">
        <w:rPr>
          <w:rFonts w:ascii="Times New Roman" w:eastAsia="Times New Roman" w:hAnsi="Times New Roman" w:cs="Times New Roman"/>
          <w:lang w:val="en-US" w:eastAsia="en-GB"/>
        </w:rPr>
        <w:t xml:space="preserve">To participate in the conception, elaboration, discussion and follow-up of </w:t>
      </w:r>
      <w:proofErr w:type="spellStart"/>
      <w:r w:rsidRPr="00672AAA">
        <w:rPr>
          <w:rFonts w:ascii="Times New Roman" w:eastAsia="Times New Roman" w:hAnsi="Times New Roman" w:cs="Times New Roman"/>
          <w:lang w:val="en-US" w:eastAsia="en-GB"/>
        </w:rPr>
        <w:t>harmonisation</w:t>
      </w:r>
      <w:proofErr w:type="spellEnd"/>
      <w:r w:rsidRPr="00672AAA">
        <w:rPr>
          <w:rFonts w:ascii="Times New Roman" w:eastAsia="Times New Roman" w:hAnsi="Times New Roman" w:cs="Times New Roman"/>
          <w:lang w:val="en-US" w:eastAsia="en-GB"/>
        </w:rPr>
        <w:t xml:space="preserve"> measures in the field of non financial reporting.</w:t>
      </w: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r w:rsidRPr="00672AAA">
        <w:rPr>
          <w:rFonts w:ascii="Times New Roman" w:eastAsia="Times New Roman" w:hAnsi="Times New Roman" w:cs="Times New Roman"/>
          <w:lang w:val="en-US" w:eastAsia="en-GB"/>
        </w:rPr>
        <w:t>Draft policy proposals, background papers and legislative proposals in the field of non financial reporting.</w:t>
      </w: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r w:rsidRPr="00672AAA">
        <w:rPr>
          <w:rFonts w:ascii="Times New Roman" w:eastAsia="Times New Roman" w:hAnsi="Times New Roman" w:cs="Times New Roman"/>
          <w:lang w:val="en-US" w:eastAsia="en-GB"/>
        </w:rPr>
        <w:t>Maintain regular contacts and exchanges of information with public and professional bodies in the Member States as well as with the private sector.</w:t>
      </w: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r w:rsidRPr="00672AAA">
        <w:rPr>
          <w:rFonts w:ascii="Times New Roman" w:eastAsia="Times New Roman" w:hAnsi="Times New Roman" w:cs="Times New Roman"/>
          <w:lang w:val="en-US" w:eastAsia="en-GB"/>
        </w:rPr>
        <w:t>Follow closely the work of public and private bodies on non financial reporting. Prepare and attend meetings with stakeholders. The ideal candidate will have the ability to follow the technical debate on the development of reporting standards, while having a broader understanding of the regulatory role and public expectations surrounding corporate disclosures, including in the field of sustainable finance.</w:t>
      </w: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r w:rsidRPr="00672AAA">
        <w:rPr>
          <w:rFonts w:ascii="Times New Roman" w:eastAsia="Times New Roman" w:hAnsi="Times New Roman" w:cs="Times New Roman"/>
          <w:lang w:val="en-US" w:eastAsia="en-GB"/>
        </w:rPr>
        <w:t xml:space="preserve">Follow the work of main European bodies active in the development of reporting standards. In particular prepare and participate in the Accounting Regulatory Committee (ARC) meetings and in the European Corporate Reporting Lab meetings of the European Financial Reporting Advisory Group (EFRAG). </w:t>
      </w: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r w:rsidRPr="00672AAA">
        <w:rPr>
          <w:rFonts w:ascii="Times New Roman" w:eastAsia="Times New Roman" w:hAnsi="Times New Roman" w:cs="Times New Roman"/>
          <w:lang w:val="en-US" w:eastAsia="en-GB"/>
        </w:rPr>
        <w:t>Follow the work of the European Securities and Markets Authority (ESMA) with respect to corporate reporting, auditing and transparency. Prepare, provide input to and participate as appropriate in the Corporate Reporting Standing Committee meetings of ESMA.</w:t>
      </w:r>
    </w:p>
    <w:p w:rsidR="00672AAA" w:rsidRPr="00672AAA" w:rsidRDefault="00672AAA" w:rsidP="00672AAA">
      <w:pPr>
        <w:spacing w:after="0" w:line="240" w:lineRule="auto"/>
        <w:ind w:left="426"/>
        <w:jc w:val="both"/>
        <w:rPr>
          <w:rFonts w:ascii="Times New Roman" w:eastAsia="Times New Roman" w:hAnsi="Times New Roman" w:cs="Times New Roman"/>
          <w:lang w:val="en-US" w:eastAsia="en-GB"/>
        </w:rPr>
      </w:pPr>
    </w:p>
    <w:p w:rsidR="00AF7D78" w:rsidRPr="00AF7D78" w:rsidRDefault="00672AAA" w:rsidP="00672AAA">
      <w:pPr>
        <w:spacing w:after="0" w:line="240" w:lineRule="auto"/>
        <w:ind w:left="426"/>
        <w:jc w:val="both"/>
        <w:rPr>
          <w:rFonts w:ascii="Times New Roman" w:eastAsia="Times New Roman" w:hAnsi="Times New Roman" w:cs="Times New Roman"/>
          <w:lang w:val="en-US" w:eastAsia="en-GB"/>
        </w:rPr>
      </w:pPr>
      <w:r w:rsidRPr="00672AAA">
        <w:rPr>
          <w:rFonts w:ascii="Times New Roman" w:eastAsia="Times New Roman" w:hAnsi="Times New Roman" w:cs="Times New Roman"/>
          <w:lang w:val="en-US" w:eastAsia="en-GB"/>
        </w:rPr>
        <w:t>Prepare and /or co-ordinate  replies to requests for information from the public and external stakeholders relevant to the work of the unit.</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3E74A2" w:rsidRPr="003E74A2">
        <w:rPr>
          <w:lang w:val="en-US"/>
        </w:rPr>
        <w:t xml:space="preserve"> </w:t>
      </w:r>
      <w:r w:rsidR="00672AAA" w:rsidRPr="00672AAA">
        <w:rPr>
          <w:rFonts w:ascii="Times New Roman" w:eastAsia="Times New Roman" w:hAnsi="Times New Roman" w:cs="Times New Roman"/>
          <w:lang w:val="en-US" w:eastAsia="en-GB"/>
        </w:rPr>
        <w:t>economics, finance, law, politics or society</w:t>
      </w:r>
      <w:r w:rsidR="003E74A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672AA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72AAA">
        <w:rPr>
          <w:rFonts w:ascii="Times New Roman" w:eastAsia="Times New Roman" w:hAnsi="Times New Roman" w:cs="Times New Roman"/>
          <w:lang w:val="en-US" w:eastAsia="en-GB"/>
        </w:rPr>
        <w:t>Minimum 3 years</w:t>
      </w:r>
      <w:r>
        <w:rPr>
          <w:rFonts w:ascii="Times New Roman" w:eastAsia="Times New Roman" w:hAnsi="Times New Roman" w:cs="Times New Roman"/>
          <w:lang w:val="en-US" w:eastAsia="en-GB"/>
        </w:rPr>
        <w:t>.</w:t>
      </w:r>
    </w:p>
    <w:p w:rsidR="005417FF" w:rsidRPr="00AF7D78" w:rsidRDefault="005417FF"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bookmarkStart w:id="0" w:name="_GoBack"/>
      <w:bookmarkEnd w:id="0"/>
    </w:p>
    <w:p w:rsidR="00AF7D78" w:rsidRDefault="005417F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417FF">
        <w:rPr>
          <w:rFonts w:ascii="Times New Roman" w:eastAsia="Times New Roman" w:hAnsi="Times New Roman" w:cs="Times New Roman"/>
          <w:lang w:val="en-US" w:eastAsia="en-GB"/>
        </w:rPr>
        <w:t>English</w:t>
      </w:r>
      <w:r>
        <w:rPr>
          <w:rFonts w:ascii="Times New Roman" w:eastAsia="Times New Roman" w:hAnsi="Times New Roman" w:cs="Times New Roman"/>
          <w:lang w:val="en-US" w:eastAsia="en-GB"/>
        </w:rPr>
        <w:t>.</w:t>
      </w:r>
    </w:p>
    <w:p w:rsidR="005417FF" w:rsidRPr="00AF7D78" w:rsidRDefault="005417F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5417FF" w:rsidRPr="00AF7D78" w:rsidRDefault="005417FF"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72AA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672AAA" w:rsidRPr="006C5664" w:rsidRDefault="00672AAA"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E74A2"/>
    <w:rsid w:val="00534042"/>
    <w:rsid w:val="005417FF"/>
    <w:rsid w:val="00672AAA"/>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ain.decker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7124</Characters>
  <Application>Microsoft Office Word</Application>
  <DocSecurity>0</DocSecurity>
  <Lines>154</Lines>
  <Paragraphs>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2019-12-11T16:11:00Z</dcterms:created>
  <dcterms:modified xsi:type="dcterms:W3CDTF">2019-12-11T16:11:00Z</dcterms:modified>
</cp:coreProperties>
</file>