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B5092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B5092B" w:rsidP="00B5092B">
            <w:pPr>
              <w:rPr>
                <w:rFonts w:ascii="Times New Roman" w:eastAsia="Times New Roman" w:hAnsi="Times New Roman" w:cs="Times New Roman"/>
                <w:b/>
                <w:lang w:val="en-GB" w:eastAsia="en-GB"/>
              </w:rPr>
            </w:pPr>
            <w:hyperlink r:id="rId8" w:history="1">
              <w:r w:rsidRPr="00067194">
                <w:rPr>
                  <w:rStyle w:val="Hyperlink"/>
                  <w:rFonts w:ascii="Times New Roman" w:eastAsia="Times New Roman" w:hAnsi="Times New Roman" w:cs="Times New Roman"/>
                  <w:b/>
                  <w:lang w:val="en-GB" w:eastAsia="en-GB"/>
                </w:rPr>
                <w:t>davinia.wood@ec.europa.eu</w:t>
              </w:r>
            </w:hyperlink>
            <w:r>
              <w:rPr>
                <w:rFonts w:ascii="Times New Roman" w:eastAsia="Times New Roman" w:hAnsi="Times New Roman" w:cs="Times New Roman"/>
                <w:b/>
                <w:lang w:val="en-GB" w:eastAsia="en-GB"/>
              </w:rPr>
              <w:t xml:space="preserve"> </w:t>
            </w:r>
            <w:r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B5092B">
              <w:rPr>
                <w:rFonts w:ascii="Times New Roman" w:eastAsia="Times New Roman" w:hAnsi="Times New Roman" w:cs="Times New Roman"/>
                <w:b/>
                <w:lang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509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5092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467715">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67715">
              <w:rPr>
                <w:rFonts w:ascii="Times New Roman" w:eastAsia="Times New Roman" w:hAnsi="Times New Roman" w:cs="Times New Roman"/>
                <w:b/>
                <w:lang w:val="en-US" w:eastAsia="en-GB"/>
              </w:rPr>
              <w:t>Nigeria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509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w:t>
      </w:r>
      <w:bookmarkStart w:id="0" w:name="_GoBack"/>
      <w:bookmarkEnd w:id="0"/>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6771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467715"/>
    <w:rsid w:val="00534042"/>
    <w:rsid w:val="0061327F"/>
    <w:rsid w:val="006D5237"/>
    <w:rsid w:val="007961B7"/>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5DF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10442</Characters>
  <Application>Microsoft Office Word</Application>
  <DocSecurity>0</DocSecurity>
  <Lines>204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2020-09-09T16:07:00Z</dcterms:created>
  <dcterms:modified xsi:type="dcterms:W3CDTF">2020-09-09T16:07:00Z</dcterms:modified>
</cp:coreProperties>
</file>