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D4" w:rsidRPr="00FB7749" w:rsidRDefault="007168D4" w:rsidP="007168D4">
      <w:pPr>
        <w:jc w:val="center"/>
        <w:rPr>
          <w:rFonts w:ascii="Arial" w:hAnsi="Arial" w:cs="Arial"/>
          <w:b/>
          <w:color w:val="1F497D"/>
          <w:sz w:val="56"/>
          <w:szCs w:val="56"/>
          <w:lang w:eastAsia="en-GB"/>
        </w:rPr>
      </w:pPr>
      <w:bookmarkStart w:id="0" w:name="_Toc476063476"/>
      <w:bookmarkStart w:id="1" w:name="_Toc476067958"/>
      <w:bookmarkStart w:id="2" w:name="_GoBack"/>
      <w:bookmarkEnd w:id="2"/>
      <w:r w:rsidRPr="00FB7749">
        <w:rPr>
          <w:noProof/>
          <w:lang w:eastAsia="en-GB"/>
        </w:rPr>
        <w:drawing>
          <wp:inline distT="0" distB="0" distL="0" distR="0" wp14:anchorId="7E6FBC0E" wp14:editId="1F8E625E">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rsidR="007168D4" w:rsidRPr="00FB7749" w:rsidRDefault="007168D4" w:rsidP="007168D4">
      <w:pPr>
        <w:spacing w:after="0" w:line="240" w:lineRule="auto"/>
        <w:rPr>
          <w:rFonts w:ascii="Calibri" w:eastAsia="Times New Roman" w:hAnsi="Calibri" w:cs="Times New Roman"/>
          <w:b/>
          <w:bCs/>
          <w:color w:val="1F497D"/>
          <w:sz w:val="36"/>
          <w:szCs w:val="36"/>
        </w:rPr>
      </w:pPr>
      <w:r w:rsidRPr="00FB7749">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34607E99" wp14:editId="74E5943D">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7168D4" w:rsidRPr="002B512C" w:rsidTr="0096534D">
        <w:tc>
          <w:tcPr>
            <w:tcW w:w="9175" w:type="dxa"/>
            <w:shd w:val="clear" w:color="auto" w:fill="auto"/>
          </w:tcPr>
          <w:p w:rsidR="007168D4" w:rsidRPr="007338F0" w:rsidRDefault="007168D4" w:rsidP="0096534D">
            <w:pPr>
              <w:spacing w:after="0" w:line="240" w:lineRule="auto"/>
              <w:rPr>
                <w:rFonts w:ascii="Times New Roman" w:eastAsia="Times New Roman" w:hAnsi="Times New Roman" w:cs="Times New Roman"/>
                <w:sz w:val="24"/>
                <w:szCs w:val="24"/>
                <w:lang w:eastAsia="en-GB"/>
              </w:rPr>
            </w:pPr>
          </w:p>
          <w:p w:rsidR="007168D4" w:rsidRPr="007338F0" w:rsidRDefault="007168D4" w:rsidP="0096534D">
            <w:pPr>
              <w:spacing w:after="0" w:line="240" w:lineRule="auto"/>
              <w:rPr>
                <w:rFonts w:ascii="Times New Roman" w:eastAsia="Times New Roman" w:hAnsi="Times New Roman" w:cs="Times New Roman"/>
                <w:sz w:val="24"/>
                <w:szCs w:val="24"/>
                <w:lang w:eastAsia="en-GB"/>
              </w:rPr>
            </w:pPr>
          </w:p>
          <w:p w:rsidR="007168D4" w:rsidRPr="007338F0" w:rsidRDefault="007168D4" w:rsidP="0096534D">
            <w:pPr>
              <w:pStyle w:val="Heading2"/>
              <w:jc w:val="center"/>
              <w:rPr>
                <w:sz w:val="32"/>
                <w:szCs w:val="32"/>
              </w:rPr>
            </w:pPr>
            <w:bookmarkStart w:id="3" w:name="_Toc484173508"/>
            <w:bookmarkStart w:id="4" w:name="_Toc476063477"/>
            <w:bookmarkStart w:id="5" w:name="_Toc476067959"/>
            <w:r w:rsidRPr="007338F0">
              <w:rPr>
                <w:sz w:val="32"/>
                <w:szCs w:val="32"/>
              </w:rPr>
              <w:t>ANNEX C1: Twinning Fiche</w:t>
            </w:r>
            <w:bookmarkEnd w:id="3"/>
          </w:p>
          <w:bookmarkEnd w:id="4"/>
          <w:bookmarkEnd w:id="5"/>
          <w:p w:rsidR="007168D4" w:rsidRPr="007338F0" w:rsidRDefault="007168D4" w:rsidP="0096534D">
            <w:pPr>
              <w:tabs>
                <w:tab w:val="center" w:pos="4536"/>
                <w:tab w:val="right" w:pos="9072"/>
              </w:tabs>
              <w:spacing w:after="0" w:line="240" w:lineRule="auto"/>
              <w:outlineLvl w:val="0"/>
              <w:rPr>
                <w:rFonts w:ascii="Times New Roman" w:eastAsia="Times New Roman" w:hAnsi="Times New Roman" w:cs="Times New Roman"/>
                <w:b/>
                <w:bCs/>
                <w:sz w:val="36"/>
                <w:szCs w:val="36"/>
              </w:rPr>
            </w:pPr>
          </w:p>
          <w:p w:rsidR="007168D4" w:rsidRPr="00FB7685" w:rsidRDefault="007168D4" w:rsidP="004747AC">
            <w:pPr>
              <w:jc w:val="both"/>
              <w:rPr>
                <w:rFonts w:ascii="Times New Roman" w:hAnsi="Times New Roman" w:cs="Times New Roman"/>
                <w:b/>
                <w:bCs/>
                <w:sz w:val="28"/>
                <w:szCs w:val="28"/>
              </w:rPr>
            </w:pPr>
            <w:bookmarkStart w:id="6" w:name="_Toc476063479"/>
            <w:bookmarkStart w:id="7" w:name="_Toc476067961"/>
            <w:r w:rsidRPr="007338F0">
              <w:rPr>
                <w:rFonts w:ascii="Times New Roman" w:hAnsi="Times New Roman" w:cs="Times New Roman"/>
                <w:b/>
                <w:bCs/>
                <w:sz w:val="28"/>
                <w:szCs w:val="28"/>
              </w:rPr>
              <w:t>Project title:</w:t>
            </w:r>
            <w:r w:rsidRPr="007338F0">
              <w:rPr>
                <w:rFonts w:ascii="Times New Roman" w:hAnsi="Times New Roman" w:cs="Times New Roman"/>
                <w:sz w:val="28"/>
                <w:szCs w:val="28"/>
                <w:lang w:eastAsia="en-GB"/>
              </w:rPr>
              <w:t xml:space="preserve"> </w:t>
            </w:r>
            <w:r w:rsidR="004747AC" w:rsidRPr="004747AC">
              <w:rPr>
                <w:rFonts w:ascii="Times New Roman" w:hAnsi="Times New Roman" w:cs="Times New Roman"/>
                <w:sz w:val="28"/>
                <w:szCs w:val="28"/>
                <w:lang w:eastAsia="en-GB"/>
              </w:rPr>
              <w:t>"</w:t>
            </w:r>
            <w:r w:rsidR="00952FDD" w:rsidRPr="004747AC">
              <w:rPr>
                <w:rFonts w:ascii="Times New Roman" w:hAnsi="Times New Roman" w:cs="Times New Roman"/>
                <w:sz w:val="28"/>
                <w:szCs w:val="28"/>
                <w:lang w:eastAsia="en-GB"/>
              </w:rPr>
              <w:t>Strengthen</w:t>
            </w:r>
            <w:r w:rsidR="00952FDD">
              <w:rPr>
                <w:rFonts w:ascii="Times New Roman" w:hAnsi="Times New Roman" w:cs="Times New Roman"/>
                <w:sz w:val="28"/>
                <w:szCs w:val="28"/>
                <w:lang w:eastAsia="en-GB"/>
              </w:rPr>
              <w:t>ing</w:t>
            </w:r>
            <w:r w:rsidR="004747AC" w:rsidRPr="004747AC">
              <w:rPr>
                <w:rFonts w:ascii="Times New Roman" w:hAnsi="Times New Roman" w:cs="Times New Roman"/>
                <w:sz w:val="28"/>
                <w:szCs w:val="28"/>
                <w:lang w:eastAsia="en-GB"/>
              </w:rPr>
              <w:t xml:space="preserve"> supervision, corporate governance and risk management in </w:t>
            </w:r>
            <w:r w:rsidR="004747AC" w:rsidRPr="00FB7685">
              <w:rPr>
                <w:rFonts w:ascii="Times New Roman" w:hAnsi="Times New Roman" w:cs="Times New Roman"/>
                <w:sz w:val="28"/>
                <w:szCs w:val="28"/>
                <w:lang w:eastAsia="en-GB"/>
              </w:rPr>
              <w:t>the financial sector"</w:t>
            </w:r>
            <w:bookmarkEnd w:id="6"/>
            <w:bookmarkEnd w:id="7"/>
          </w:p>
          <w:p w:rsidR="007168D4" w:rsidRPr="007338F0" w:rsidRDefault="007168D4" w:rsidP="0096534D">
            <w:pPr>
              <w:rPr>
                <w:rFonts w:ascii="Times New Roman" w:hAnsi="Times New Roman" w:cs="Times New Roman"/>
                <w:b/>
                <w:bCs/>
                <w:sz w:val="28"/>
                <w:szCs w:val="28"/>
              </w:rPr>
            </w:pPr>
            <w:bookmarkStart w:id="8" w:name="_Toc476063480"/>
            <w:bookmarkStart w:id="9" w:name="_Toc476067962"/>
            <w:r w:rsidRPr="00FB7685">
              <w:rPr>
                <w:rFonts w:ascii="Times New Roman" w:hAnsi="Times New Roman" w:cs="Times New Roman"/>
                <w:b/>
                <w:bCs/>
                <w:sz w:val="28"/>
                <w:szCs w:val="28"/>
              </w:rPr>
              <w:t xml:space="preserve">Beneficiary administration: </w:t>
            </w:r>
            <w:r w:rsidR="00F31CB2" w:rsidRPr="00FB7685">
              <w:rPr>
                <w:rFonts w:ascii="Times New Roman" w:hAnsi="Times New Roman" w:cs="Times New Roman"/>
                <w:bCs/>
                <w:sz w:val="28"/>
                <w:szCs w:val="28"/>
              </w:rPr>
              <w:t>National Bank of the</w:t>
            </w:r>
            <w:r w:rsidR="008F11EF" w:rsidRPr="00FB7685">
              <w:rPr>
                <w:rFonts w:ascii="Times New Roman" w:hAnsi="Times New Roman" w:cs="Times New Roman"/>
                <w:bCs/>
                <w:sz w:val="28"/>
                <w:szCs w:val="28"/>
              </w:rPr>
              <w:t xml:space="preserve"> Republic of Moldova, National C</w:t>
            </w:r>
            <w:r w:rsidR="00F31CB2" w:rsidRPr="00FB7685">
              <w:rPr>
                <w:rFonts w:ascii="Times New Roman" w:hAnsi="Times New Roman" w:cs="Times New Roman"/>
                <w:bCs/>
                <w:sz w:val="28"/>
                <w:szCs w:val="28"/>
              </w:rPr>
              <w:t>ommission for Financial Markets</w:t>
            </w:r>
            <w:bookmarkEnd w:id="8"/>
            <w:bookmarkEnd w:id="9"/>
            <w:r w:rsidR="00F31CB2" w:rsidRPr="00FB7685">
              <w:rPr>
                <w:rFonts w:ascii="Times New Roman" w:hAnsi="Times New Roman" w:cs="Times New Roman"/>
                <w:sz w:val="28"/>
                <w:szCs w:val="28"/>
                <w:lang w:eastAsia="en-GB"/>
              </w:rPr>
              <w:t xml:space="preserve"> </w:t>
            </w:r>
          </w:p>
          <w:p w:rsidR="00327E78" w:rsidRDefault="007168D4" w:rsidP="0096534D">
            <w:pPr>
              <w:rPr>
                <w:rFonts w:ascii="Times New Roman" w:hAnsi="Times New Roman" w:cs="Times New Roman"/>
                <w:b/>
                <w:bCs/>
                <w:sz w:val="28"/>
                <w:szCs w:val="28"/>
              </w:rPr>
            </w:pPr>
            <w:bookmarkStart w:id="10" w:name="_Toc476063481"/>
            <w:bookmarkStart w:id="11" w:name="_Toc476067963"/>
            <w:r w:rsidRPr="007338F0">
              <w:rPr>
                <w:rFonts w:ascii="Times New Roman" w:hAnsi="Times New Roman" w:cs="Times New Roman"/>
                <w:b/>
                <w:bCs/>
                <w:sz w:val="28"/>
                <w:szCs w:val="28"/>
              </w:rPr>
              <w:t>Twinning Reference:</w:t>
            </w:r>
            <w:r w:rsidRPr="007338F0">
              <w:rPr>
                <w:rFonts w:ascii="Times New Roman" w:hAnsi="Times New Roman" w:cs="Times New Roman"/>
                <w:sz w:val="28"/>
                <w:szCs w:val="28"/>
                <w:lang w:eastAsia="en-GB"/>
              </w:rPr>
              <w:t xml:space="preserve"> </w:t>
            </w:r>
            <w:r w:rsidR="002245B9" w:rsidRPr="002245B9">
              <w:rPr>
                <w:rFonts w:ascii="Times New Roman" w:hAnsi="Times New Roman" w:cs="Times New Roman"/>
                <w:sz w:val="28"/>
                <w:szCs w:val="28"/>
                <w:lang w:eastAsia="en-GB"/>
              </w:rPr>
              <w:t xml:space="preserve">MD 17 ENI FI </w:t>
            </w:r>
            <w:r w:rsidR="00F62E38">
              <w:rPr>
                <w:rFonts w:ascii="Times New Roman" w:hAnsi="Times New Roman" w:cs="Times New Roman"/>
                <w:sz w:val="28"/>
                <w:szCs w:val="28"/>
                <w:lang w:eastAsia="en-GB"/>
              </w:rPr>
              <w:t>01</w:t>
            </w:r>
            <w:r w:rsidR="0095353A">
              <w:rPr>
                <w:rFonts w:ascii="Times New Roman" w:hAnsi="Times New Roman" w:cs="Times New Roman"/>
                <w:sz w:val="28"/>
                <w:szCs w:val="28"/>
                <w:lang w:eastAsia="en-GB"/>
              </w:rPr>
              <w:t xml:space="preserve"> 19</w:t>
            </w:r>
            <w:r w:rsidR="0025539E">
              <w:rPr>
                <w:rFonts w:ascii="Times New Roman" w:hAnsi="Times New Roman" w:cs="Times New Roman"/>
                <w:sz w:val="28"/>
                <w:szCs w:val="28"/>
                <w:lang w:eastAsia="en-GB"/>
              </w:rPr>
              <w:t xml:space="preserve"> R </w:t>
            </w:r>
            <w:r w:rsidR="0025539E" w:rsidRPr="0025539E">
              <w:rPr>
                <w:rFonts w:ascii="Times New Roman" w:hAnsi="Times New Roman" w:cs="Times New Roman"/>
                <w:sz w:val="28"/>
                <w:szCs w:val="28"/>
                <w:lang w:eastAsia="en-GB"/>
              </w:rPr>
              <w:t>(MD/37)</w:t>
            </w:r>
            <w:r w:rsidR="002245B9" w:rsidRPr="002245B9">
              <w:rPr>
                <w:rFonts w:ascii="Times New Roman" w:hAnsi="Times New Roman" w:cs="Times New Roman"/>
                <w:sz w:val="28"/>
                <w:szCs w:val="28"/>
                <w:lang w:eastAsia="en-GB"/>
              </w:rPr>
              <w:t xml:space="preserve"> </w:t>
            </w:r>
            <w:bookmarkStart w:id="12" w:name="_Toc476063482"/>
            <w:bookmarkStart w:id="13" w:name="_Toc476067964"/>
            <w:bookmarkEnd w:id="10"/>
            <w:bookmarkEnd w:id="11"/>
          </w:p>
          <w:p w:rsidR="007168D4" w:rsidRDefault="007168D4" w:rsidP="0096534D">
            <w:pPr>
              <w:spacing w:after="0" w:line="240" w:lineRule="auto"/>
              <w:rPr>
                <w:rFonts w:ascii="Times New Roman" w:hAnsi="Times New Roman" w:cs="Times New Roman"/>
                <w:sz w:val="28"/>
                <w:szCs w:val="28"/>
                <w:lang w:eastAsia="en-GB"/>
              </w:rPr>
            </w:pPr>
            <w:r w:rsidRPr="007338F0">
              <w:rPr>
                <w:rFonts w:ascii="Times New Roman" w:hAnsi="Times New Roman" w:cs="Times New Roman"/>
                <w:b/>
                <w:bCs/>
                <w:sz w:val="28"/>
                <w:szCs w:val="28"/>
              </w:rPr>
              <w:t xml:space="preserve">Publication notice reference: </w:t>
            </w:r>
            <w:bookmarkEnd w:id="12"/>
            <w:bookmarkEnd w:id="13"/>
            <w:r w:rsidR="00AA0A68" w:rsidRPr="00AA0A68">
              <w:rPr>
                <w:rFonts w:ascii="Times New Roman" w:hAnsi="Times New Roman" w:cs="Times New Roman"/>
                <w:sz w:val="28"/>
                <w:szCs w:val="28"/>
                <w:lang w:eastAsia="en-GB"/>
              </w:rPr>
              <w:t>Europeaid/</w:t>
            </w:r>
            <w:r w:rsidR="0095353A">
              <w:rPr>
                <w:rFonts w:ascii="Times New Roman" w:hAnsi="Times New Roman" w:cs="Times New Roman"/>
                <w:sz w:val="28"/>
                <w:szCs w:val="28"/>
                <w:lang w:eastAsia="en-GB"/>
              </w:rPr>
              <w:t>160537</w:t>
            </w:r>
            <w:r w:rsidR="00AA0A68" w:rsidRPr="00AA0A68">
              <w:rPr>
                <w:rFonts w:ascii="Times New Roman" w:hAnsi="Times New Roman" w:cs="Times New Roman"/>
                <w:sz w:val="28"/>
                <w:szCs w:val="28"/>
                <w:lang w:eastAsia="en-GB"/>
              </w:rPr>
              <w:t xml:space="preserve">/DD/ACT/Multi </w:t>
            </w:r>
          </w:p>
          <w:p w:rsidR="00AA0A68" w:rsidRPr="007338F0" w:rsidRDefault="00AA0A68" w:rsidP="0096534D">
            <w:pPr>
              <w:spacing w:after="0" w:line="240" w:lineRule="auto"/>
              <w:rPr>
                <w:rFonts w:ascii="Times New Roman" w:eastAsia="Times New Roman" w:hAnsi="Times New Roman" w:cs="Times New Roman"/>
                <w:sz w:val="24"/>
                <w:szCs w:val="24"/>
                <w:lang w:eastAsia="en-GB"/>
              </w:rPr>
            </w:pPr>
          </w:p>
        </w:tc>
      </w:tr>
    </w:tbl>
    <w:p w:rsidR="007168D4" w:rsidRPr="007338F0" w:rsidRDefault="007168D4" w:rsidP="007168D4">
      <w:pPr>
        <w:spacing w:after="0" w:line="240" w:lineRule="auto"/>
        <w:rPr>
          <w:rFonts w:ascii="Times New Roman" w:eastAsia="Times New Roman" w:hAnsi="Times New Roman" w:cs="Times New Roman"/>
          <w:sz w:val="24"/>
          <w:szCs w:val="24"/>
          <w:lang w:eastAsia="en-GB"/>
        </w:rPr>
      </w:pPr>
    </w:p>
    <w:p w:rsidR="007168D4" w:rsidRPr="007338F0" w:rsidRDefault="007168D4" w:rsidP="007168D4">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168D4" w:rsidRPr="002B512C" w:rsidTr="0096534D">
        <w:tc>
          <w:tcPr>
            <w:tcW w:w="9214" w:type="dxa"/>
            <w:shd w:val="clear" w:color="auto" w:fill="auto"/>
          </w:tcPr>
          <w:p w:rsidR="007168D4" w:rsidRPr="007338F0" w:rsidRDefault="007168D4" w:rsidP="0096534D">
            <w:pPr>
              <w:jc w:val="center"/>
              <w:rPr>
                <w:rFonts w:ascii="Times New Roman" w:hAnsi="Times New Roman" w:cs="Times New Roman"/>
                <w:b/>
                <w:sz w:val="32"/>
                <w:szCs w:val="32"/>
              </w:rPr>
            </w:pPr>
            <w:r w:rsidRPr="007338F0">
              <w:rPr>
                <w:rFonts w:ascii="Times New Roman" w:hAnsi="Times New Roman" w:cs="Times New Roman"/>
                <w:b/>
                <w:sz w:val="32"/>
                <w:szCs w:val="32"/>
              </w:rPr>
              <w:t>EU funded project</w:t>
            </w:r>
          </w:p>
          <w:p w:rsidR="007168D4" w:rsidRPr="007338F0" w:rsidRDefault="007168D4" w:rsidP="0096534D">
            <w:pPr>
              <w:jc w:val="center"/>
            </w:pPr>
            <w:r w:rsidRPr="007338F0">
              <w:rPr>
                <w:rFonts w:ascii="Times New Roman" w:hAnsi="Times New Roman" w:cs="Times New Roman"/>
                <w:b/>
                <w:i/>
                <w:sz w:val="32"/>
                <w:szCs w:val="32"/>
              </w:rPr>
              <w:t>TWINNING INSTRUMENT</w:t>
            </w:r>
          </w:p>
        </w:tc>
      </w:tr>
    </w:tbl>
    <w:p w:rsidR="007168D4" w:rsidRPr="00FB7749" w:rsidRDefault="007168D4" w:rsidP="007168D4">
      <w:pPr>
        <w:spacing w:after="0" w:line="240" w:lineRule="auto"/>
        <w:jc w:val="center"/>
        <w:rPr>
          <w:rFonts w:ascii="Arial" w:eastAsia="Times New Roman" w:hAnsi="Arial" w:cs="Arial"/>
          <w:sz w:val="24"/>
          <w:szCs w:val="24"/>
          <w:lang w:eastAsia="en-GB"/>
        </w:rPr>
      </w:pPr>
    </w:p>
    <w:p w:rsidR="007168D4" w:rsidRDefault="007168D4" w:rsidP="007168D4">
      <w:pP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br w:type="page"/>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color w:val="0000FF"/>
          <w:sz w:val="24"/>
          <w:szCs w:val="24"/>
          <w:lang w:eastAsia="en-GB"/>
        </w:rPr>
      </w:pPr>
      <w:r w:rsidRPr="00FB7749">
        <w:rPr>
          <w:rFonts w:ascii="Times New Roman" w:eastAsia="Times New Roman" w:hAnsi="Times New Roman" w:cs="Times New Roman"/>
          <w:b/>
          <w:bCs/>
          <w:sz w:val="24"/>
          <w:szCs w:val="24"/>
          <w:lang w:eastAsia="en-GB"/>
        </w:rPr>
        <w:lastRenderedPageBreak/>
        <w:t>1.</w:t>
      </w:r>
      <w:r w:rsidRPr="00FB7749">
        <w:rPr>
          <w:rFonts w:ascii="Times New Roman" w:eastAsia="Times New Roman" w:hAnsi="Times New Roman" w:cs="Times New Roman"/>
          <w:b/>
          <w:bCs/>
          <w:sz w:val="24"/>
          <w:szCs w:val="24"/>
          <w:lang w:eastAsia="en-GB"/>
        </w:rPr>
        <w:tab/>
        <w:t>Basic Information</w:t>
      </w:r>
    </w:p>
    <w:p w:rsidR="007168D4"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bCs/>
          <w:sz w:val="24"/>
          <w:szCs w:val="24"/>
          <w:lang w:eastAsia="en-GB"/>
        </w:rPr>
        <w:t>1.1</w:t>
      </w:r>
      <w:r w:rsidRPr="00FB7749">
        <w:rPr>
          <w:rFonts w:ascii="Times New Roman" w:eastAsia="Times New Roman" w:hAnsi="Times New Roman" w:cs="Times New Roman"/>
          <w:bCs/>
          <w:sz w:val="24"/>
          <w:szCs w:val="24"/>
          <w:lang w:eastAsia="en-GB"/>
        </w:rPr>
        <w:tab/>
        <w:t xml:space="preserve">Programme: </w:t>
      </w:r>
      <w:r w:rsidR="008E5999" w:rsidRPr="005B2094">
        <w:rPr>
          <w:rFonts w:ascii="Times New Roman" w:eastAsia="Times New Roman" w:hAnsi="Times New Roman" w:cs="Times New Roman"/>
          <w:bCs/>
          <w:sz w:val="24"/>
          <w:szCs w:val="24"/>
          <w:lang w:eastAsia="en-GB"/>
        </w:rPr>
        <w:t>Strengthening the growth potential of the Republic of Moldova through a more transparent, efficient, competitive and resilient economic environment</w:t>
      </w:r>
      <w:r w:rsidR="008E5999" w:rsidRPr="005B2094">
        <w:rPr>
          <w:rFonts w:ascii="Times New Roman" w:eastAsia="Times New Roman" w:hAnsi="Times New Roman" w:cs="Times New Roman"/>
          <w:sz w:val="24"/>
          <w:szCs w:val="24"/>
          <w:lang w:eastAsia="en-GB"/>
        </w:rPr>
        <w:t xml:space="preserve">, </w:t>
      </w:r>
      <w:r w:rsidR="008F5D3F" w:rsidRPr="005B2094">
        <w:rPr>
          <w:rFonts w:ascii="Times New Roman" w:eastAsia="Times New Roman" w:hAnsi="Times New Roman" w:cs="Times New Roman"/>
          <w:sz w:val="24"/>
          <w:szCs w:val="24"/>
          <w:lang w:eastAsia="en-GB"/>
        </w:rPr>
        <w:t xml:space="preserve">ref. </w:t>
      </w:r>
      <w:r w:rsidR="008E5999" w:rsidRPr="005B2094">
        <w:rPr>
          <w:rFonts w:ascii="Times New Roman" w:eastAsia="Times New Roman" w:hAnsi="Times New Roman" w:cs="Times New Roman"/>
          <w:sz w:val="24"/>
          <w:szCs w:val="24"/>
          <w:lang w:eastAsia="en-GB"/>
        </w:rPr>
        <w:t>CRIS</w:t>
      </w:r>
      <w:r w:rsidR="008F5D3F" w:rsidRPr="005B2094">
        <w:rPr>
          <w:rFonts w:ascii="Times New Roman" w:eastAsia="Times New Roman" w:hAnsi="Times New Roman" w:cs="Times New Roman"/>
          <w:sz w:val="24"/>
          <w:szCs w:val="24"/>
          <w:lang w:eastAsia="en-GB"/>
        </w:rPr>
        <w:t xml:space="preserve">  </w:t>
      </w:r>
      <w:r w:rsidR="005B2094" w:rsidRPr="005B2094">
        <w:rPr>
          <w:rFonts w:ascii="Times New Roman" w:eastAsia="Times New Roman" w:hAnsi="Times New Roman" w:cs="Times New Roman"/>
          <w:sz w:val="24"/>
          <w:szCs w:val="24"/>
          <w:lang w:eastAsia="en-GB"/>
        </w:rPr>
        <w:t>ENI/2017/040-480</w:t>
      </w:r>
    </w:p>
    <w:p w:rsidR="00242FFA" w:rsidRPr="00DD77EC" w:rsidRDefault="00242FFA" w:rsidP="00242FFA">
      <w:pPr>
        <w:spacing w:before="360" w:after="360" w:line="240" w:lineRule="auto"/>
        <w:ind w:left="540"/>
        <w:jc w:val="both"/>
        <w:rPr>
          <w:rFonts w:ascii="Times New Roman" w:eastAsia="Times New Roman" w:hAnsi="Times New Roman" w:cs="Times New Roman"/>
          <w:i/>
          <w:snapToGrid w:val="0"/>
        </w:rPr>
      </w:pPr>
      <w:r>
        <w:rPr>
          <w:rFonts w:ascii="Times New Roman" w:eastAsia="Times New Roman" w:hAnsi="Times New Roman" w:cs="Times New Roman"/>
          <w:i/>
          <w:iCs/>
          <w:snapToGrid w:val="0"/>
        </w:rPr>
        <w:t xml:space="preserve">For British applicants: </w:t>
      </w:r>
      <w:r w:rsidRPr="00DD77EC">
        <w:rPr>
          <w:rFonts w:ascii="Times New Roman" w:eastAsia="Times New Roman" w:hAnsi="Times New Roman" w:cs="Times New Roman"/>
          <w:i/>
          <w:iCs/>
          <w:snapToGrid w:val="0"/>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the contract award, candidates or tenderers from the United Kingdom, could be rejected from the procurement procedure.</w:t>
      </w:r>
    </w:p>
    <w:p w:rsidR="007168D4" w:rsidRPr="00FB7749"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1.2</w:t>
      </w:r>
      <w:r w:rsidRPr="00FB7749">
        <w:rPr>
          <w:rFonts w:ascii="Times New Roman" w:eastAsia="Times New Roman" w:hAnsi="Times New Roman" w:cs="Times New Roman"/>
          <w:sz w:val="24"/>
          <w:szCs w:val="24"/>
          <w:lang w:eastAsia="en-GB"/>
        </w:rPr>
        <w:tab/>
        <w:t xml:space="preserve">Twinning Sector: </w:t>
      </w:r>
      <w:r w:rsidR="008D145A" w:rsidRPr="008D145A">
        <w:rPr>
          <w:rFonts w:ascii="Times New Roman" w:eastAsia="Times New Roman" w:hAnsi="Times New Roman" w:cs="Times New Roman"/>
          <w:sz w:val="24"/>
          <w:szCs w:val="24"/>
          <w:u w:val="dotted"/>
          <w:lang w:eastAsia="en-GB"/>
        </w:rPr>
        <w:t>Finance, Internal Market and economic criteria</w:t>
      </w:r>
      <w:r w:rsidRPr="008D145A">
        <w:rPr>
          <w:rFonts w:ascii="Times New Roman" w:eastAsia="Times New Roman" w:hAnsi="Times New Roman" w:cs="Times New Roman"/>
          <w:sz w:val="24"/>
          <w:szCs w:val="24"/>
          <w:u w:val="dotted"/>
          <w:lang w:eastAsia="en-GB"/>
        </w:rPr>
        <w:t>.</w:t>
      </w:r>
    </w:p>
    <w:p w:rsidR="007168D4" w:rsidRPr="00FB7749"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1.3</w:t>
      </w:r>
      <w:r w:rsidRPr="00FB7749">
        <w:rPr>
          <w:rFonts w:ascii="Times New Roman" w:eastAsia="Times New Roman" w:hAnsi="Times New Roman" w:cs="Times New Roman"/>
          <w:sz w:val="24"/>
          <w:szCs w:val="24"/>
          <w:lang w:eastAsia="en-GB"/>
        </w:rPr>
        <w:tab/>
        <w:t xml:space="preserve">EU funded budget: </w:t>
      </w:r>
      <w:r w:rsidR="004747AC" w:rsidRPr="000C7591">
        <w:rPr>
          <w:rFonts w:ascii="Times New Roman" w:eastAsia="Times New Roman" w:hAnsi="Times New Roman" w:cs="Times New Roman"/>
          <w:sz w:val="24"/>
          <w:szCs w:val="24"/>
          <w:lang w:eastAsia="en-GB"/>
        </w:rPr>
        <w:t>EUR 1,750,000.00</w:t>
      </w:r>
      <w:r w:rsidR="004747AC" w:rsidRPr="00E422A3">
        <w:rPr>
          <w:rFonts w:ascii="Times New Roman" w:eastAsia="Times New Roman" w:hAnsi="Times New Roman" w:cs="Times New Roman"/>
          <w:i/>
          <w:sz w:val="24"/>
          <w:szCs w:val="24"/>
          <w:lang w:eastAsia="en-GB"/>
        </w:rPr>
        <w:t xml:space="preserve"> </w:t>
      </w:r>
      <w:r w:rsidR="00E422A3">
        <w:rPr>
          <w:rFonts w:ascii="Times New Roman" w:eastAsia="Times New Roman" w:hAnsi="Times New Roman" w:cs="Times New Roman"/>
          <w:i/>
          <w:sz w:val="24"/>
          <w:szCs w:val="24"/>
          <w:lang w:eastAsia="en-GB"/>
        </w:rPr>
        <w:t xml:space="preserve"> </w:t>
      </w:r>
    </w:p>
    <w:p w:rsidR="007168D4" w:rsidRPr="00FB7749" w:rsidRDefault="007168D4" w:rsidP="007168D4">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2.</w:t>
      </w:r>
      <w:r w:rsidRPr="00FB7749">
        <w:rPr>
          <w:rFonts w:ascii="Times New Roman" w:eastAsia="Times New Roman" w:hAnsi="Times New Roman" w:cs="Times New Roman"/>
          <w:b/>
          <w:bCs/>
          <w:sz w:val="24"/>
          <w:szCs w:val="24"/>
          <w:lang w:eastAsia="en-GB"/>
        </w:rPr>
        <w:tab/>
        <w:t>Objectives</w:t>
      </w:r>
    </w:p>
    <w:p w:rsidR="007168D4" w:rsidRPr="00FB7749" w:rsidRDefault="007168D4" w:rsidP="004362DF">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0"/>
        </w:rPr>
      </w:pPr>
      <w:r w:rsidRPr="00A339A7">
        <w:rPr>
          <w:rFonts w:ascii="Times New Roman" w:eastAsia="Times New Roman" w:hAnsi="Times New Roman" w:cs="Times New Roman"/>
          <w:bCs/>
          <w:sz w:val="24"/>
          <w:szCs w:val="24"/>
          <w:lang w:eastAsia="en-GB"/>
        </w:rPr>
        <w:t>2.1</w:t>
      </w:r>
      <w:r w:rsidRPr="00A339A7">
        <w:rPr>
          <w:rFonts w:ascii="Times New Roman" w:eastAsia="Times New Roman" w:hAnsi="Times New Roman" w:cs="Times New Roman"/>
          <w:bCs/>
          <w:sz w:val="24"/>
          <w:szCs w:val="24"/>
          <w:lang w:eastAsia="en-GB"/>
        </w:rPr>
        <w:tab/>
      </w:r>
      <w:r w:rsidR="004362DF" w:rsidRPr="00FB7685">
        <w:rPr>
          <w:rFonts w:ascii="Times New Roman" w:eastAsia="Times New Roman" w:hAnsi="Times New Roman" w:cs="Times New Roman"/>
          <w:b/>
          <w:sz w:val="24"/>
          <w:szCs w:val="24"/>
          <w:lang w:eastAsia="en-GB"/>
        </w:rPr>
        <w:t>Overall Objective</w:t>
      </w:r>
      <w:r w:rsidRPr="00FB7685">
        <w:rPr>
          <w:rFonts w:ascii="Times New Roman" w:eastAsia="Times New Roman" w:hAnsi="Times New Roman" w:cs="Times New Roman"/>
          <w:b/>
          <w:sz w:val="24"/>
          <w:szCs w:val="24"/>
          <w:lang w:eastAsia="en-GB"/>
        </w:rPr>
        <w:t>:</w:t>
      </w:r>
      <w:r w:rsidR="004362DF">
        <w:rPr>
          <w:rFonts w:ascii="Times New Roman" w:eastAsia="Times New Roman" w:hAnsi="Times New Roman" w:cs="Times New Roman"/>
          <w:sz w:val="24"/>
          <w:szCs w:val="24"/>
          <w:lang w:eastAsia="en-GB"/>
        </w:rPr>
        <w:t xml:space="preserve"> </w:t>
      </w:r>
      <w:r w:rsidR="004362DF" w:rsidRPr="004362DF">
        <w:rPr>
          <w:rFonts w:ascii="Times New Roman" w:eastAsia="Times New Roman" w:hAnsi="Times New Roman" w:cs="Times New Roman"/>
          <w:iCs/>
          <w:sz w:val="24"/>
          <w:szCs w:val="24"/>
          <w:lang w:eastAsia="en-GB"/>
        </w:rPr>
        <w:t xml:space="preserve">to support the potential for </w:t>
      </w:r>
      <w:r w:rsidR="004362DF" w:rsidRPr="00C37830">
        <w:rPr>
          <w:rFonts w:ascii="Times New Roman" w:eastAsia="Times New Roman" w:hAnsi="Times New Roman" w:cs="Times New Roman"/>
          <w:sz w:val="24"/>
          <w:szCs w:val="24"/>
        </w:rPr>
        <w:t xml:space="preserve">economic growth </w:t>
      </w:r>
      <w:r w:rsidR="004362DF" w:rsidRPr="00C37830">
        <w:rPr>
          <w:rFonts w:ascii="Times New Roman" w:eastAsia="Times New Roman" w:hAnsi="Times New Roman" w:cs="Times New Roman"/>
          <w:iCs/>
          <w:sz w:val="24"/>
          <w:szCs w:val="24"/>
          <w:lang w:eastAsia="en-GB"/>
        </w:rPr>
        <w:t>in the</w:t>
      </w:r>
      <w:r w:rsidR="004362DF" w:rsidRPr="004362DF">
        <w:rPr>
          <w:rFonts w:ascii="Times New Roman" w:eastAsia="Times New Roman" w:hAnsi="Times New Roman" w:cs="Times New Roman"/>
          <w:iCs/>
          <w:sz w:val="24"/>
          <w:szCs w:val="24"/>
          <w:lang w:eastAsia="en-GB"/>
        </w:rPr>
        <w:t xml:space="preserve"> Republic of Moldova through a more transparent, efficient, competitive and resilient economic environment.</w:t>
      </w:r>
    </w:p>
    <w:p w:rsidR="007168D4" w:rsidRPr="00FB7749" w:rsidRDefault="007168D4" w:rsidP="00FB7685">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2.2</w:t>
      </w:r>
      <w:r w:rsidRPr="00FB7749">
        <w:rPr>
          <w:rFonts w:ascii="Times New Roman" w:eastAsia="Times New Roman" w:hAnsi="Times New Roman" w:cs="Times New Roman"/>
          <w:sz w:val="24"/>
          <w:szCs w:val="24"/>
          <w:lang w:eastAsia="en-GB"/>
        </w:rPr>
        <w:tab/>
      </w:r>
      <w:r w:rsidRPr="00FB7685">
        <w:rPr>
          <w:rFonts w:ascii="Times New Roman" w:eastAsia="Times New Roman" w:hAnsi="Times New Roman" w:cs="Times New Roman"/>
          <w:b/>
          <w:sz w:val="24"/>
          <w:szCs w:val="24"/>
          <w:lang w:eastAsia="en-GB"/>
        </w:rPr>
        <w:t>Specific objective:</w:t>
      </w:r>
      <w:r w:rsidRPr="00FB7749">
        <w:rPr>
          <w:rFonts w:ascii="Times New Roman" w:eastAsia="Times New Roman" w:hAnsi="Times New Roman" w:cs="Times New Roman"/>
          <w:sz w:val="24"/>
          <w:szCs w:val="24"/>
          <w:lang w:eastAsia="en-GB"/>
        </w:rPr>
        <w:t xml:space="preserve"> </w:t>
      </w:r>
      <w:r w:rsidR="005E41C2">
        <w:rPr>
          <w:rFonts w:ascii="Times New Roman" w:eastAsia="Times New Roman" w:hAnsi="Times New Roman" w:cs="Times New Roman"/>
          <w:sz w:val="24"/>
          <w:szCs w:val="24"/>
          <w:lang w:eastAsia="en-GB"/>
        </w:rPr>
        <w:t>t</w:t>
      </w:r>
      <w:r w:rsidR="005E41C2" w:rsidRPr="005E41C2">
        <w:rPr>
          <w:rFonts w:ascii="Times New Roman" w:eastAsia="Times New Roman" w:hAnsi="Times New Roman" w:cs="Times New Roman"/>
          <w:sz w:val="24"/>
          <w:szCs w:val="24"/>
          <w:lang w:eastAsia="en-GB"/>
        </w:rPr>
        <w:t>o strengthen supervision</w:t>
      </w:r>
      <w:r w:rsidR="0000337D">
        <w:rPr>
          <w:rFonts w:ascii="Times New Roman" w:eastAsia="Times New Roman" w:hAnsi="Times New Roman" w:cs="Times New Roman"/>
          <w:sz w:val="24"/>
          <w:szCs w:val="24"/>
          <w:lang w:eastAsia="en-GB"/>
        </w:rPr>
        <w:t xml:space="preserve">, corporate governance and risk </w:t>
      </w:r>
      <w:r w:rsidR="005E41C2" w:rsidRPr="005E41C2">
        <w:rPr>
          <w:rFonts w:ascii="Times New Roman" w:eastAsia="Times New Roman" w:hAnsi="Times New Roman" w:cs="Times New Roman"/>
          <w:sz w:val="24"/>
          <w:szCs w:val="24"/>
          <w:lang w:eastAsia="en-GB"/>
        </w:rPr>
        <w:t>management in the financial sector.</w:t>
      </w:r>
    </w:p>
    <w:p w:rsidR="007168D4" w:rsidRPr="00FB7749" w:rsidRDefault="005E41C2" w:rsidP="005E41C2">
      <w:pPr>
        <w:tabs>
          <w:tab w:val="num" w:pos="540"/>
          <w:tab w:val="num" w:pos="1494"/>
        </w:tabs>
        <w:spacing w:after="0" w:line="240" w:lineRule="auto"/>
        <w:ind w:left="1494" w:hanging="36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w:t>
      </w:r>
    </w:p>
    <w:p w:rsidR="007168D4" w:rsidRDefault="007168D4" w:rsidP="00975FE7">
      <w:pPr>
        <w:autoSpaceDE w:val="0"/>
        <w:autoSpaceDN w:val="0"/>
        <w:adjustRightInd w:val="0"/>
        <w:spacing w:before="120" w:after="120" w:line="240" w:lineRule="auto"/>
        <w:ind w:left="547" w:hanging="547"/>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2.3</w:t>
      </w:r>
      <w:r w:rsidRPr="00FB7749">
        <w:rPr>
          <w:rFonts w:ascii="Times New Roman" w:eastAsia="Times New Roman" w:hAnsi="Times New Roman" w:cs="Times New Roman"/>
          <w:sz w:val="24"/>
          <w:szCs w:val="24"/>
          <w:lang w:eastAsia="en-GB"/>
        </w:rPr>
        <w:tab/>
        <w:t>The elements targeted in strategic documents i.e. National Development Plan/Cooperation agreement/Association Agreement/Sector reform strategy and related Action Plans</w:t>
      </w:r>
      <w:r w:rsidR="0000337D">
        <w:rPr>
          <w:rFonts w:ascii="Times New Roman" w:eastAsia="Times New Roman" w:hAnsi="Times New Roman" w:cs="Times New Roman"/>
          <w:sz w:val="24"/>
          <w:szCs w:val="24"/>
          <w:lang w:eastAsia="en-GB"/>
        </w:rPr>
        <w:tab/>
      </w:r>
    </w:p>
    <w:p w:rsidR="0055663D" w:rsidRPr="00FC2926" w:rsidRDefault="0055663D" w:rsidP="00D7341E">
      <w:pPr>
        <w:spacing w:after="120" w:line="240" w:lineRule="auto"/>
        <w:jc w:val="both"/>
        <w:rPr>
          <w:rFonts w:ascii="Times New Roman" w:hAnsi="Times New Roman" w:cs="Times New Roman"/>
          <w:sz w:val="24"/>
          <w:szCs w:val="24"/>
        </w:rPr>
      </w:pPr>
      <w:r w:rsidRPr="00FC2926">
        <w:rPr>
          <w:rFonts w:ascii="Times New Roman" w:hAnsi="Times New Roman" w:cs="Times New Roman"/>
          <w:sz w:val="24"/>
          <w:szCs w:val="24"/>
        </w:rPr>
        <w:t>The proposed action w</w:t>
      </w:r>
      <w:r w:rsidR="008E510D" w:rsidRPr="00FC2926">
        <w:rPr>
          <w:rFonts w:ascii="Times New Roman" w:hAnsi="Times New Roman" w:cs="Times New Roman"/>
          <w:sz w:val="24"/>
          <w:szCs w:val="24"/>
        </w:rPr>
        <w:t>ill support the implementation of</w:t>
      </w:r>
      <w:r w:rsidRPr="00FC2926">
        <w:rPr>
          <w:rFonts w:ascii="Times New Roman" w:hAnsi="Times New Roman" w:cs="Times New Roman"/>
          <w:sz w:val="24"/>
          <w:szCs w:val="24"/>
        </w:rPr>
        <w:t xml:space="preserve"> the A</w:t>
      </w:r>
      <w:r w:rsidR="009B6188" w:rsidRPr="00FC2926">
        <w:rPr>
          <w:rFonts w:ascii="Times New Roman" w:hAnsi="Times New Roman" w:cs="Times New Roman"/>
          <w:sz w:val="24"/>
          <w:szCs w:val="24"/>
        </w:rPr>
        <w:t xml:space="preserve">ssociation Agreement </w:t>
      </w:r>
      <w:r w:rsidR="00585D90">
        <w:rPr>
          <w:rFonts w:ascii="Times New Roman" w:hAnsi="Times New Roman" w:cs="Times New Roman"/>
          <w:sz w:val="24"/>
          <w:szCs w:val="24"/>
        </w:rPr>
        <w:t xml:space="preserve">(AA) </w:t>
      </w:r>
      <w:r w:rsidR="009B6188" w:rsidRPr="00FC2926">
        <w:rPr>
          <w:rFonts w:ascii="Times New Roman" w:hAnsi="Times New Roman" w:cs="Times New Roman"/>
          <w:sz w:val="24"/>
          <w:szCs w:val="24"/>
        </w:rPr>
        <w:t>between the European Union and the Republic of Moldova</w:t>
      </w:r>
      <w:r w:rsidR="006F39C1" w:rsidRPr="00FC2926">
        <w:rPr>
          <w:rFonts w:ascii="Times New Roman" w:hAnsi="Times New Roman" w:cs="Times New Roman"/>
          <w:sz w:val="24"/>
          <w:szCs w:val="24"/>
        </w:rPr>
        <w:t xml:space="preserve"> (title IV, Chapter 9 Financial services, Annex XXVIII-A Financial services)</w:t>
      </w:r>
      <w:r w:rsidR="008F1062" w:rsidRPr="00FC2926">
        <w:rPr>
          <w:rStyle w:val="FootnoteReference"/>
          <w:rFonts w:ascii="Times New Roman" w:hAnsi="Times New Roman" w:cs="Times New Roman"/>
          <w:sz w:val="24"/>
          <w:szCs w:val="24"/>
        </w:rPr>
        <w:footnoteReference w:id="1"/>
      </w:r>
      <w:r w:rsidRPr="00FC2926">
        <w:rPr>
          <w:rFonts w:ascii="Times New Roman" w:hAnsi="Times New Roman" w:cs="Times New Roman"/>
          <w:sz w:val="24"/>
          <w:szCs w:val="24"/>
        </w:rPr>
        <w:t xml:space="preserve">, </w:t>
      </w:r>
      <w:r w:rsidR="007B0C24" w:rsidRPr="00FC2926">
        <w:rPr>
          <w:rFonts w:ascii="Times New Roman" w:hAnsi="Times New Roman" w:cs="Times New Roman"/>
          <w:sz w:val="24"/>
          <w:szCs w:val="24"/>
        </w:rPr>
        <w:t xml:space="preserve">EU </w:t>
      </w:r>
      <w:r w:rsidRPr="00FC2926">
        <w:rPr>
          <w:rFonts w:ascii="Times New Roman" w:hAnsi="Times New Roman" w:cs="Times New Roman"/>
          <w:sz w:val="24"/>
          <w:szCs w:val="24"/>
        </w:rPr>
        <w:t>S</w:t>
      </w:r>
      <w:r w:rsidR="007B0C24" w:rsidRPr="00FC2926">
        <w:rPr>
          <w:rFonts w:ascii="Times New Roman" w:hAnsi="Times New Roman" w:cs="Times New Roman"/>
          <w:sz w:val="24"/>
          <w:szCs w:val="24"/>
        </w:rPr>
        <w:t xml:space="preserve">ingle Support Framework </w:t>
      </w:r>
      <w:r w:rsidR="00F43DC9" w:rsidRPr="00FC2926">
        <w:rPr>
          <w:rFonts w:ascii="Times New Roman" w:hAnsi="Times New Roman" w:cs="Times New Roman"/>
          <w:sz w:val="24"/>
          <w:szCs w:val="24"/>
        </w:rPr>
        <w:t xml:space="preserve">for 2017-2020 </w:t>
      </w:r>
      <w:r w:rsidR="00C73E31" w:rsidRPr="00FC2926">
        <w:rPr>
          <w:rFonts w:ascii="Times New Roman" w:hAnsi="Times New Roman" w:cs="Times New Roman"/>
          <w:sz w:val="24"/>
          <w:szCs w:val="24"/>
        </w:rPr>
        <w:t xml:space="preserve"> </w:t>
      </w:r>
      <w:r w:rsidR="007B0C24" w:rsidRPr="00FC2926">
        <w:rPr>
          <w:rFonts w:ascii="Times New Roman" w:hAnsi="Times New Roman" w:cs="Times New Roman"/>
          <w:sz w:val="24"/>
          <w:szCs w:val="24"/>
        </w:rPr>
        <w:t xml:space="preserve">for </w:t>
      </w:r>
      <w:r w:rsidR="00F43DC9" w:rsidRPr="00FC2926">
        <w:rPr>
          <w:rFonts w:ascii="Times New Roman" w:hAnsi="Times New Roman" w:cs="Times New Roman"/>
          <w:sz w:val="24"/>
          <w:szCs w:val="24"/>
        </w:rPr>
        <w:t>the Republic of Moldova</w:t>
      </w:r>
      <w:r w:rsidR="00C73E31" w:rsidRPr="00FC2926">
        <w:rPr>
          <w:rFonts w:ascii="Times New Roman" w:hAnsi="Times New Roman" w:cs="Times New Roman"/>
          <w:sz w:val="24"/>
          <w:szCs w:val="24"/>
        </w:rPr>
        <w:t xml:space="preserve"> (Sector 1: Economic development and market opportunities)</w:t>
      </w:r>
      <w:r w:rsidR="00F43DC9" w:rsidRPr="00FC2926">
        <w:rPr>
          <w:rFonts w:ascii="Times New Roman" w:hAnsi="Times New Roman" w:cs="Times New Roman"/>
          <w:sz w:val="24"/>
          <w:szCs w:val="24"/>
        </w:rPr>
        <w:t xml:space="preserve">, </w:t>
      </w:r>
      <w:r w:rsidRPr="00FC2926">
        <w:rPr>
          <w:rFonts w:ascii="Times New Roman" w:hAnsi="Times New Roman" w:cs="Times New Roman"/>
          <w:sz w:val="24"/>
          <w:szCs w:val="24"/>
        </w:rPr>
        <w:t xml:space="preserve">the Council Conclusions as well as the relevant priorities outlined in the </w:t>
      </w:r>
      <w:r w:rsidR="00A43EA0" w:rsidRPr="00FC2926">
        <w:rPr>
          <w:rFonts w:ascii="Times New Roman" w:hAnsi="Times New Roman" w:cs="Times New Roman"/>
          <w:sz w:val="24"/>
          <w:szCs w:val="24"/>
        </w:rPr>
        <w:t>joint European Commission and European Council working document "Eastern Partnership – focusing on key priorities and deliverables"</w:t>
      </w:r>
      <w:r w:rsidR="00DD6D37" w:rsidRPr="00FC2926">
        <w:rPr>
          <w:rFonts w:ascii="Times New Roman" w:hAnsi="Times New Roman" w:cs="Times New Roman"/>
          <w:sz w:val="24"/>
          <w:szCs w:val="24"/>
        </w:rPr>
        <w:t xml:space="preserve"> (Gaps in access to finance and financial infrastructure)</w:t>
      </w:r>
      <w:r w:rsidR="00A43EA0" w:rsidRPr="00FC2926">
        <w:rPr>
          <w:rStyle w:val="FootnoteReference"/>
          <w:rFonts w:ascii="Times New Roman" w:hAnsi="Times New Roman" w:cs="Times New Roman"/>
          <w:sz w:val="24"/>
          <w:szCs w:val="24"/>
        </w:rPr>
        <w:footnoteReference w:id="2"/>
      </w:r>
      <w:r w:rsidR="00A43EA0" w:rsidRPr="00FC2926">
        <w:rPr>
          <w:rFonts w:ascii="Times New Roman" w:hAnsi="Times New Roman" w:cs="Times New Roman"/>
          <w:sz w:val="24"/>
          <w:szCs w:val="24"/>
        </w:rPr>
        <w:t xml:space="preserve">. </w:t>
      </w:r>
    </w:p>
    <w:p w:rsidR="007822C3" w:rsidRPr="00FC2926" w:rsidRDefault="0055663D" w:rsidP="00D7341E">
      <w:pPr>
        <w:spacing w:after="120" w:line="240" w:lineRule="auto"/>
        <w:jc w:val="both"/>
        <w:rPr>
          <w:rFonts w:ascii="Times New Roman" w:hAnsi="Times New Roman" w:cs="Times New Roman"/>
          <w:sz w:val="24"/>
          <w:szCs w:val="24"/>
        </w:rPr>
      </w:pPr>
      <w:r w:rsidRPr="00FC2926">
        <w:rPr>
          <w:rFonts w:ascii="Times New Roman" w:hAnsi="Times New Roman" w:cs="Times New Roman"/>
          <w:color w:val="000000"/>
          <w:sz w:val="24"/>
          <w:szCs w:val="24"/>
        </w:rPr>
        <w:t xml:space="preserve">The proposed Action </w:t>
      </w:r>
      <w:r w:rsidR="007822C3" w:rsidRPr="00FC2926">
        <w:rPr>
          <w:rFonts w:ascii="Times New Roman" w:hAnsi="Times New Roman" w:cs="Times New Roman"/>
          <w:color w:val="000000"/>
          <w:sz w:val="24"/>
          <w:szCs w:val="24"/>
        </w:rPr>
        <w:t xml:space="preserve">reflects </w:t>
      </w:r>
      <w:r w:rsidRPr="00FC2926">
        <w:rPr>
          <w:rFonts w:ascii="Times New Roman" w:hAnsi="Times New Roman" w:cs="Times New Roman"/>
          <w:color w:val="000000"/>
          <w:sz w:val="24"/>
          <w:szCs w:val="24"/>
        </w:rPr>
        <w:t xml:space="preserve">the following </w:t>
      </w:r>
      <w:r w:rsidR="006F39C1" w:rsidRPr="00FC2926">
        <w:rPr>
          <w:rFonts w:ascii="Times New Roman" w:hAnsi="Times New Roman" w:cs="Times New Roman"/>
          <w:color w:val="000000"/>
          <w:sz w:val="24"/>
          <w:szCs w:val="24"/>
        </w:rPr>
        <w:t>priority</w:t>
      </w:r>
      <w:r w:rsidRPr="00FC2926">
        <w:rPr>
          <w:rFonts w:ascii="Times New Roman" w:hAnsi="Times New Roman" w:cs="Times New Roman"/>
          <w:color w:val="000000"/>
          <w:sz w:val="24"/>
          <w:szCs w:val="24"/>
        </w:rPr>
        <w:t xml:space="preserve"> of the National Development Strategy ("Moldova 2020"): </w:t>
      </w:r>
      <w:r w:rsidRPr="00FC2926">
        <w:rPr>
          <w:rFonts w:ascii="Times New Roman" w:hAnsi="Times New Roman" w:cs="Times New Roman"/>
          <w:sz w:val="24"/>
          <w:szCs w:val="24"/>
        </w:rPr>
        <w:t>Reducing financing costs by increasing competition in the financial sector and developing risk management tools</w:t>
      </w:r>
      <w:r w:rsidR="007822C3" w:rsidRPr="00FC2926">
        <w:rPr>
          <w:rFonts w:ascii="Times New Roman" w:hAnsi="Times New Roman" w:cs="Times New Roman"/>
          <w:sz w:val="24"/>
          <w:szCs w:val="24"/>
        </w:rPr>
        <w:t xml:space="preserve">. </w:t>
      </w:r>
    </w:p>
    <w:p w:rsidR="001173DB" w:rsidRDefault="0038669C" w:rsidP="0035724A">
      <w:pPr>
        <w:autoSpaceDE w:val="0"/>
        <w:autoSpaceDN w:val="0"/>
        <w:adjustRightInd w:val="0"/>
        <w:spacing w:after="120" w:line="240" w:lineRule="auto"/>
        <w:jc w:val="both"/>
        <w:rPr>
          <w:rFonts w:ascii="Times New Roman" w:hAnsi="Times New Roman" w:cs="Times New Roman"/>
          <w:sz w:val="24"/>
          <w:szCs w:val="24"/>
        </w:rPr>
      </w:pPr>
      <w:r w:rsidRPr="00FC2926">
        <w:rPr>
          <w:rFonts w:ascii="Times New Roman" w:hAnsi="Times New Roman" w:cs="Times New Roman"/>
          <w:sz w:val="24"/>
          <w:szCs w:val="24"/>
        </w:rPr>
        <w:t xml:space="preserve">The EU – Republic of Moldova Association agenda for 2017-2019 provides that the parties will work together to prepare the Republic of Moldova for the modernisation of its financial regulatory and supervisory framework, so as to conform itself to internationally agreed regulatory standards in the field of financial services, using EU legislation and international instruments referred to in the relevant annexes to the </w:t>
      </w:r>
      <w:r w:rsidR="008D4D17">
        <w:rPr>
          <w:rFonts w:ascii="Times New Roman" w:hAnsi="Times New Roman" w:cs="Times New Roman"/>
          <w:sz w:val="24"/>
          <w:szCs w:val="24"/>
        </w:rPr>
        <w:t>AA</w:t>
      </w:r>
      <w:r w:rsidRPr="00FC2926">
        <w:rPr>
          <w:rFonts w:ascii="Times New Roman" w:hAnsi="Times New Roman" w:cs="Times New Roman"/>
          <w:sz w:val="24"/>
          <w:szCs w:val="24"/>
        </w:rPr>
        <w:t xml:space="preserve">, including the Title IV (Economic and other sectoral cooperation) of this agreement, as a reference to develop a set of rules appropriate for the Republic of Moldova. </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3.</w:t>
      </w:r>
      <w:r w:rsidRPr="00FB7749">
        <w:rPr>
          <w:rFonts w:ascii="Times New Roman" w:eastAsia="Times New Roman" w:hAnsi="Times New Roman" w:cs="Times New Roman"/>
          <w:b/>
          <w:bCs/>
          <w:sz w:val="24"/>
          <w:szCs w:val="24"/>
          <w:lang w:eastAsia="en-GB"/>
        </w:rPr>
        <w:tab/>
        <w:t>Description</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lastRenderedPageBreak/>
        <w:t>3.1</w:t>
      </w:r>
      <w:r w:rsidRPr="00FB7749">
        <w:rPr>
          <w:rFonts w:ascii="Times New Roman" w:eastAsia="Times New Roman" w:hAnsi="Times New Roman" w:cs="Times New Roman"/>
          <w:sz w:val="24"/>
          <w:szCs w:val="24"/>
          <w:lang w:eastAsia="en-GB"/>
        </w:rPr>
        <w:tab/>
        <w:t xml:space="preserve">Background and justification: </w:t>
      </w:r>
    </w:p>
    <w:p w:rsidR="00705361" w:rsidRDefault="00705361" w:rsidP="00162257">
      <w:pPr>
        <w:autoSpaceDE w:val="0"/>
        <w:autoSpaceDN w:val="0"/>
        <w:adjustRightInd w:val="0"/>
        <w:spacing w:before="120" w:after="0" w:line="240" w:lineRule="auto"/>
        <w:jc w:val="center"/>
        <w:rPr>
          <w:rFonts w:ascii="Times New Roman" w:hAnsi="Times New Roman" w:cs="Times New Roman"/>
          <w:sz w:val="24"/>
          <w:szCs w:val="24"/>
          <w:u w:val="single"/>
        </w:rPr>
      </w:pPr>
      <w:r w:rsidRPr="00705361">
        <w:rPr>
          <w:rFonts w:ascii="Times New Roman" w:hAnsi="Times New Roman" w:cs="Times New Roman"/>
          <w:sz w:val="24"/>
          <w:szCs w:val="24"/>
          <w:u w:val="single"/>
        </w:rPr>
        <w:t>Overview of the financial sector in Moldova</w:t>
      </w:r>
    </w:p>
    <w:p w:rsidR="00384DF8" w:rsidRDefault="00384DF8" w:rsidP="00162257">
      <w:pPr>
        <w:autoSpaceDE w:val="0"/>
        <w:autoSpaceDN w:val="0"/>
        <w:adjustRightInd w:val="0"/>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Banking </w:t>
      </w:r>
      <w:r w:rsidR="00162257">
        <w:rPr>
          <w:rFonts w:ascii="Times New Roman" w:hAnsi="Times New Roman" w:cs="Times New Roman"/>
          <w:sz w:val="24"/>
          <w:szCs w:val="24"/>
          <w:u w:val="single"/>
        </w:rPr>
        <w:t>sector</w:t>
      </w:r>
    </w:p>
    <w:p w:rsidR="00705361" w:rsidRDefault="00705361" w:rsidP="008F11EF">
      <w:pPr>
        <w:autoSpaceDE w:val="0"/>
        <w:autoSpaceDN w:val="0"/>
        <w:adjustRightInd w:val="0"/>
        <w:spacing w:after="120" w:line="240" w:lineRule="auto"/>
        <w:jc w:val="both"/>
        <w:rPr>
          <w:rFonts w:ascii="Times New Roman" w:hAnsi="Times New Roman" w:cs="Times New Roman"/>
          <w:sz w:val="24"/>
          <w:szCs w:val="24"/>
        </w:rPr>
      </w:pPr>
      <w:r w:rsidRPr="00705361">
        <w:rPr>
          <w:rFonts w:ascii="Times New Roman" w:hAnsi="Times New Roman" w:cs="Times New Roman"/>
          <w:sz w:val="24"/>
          <w:szCs w:val="24"/>
        </w:rPr>
        <w:t>The financial sector in Moldova is dominated by banks that account for roughly 9</w:t>
      </w:r>
      <w:r w:rsidR="003123BC">
        <w:rPr>
          <w:rFonts w:ascii="Times New Roman" w:hAnsi="Times New Roman" w:cs="Times New Roman"/>
          <w:sz w:val="24"/>
          <w:szCs w:val="24"/>
        </w:rPr>
        <w:t>0</w:t>
      </w:r>
      <w:r w:rsidRPr="00705361">
        <w:rPr>
          <w:rFonts w:ascii="Times New Roman" w:hAnsi="Times New Roman" w:cs="Times New Roman"/>
          <w:sz w:val="24"/>
          <w:szCs w:val="24"/>
        </w:rPr>
        <w:t xml:space="preserve"> percent of the total assets in this sector.</w:t>
      </w:r>
    </w:p>
    <w:p w:rsidR="00705361" w:rsidRPr="00E64A5E" w:rsidRDefault="00705361" w:rsidP="008F11EF">
      <w:pPr>
        <w:spacing w:after="120" w:line="240" w:lineRule="auto"/>
        <w:jc w:val="both"/>
        <w:rPr>
          <w:rFonts w:ascii="Times New Roman" w:eastAsia="Times New Roman" w:hAnsi="Times New Roman" w:cs="Times New Roman"/>
          <w:sz w:val="24"/>
          <w:szCs w:val="24"/>
          <w:lang w:eastAsia="en-GB"/>
        </w:rPr>
      </w:pPr>
      <w:r w:rsidRPr="00E64A5E">
        <w:rPr>
          <w:rFonts w:ascii="Times New Roman" w:eastAsia="Times New Roman" w:hAnsi="Times New Roman" w:cs="Times New Roman"/>
          <w:sz w:val="24"/>
          <w:szCs w:val="24"/>
          <w:lang w:eastAsia="en-GB"/>
        </w:rPr>
        <w:t>The Moldova’s banking sector has 11 licensed banks, out of which 4 subsidiaries of EU banking groups (Societe Generale, ProCredit, Erste and Intesa Sanpaolo). These subsidiaries occupy 25% of banking sector assets. Another 3 biggest banks hold 65% of total assets of the banking sector and are under NBM intensive supervision from June 2015.</w:t>
      </w:r>
      <w:r w:rsidR="008F5B31">
        <w:rPr>
          <w:rFonts w:ascii="Times New Roman" w:eastAsia="Times New Roman" w:hAnsi="Times New Roman" w:cs="Times New Roman"/>
          <w:sz w:val="24"/>
          <w:szCs w:val="24"/>
          <w:lang w:eastAsia="en-GB"/>
        </w:rPr>
        <w:t xml:space="preserve"> </w:t>
      </w:r>
      <w:r w:rsidRPr="00E64A5E">
        <w:rPr>
          <w:rFonts w:ascii="Times New Roman" w:eastAsia="Times New Roman" w:hAnsi="Times New Roman" w:cs="Times New Roman"/>
          <w:sz w:val="24"/>
          <w:szCs w:val="24"/>
          <w:lang w:eastAsia="en-GB"/>
        </w:rPr>
        <w:t xml:space="preserve">At 30 September 2017, banking sector assets amounted MDL 78 billion (EUR 3.8 billion) or only 54% of country’s GDP. </w:t>
      </w:r>
    </w:p>
    <w:p w:rsidR="00705361" w:rsidRPr="00E64A5E" w:rsidRDefault="00705361" w:rsidP="00705361">
      <w:pPr>
        <w:spacing w:after="120" w:line="240" w:lineRule="auto"/>
        <w:jc w:val="both"/>
        <w:rPr>
          <w:rFonts w:ascii="Times New Roman" w:eastAsia="Times New Roman" w:hAnsi="Times New Roman" w:cs="Times New Roman"/>
          <w:sz w:val="24"/>
          <w:szCs w:val="24"/>
          <w:lang w:eastAsia="en-GB"/>
        </w:rPr>
      </w:pPr>
      <w:r w:rsidRPr="00E64A5E">
        <w:rPr>
          <w:rFonts w:ascii="Times New Roman" w:eastAsia="Times New Roman" w:hAnsi="Times New Roman" w:cs="Times New Roman"/>
          <w:sz w:val="24"/>
          <w:szCs w:val="24"/>
          <w:lang w:eastAsia="en-GB"/>
        </w:rPr>
        <w:t xml:space="preserve">Financial situation of Moldova’s banking sector is </w:t>
      </w:r>
      <w:r w:rsidR="002205BC">
        <w:rPr>
          <w:rFonts w:ascii="Times New Roman" w:eastAsia="Times New Roman" w:hAnsi="Times New Roman" w:cs="Times New Roman"/>
          <w:sz w:val="24"/>
          <w:szCs w:val="24"/>
          <w:lang w:eastAsia="en-GB"/>
        </w:rPr>
        <w:t>stable</w:t>
      </w:r>
      <w:r w:rsidRPr="00E64A5E">
        <w:rPr>
          <w:rFonts w:ascii="Times New Roman" w:eastAsia="Times New Roman" w:hAnsi="Times New Roman" w:cs="Times New Roman"/>
          <w:sz w:val="24"/>
          <w:szCs w:val="24"/>
          <w:lang w:eastAsia="en-GB"/>
        </w:rPr>
        <w:t xml:space="preserve">. Banks are well-capitalised (sector capital adequacy ratio is </w:t>
      </w:r>
      <w:r w:rsidR="00ED7FE4">
        <w:rPr>
          <w:rFonts w:ascii="Times New Roman" w:eastAsia="Times New Roman" w:hAnsi="Times New Roman" w:cs="Times New Roman"/>
          <w:sz w:val="24"/>
          <w:szCs w:val="24"/>
          <w:lang w:eastAsia="en-GB"/>
        </w:rPr>
        <w:t>30</w:t>
      </w:r>
      <w:r w:rsidRPr="00E64A5E">
        <w:rPr>
          <w:rFonts w:ascii="Times New Roman" w:eastAsia="Times New Roman" w:hAnsi="Times New Roman" w:cs="Times New Roman"/>
          <w:sz w:val="24"/>
          <w:szCs w:val="24"/>
          <w:lang w:eastAsia="en-GB"/>
        </w:rPr>
        <w:t>%, required &gt;16%), have excessive liquidity (&gt;50% of assets are liquid assets) and are profitable (ROE - 2,4%, ROA – 14,</w:t>
      </w:r>
      <w:r w:rsidR="00ED7FE4">
        <w:rPr>
          <w:rFonts w:ascii="Times New Roman" w:eastAsia="Times New Roman" w:hAnsi="Times New Roman" w:cs="Times New Roman"/>
          <w:sz w:val="24"/>
          <w:szCs w:val="24"/>
          <w:lang w:eastAsia="en-GB"/>
        </w:rPr>
        <w:t>3</w:t>
      </w:r>
      <w:r w:rsidRPr="00E64A5E">
        <w:rPr>
          <w:rFonts w:ascii="Times New Roman" w:eastAsia="Times New Roman" w:hAnsi="Times New Roman" w:cs="Times New Roman"/>
          <w:sz w:val="24"/>
          <w:szCs w:val="24"/>
          <w:lang w:eastAsia="en-GB"/>
        </w:rPr>
        <w:t>%).</w:t>
      </w:r>
    </w:p>
    <w:p w:rsidR="00705361" w:rsidRPr="008F5B31" w:rsidRDefault="00705361" w:rsidP="008F5B31">
      <w:pPr>
        <w:spacing w:after="120" w:line="240" w:lineRule="auto"/>
        <w:jc w:val="both"/>
        <w:rPr>
          <w:rFonts w:ascii="Times New Roman" w:eastAsia="Times New Roman" w:hAnsi="Times New Roman" w:cs="Times New Roman"/>
          <w:sz w:val="24"/>
          <w:szCs w:val="24"/>
          <w:lang w:eastAsia="en-GB"/>
        </w:rPr>
      </w:pPr>
      <w:r w:rsidRPr="008F5B31">
        <w:rPr>
          <w:rFonts w:ascii="Times New Roman" w:eastAsia="Times New Roman" w:hAnsi="Times New Roman" w:cs="Times New Roman"/>
          <w:sz w:val="24"/>
          <w:szCs w:val="24"/>
          <w:lang w:eastAsia="en-GB"/>
        </w:rPr>
        <w:t>Banks’ gross credit portfolio consists of only 4</w:t>
      </w:r>
      <w:r w:rsidR="00ED7FE4">
        <w:rPr>
          <w:rFonts w:ascii="Times New Roman" w:eastAsia="Times New Roman" w:hAnsi="Times New Roman" w:cs="Times New Roman"/>
          <w:sz w:val="24"/>
          <w:szCs w:val="24"/>
          <w:lang w:eastAsia="en-GB"/>
        </w:rPr>
        <w:t>4</w:t>
      </w:r>
      <w:r w:rsidRPr="008F5B31">
        <w:rPr>
          <w:rFonts w:ascii="Times New Roman" w:eastAsia="Times New Roman" w:hAnsi="Times New Roman" w:cs="Times New Roman"/>
          <w:sz w:val="24"/>
          <w:szCs w:val="24"/>
          <w:lang w:eastAsia="en-GB"/>
        </w:rPr>
        <w:t>% of assets and continues to shrink. Banking sector credit portfolio/GDP ratio is only 24%. Low lending to real sector is due to weak demand from business, high interest rate until now, high interest rates for government bonds and NBM certificates, structural issues. Majority of banks deposits are invested in liquid assets (government bonds, NBM certificates, in accounts at NBM, other banks, cash). NBM encourages banks to play a leading role for financing the real economy, particular SMEs, productive sectors and innovations.</w:t>
      </w:r>
    </w:p>
    <w:p w:rsidR="00705361" w:rsidRPr="008F5B31" w:rsidRDefault="00705361" w:rsidP="008F5B31">
      <w:pPr>
        <w:spacing w:after="120" w:line="240" w:lineRule="auto"/>
        <w:jc w:val="both"/>
        <w:rPr>
          <w:rFonts w:ascii="Times New Roman" w:eastAsia="Times New Roman" w:hAnsi="Times New Roman" w:cs="Times New Roman"/>
          <w:sz w:val="24"/>
          <w:szCs w:val="24"/>
          <w:lang w:eastAsia="en-GB"/>
        </w:rPr>
      </w:pPr>
      <w:r w:rsidRPr="008F5B31">
        <w:rPr>
          <w:rFonts w:ascii="Times New Roman" w:eastAsia="Times New Roman" w:hAnsi="Times New Roman" w:cs="Times New Roman"/>
          <w:sz w:val="24"/>
          <w:szCs w:val="24"/>
          <w:lang w:eastAsia="en-GB"/>
        </w:rPr>
        <w:t>Banking sector faces problems with high level of non-performing loans (17,</w:t>
      </w:r>
      <w:r w:rsidR="00ED7FE4">
        <w:rPr>
          <w:rFonts w:ascii="Times New Roman" w:eastAsia="Times New Roman" w:hAnsi="Times New Roman" w:cs="Times New Roman"/>
          <w:sz w:val="24"/>
          <w:szCs w:val="24"/>
          <w:lang w:eastAsia="en-GB"/>
        </w:rPr>
        <w:t>4</w:t>
      </w:r>
      <w:r w:rsidRPr="008F5B31">
        <w:rPr>
          <w:rFonts w:ascii="Times New Roman" w:eastAsia="Times New Roman" w:hAnsi="Times New Roman" w:cs="Times New Roman"/>
          <w:sz w:val="24"/>
          <w:szCs w:val="24"/>
          <w:lang w:eastAsia="en-GB"/>
        </w:rPr>
        <w:t>%). The increase of ratio is related not with worsening situation, but with NBM tougher supervisory standards for assets classification and recognition of losses in banks’ balance-sheets. NBM requested banks to elaborate strategies on reducing NPL’s level.</w:t>
      </w:r>
    </w:p>
    <w:p w:rsidR="00705361" w:rsidRPr="008F5B31" w:rsidRDefault="00705361" w:rsidP="008F5B31">
      <w:pPr>
        <w:spacing w:after="120" w:line="240" w:lineRule="auto"/>
        <w:jc w:val="both"/>
        <w:rPr>
          <w:rFonts w:ascii="Times New Roman" w:eastAsia="Times New Roman" w:hAnsi="Times New Roman" w:cs="Times New Roman"/>
          <w:sz w:val="24"/>
          <w:szCs w:val="24"/>
          <w:lang w:eastAsia="en-GB"/>
        </w:rPr>
      </w:pPr>
      <w:r w:rsidRPr="008F5B31">
        <w:rPr>
          <w:rFonts w:ascii="Times New Roman" w:eastAsia="Times New Roman" w:hAnsi="Times New Roman" w:cs="Times New Roman"/>
          <w:sz w:val="24"/>
          <w:szCs w:val="24"/>
          <w:lang w:eastAsia="en-GB"/>
        </w:rPr>
        <w:t>Considering that the capital is the main source of covering potential losses, NBM requested banks to adopt a more prudent and forward-looking policy for dividend distribution (majority of banks redirected profit of last two years for strengthening capital). The high capitalisation allowed banks to absorb significant losses, related to deterioration of credit quality</w:t>
      </w:r>
      <w:r w:rsidR="00176C25">
        <w:rPr>
          <w:rFonts w:ascii="Times New Roman" w:eastAsia="Times New Roman" w:hAnsi="Times New Roman" w:cs="Times New Roman"/>
          <w:sz w:val="24"/>
          <w:szCs w:val="24"/>
          <w:lang w:eastAsia="en-GB"/>
        </w:rPr>
        <w:t>,</w:t>
      </w:r>
      <w:r w:rsidRPr="008F5B31">
        <w:rPr>
          <w:rFonts w:ascii="Times New Roman" w:eastAsia="Times New Roman" w:hAnsi="Times New Roman" w:cs="Times New Roman"/>
          <w:sz w:val="24"/>
          <w:szCs w:val="24"/>
          <w:lang w:eastAsia="en-GB"/>
        </w:rPr>
        <w:t xml:space="preserve"> and to invest in Basel III implementation.</w:t>
      </w:r>
    </w:p>
    <w:p w:rsidR="00705361" w:rsidRPr="008F5B31" w:rsidRDefault="00705361" w:rsidP="008F5B31">
      <w:pPr>
        <w:spacing w:after="120" w:line="240" w:lineRule="auto"/>
        <w:jc w:val="both"/>
        <w:rPr>
          <w:rFonts w:ascii="Times New Roman" w:eastAsia="Times New Roman" w:hAnsi="Times New Roman" w:cs="Times New Roman"/>
          <w:sz w:val="24"/>
          <w:szCs w:val="24"/>
          <w:lang w:eastAsia="en-GB"/>
        </w:rPr>
      </w:pPr>
      <w:r w:rsidRPr="008F5B31">
        <w:rPr>
          <w:rFonts w:ascii="Times New Roman" w:eastAsia="Times New Roman" w:hAnsi="Times New Roman" w:cs="Times New Roman"/>
          <w:sz w:val="24"/>
          <w:szCs w:val="24"/>
          <w:lang w:eastAsia="en-GB"/>
        </w:rPr>
        <w:t>Deposits in the banking sector continue to increase (at 30 September 2017, it amounted MDL 58,2 billion or EUR 2.8 billion). Deposits of individuals accounted 66 % of deposits, of legal entities – 34%.</w:t>
      </w:r>
    </w:p>
    <w:p w:rsidR="00705361" w:rsidRDefault="008F5B31" w:rsidP="008F5B31">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remaining vulnerabilities i</w:t>
      </w:r>
      <w:r w:rsidR="00705361" w:rsidRPr="008F5B31">
        <w:rPr>
          <w:rFonts w:ascii="Times New Roman" w:eastAsia="Times New Roman" w:hAnsi="Times New Roman" w:cs="Times New Roman"/>
          <w:sz w:val="24"/>
          <w:szCs w:val="24"/>
          <w:lang w:eastAsia="en-GB"/>
        </w:rPr>
        <w:t xml:space="preserve">n </w:t>
      </w:r>
      <w:r>
        <w:rPr>
          <w:rFonts w:ascii="Times New Roman" w:eastAsia="Times New Roman" w:hAnsi="Times New Roman" w:cs="Times New Roman"/>
          <w:sz w:val="24"/>
          <w:szCs w:val="24"/>
          <w:lang w:eastAsia="en-GB"/>
        </w:rPr>
        <w:t xml:space="preserve">the </w:t>
      </w:r>
      <w:r w:rsidR="00705361" w:rsidRPr="008F5B31">
        <w:rPr>
          <w:rFonts w:ascii="Times New Roman" w:eastAsia="Times New Roman" w:hAnsi="Times New Roman" w:cs="Times New Roman"/>
          <w:sz w:val="24"/>
          <w:szCs w:val="24"/>
          <w:lang w:eastAsia="en-GB"/>
        </w:rPr>
        <w:t xml:space="preserve">banking sector related with banks’ shareholders and related party exposures (solving of these problems is under way), governance and a high reputation risk due to large banking fraud (2014) and involvement in </w:t>
      </w:r>
      <w:r>
        <w:rPr>
          <w:rFonts w:ascii="Times New Roman" w:eastAsia="Times New Roman" w:hAnsi="Times New Roman" w:cs="Times New Roman"/>
          <w:sz w:val="24"/>
          <w:szCs w:val="24"/>
          <w:lang w:eastAsia="en-GB"/>
        </w:rPr>
        <w:t xml:space="preserve">large scale money-laundering scheme called </w:t>
      </w:r>
      <w:r w:rsidR="00705361" w:rsidRPr="008F5B31">
        <w:rPr>
          <w:rFonts w:ascii="Times New Roman" w:eastAsia="Times New Roman" w:hAnsi="Times New Roman" w:cs="Times New Roman"/>
          <w:sz w:val="24"/>
          <w:szCs w:val="24"/>
          <w:lang w:eastAsia="en-GB"/>
        </w:rPr>
        <w:t>“</w:t>
      </w:r>
      <w:r w:rsidR="00705361" w:rsidRPr="00E278E6">
        <w:rPr>
          <w:rFonts w:ascii="Times New Roman" w:eastAsia="Times New Roman" w:hAnsi="Times New Roman" w:cs="Times New Roman"/>
          <w:sz w:val="24"/>
          <w:szCs w:val="24"/>
          <w:lang w:eastAsia="en-GB"/>
        </w:rPr>
        <w:t xml:space="preserve">Laundromat”. </w:t>
      </w:r>
      <w:r w:rsidR="00E278E6" w:rsidRPr="00E278E6">
        <w:rPr>
          <w:rFonts w:ascii="Times New Roman" w:eastAsia="Times New Roman" w:hAnsi="Times New Roman" w:cs="Times New Roman"/>
          <w:sz w:val="24"/>
          <w:szCs w:val="24"/>
          <w:lang w:eastAsia="en-GB"/>
        </w:rPr>
        <w:t xml:space="preserve">Attracting reputable, transparent and financially capable strategic institutional investors </w:t>
      </w:r>
      <w:r w:rsidR="00E278E6">
        <w:rPr>
          <w:rFonts w:ascii="Times New Roman" w:eastAsia="Times New Roman" w:hAnsi="Times New Roman" w:cs="Times New Roman"/>
          <w:sz w:val="24"/>
          <w:szCs w:val="24"/>
          <w:lang w:eastAsia="en-GB"/>
        </w:rPr>
        <w:t xml:space="preserve">in the biggest banks </w:t>
      </w:r>
      <w:r w:rsidR="004D2B01">
        <w:rPr>
          <w:rFonts w:ascii="Times New Roman" w:eastAsia="Times New Roman" w:hAnsi="Times New Roman" w:cs="Times New Roman"/>
          <w:sz w:val="24"/>
          <w:szCs w:val="24"/>
          <w:lang w:eastAsia="en-GB"/>
        </w:rPr>
        <w:t>is</w:t>
      </w:r>
      <w:r w:rsidR="00E278E6">
        <w:rPr>
          <w:rFonts w:ascii="Times New Roman" w:eastAsia="Times New Roman" w:hAnsi="Times New Roman" w:cs="Times New Roman"/>
          <w:sz w:val="24"/>
          <w:szCs w:val="24"/>
          <w:lang w:eastAsia="en-GB"/>
        </w:rPr>
        <w:t xml:space="preserve"> crucial f</w:t>
      </w:r>
      <w:r w:rsidR="00705361" w:rsidRPr="008F5B31">
        <w:rPr>
          <w:rFonts w:ascii="Times New Roman" w:eastAsia="Times New Roman" w:hAnsi="Times New Roman" w:cs="Times New Roman"/>
          <w:sz w:val="24"/>
          <w:szCs w:val="24"/>
          <w:lang w:eastAsia="en-GB"/>
        </w:rPr>
        <w:t xml:space="preserve">or </w:t>
      </w:r>
      <w:r w:rsidR="004D2B01">
        <w:rPr>
          <w:rFonts w:ascii="Times New Roman" w:eastAsia="Times New Roman" w:hAnsi="Times New Roman" w:cs="Times New Roman"/>
          <w:sz w:val="24"/>
          <w:szCs w:val="24"/>
          <w:lang w:eastAsia="en-GB"/>
        </w:rPr>
        <w:t xml:space="preserve">the </w:t>
      </w:r>
      <w:r w:rsidR="00705361" w:rsidRPr="008F5B31">
        <w:rPr>
          <w:rFonts w:ascii="Times New Roman" w:eastAsia="Times New Roman" w:hAnsi="Times New Roman" w:cs="Times New Roman"/>
          <w:sz w:val="24"/>
          <w:szCs w:val="24"/>
          <w:lang w:eastAsia="en-GB"/>
        </w:rPr>
        <w:t xml:space="preserve">transformation of the banking sector </w:t>
      </w:r>
      <w:r w:rsidR="00E278E6">
        <w:rPr>
          <w:rFonts w:ascii="Times New Roman" w:eastAsia="Times New Roman" w:hAnsi="Times New Roman" w:cs="Times New Roman"/>
          <w:sz w:val="24"/>
          <w:szCs w:val="24"/>
          <w:lang w:eastAsia="en-GB"/>
        </w:rPr>
        <w:t>as a whole.</w:t>
      </w:r>
    </w:p>
    <w:p w:rsidR="005B150B" w:rsidRPr="005B150B" w:rsidRDefault="005B150B" w:rsidP="005B150B">
      <w:pPr>
        <w:pStyle w:val="Text1"/>
        <w:tabs>
          <w:tab w:val="left" w:pos="4320"/>
        </w:tabs>
        <w:spacing w:after="120"/>
        <w:ind w:left="0"/>
        <w:rPr>
          <w:szCs w:val="24"/>
          <w:u w:val="single"/>
        </w:rPr>
      </w:pPr>
      <w:r w:rsidRPr="005B150B">
        <w:rPr>
          <w:szCs w:val="24"/>
          <w:u w:val="single"/>
        </w:rPr>
        <w:t>Non-bank</w:t>
      </w:r>
      <w:r w:rsidR="00A45CAA">
        <w:rPr>
          <w:szCs w:val="24"/>
          <w:u w:val="single"/>
        </w:rPr>
        <w:t xml:space="preserve"> credit institutions</w:t>
      </w:r>
    </w:p>
    <w:p w:rsidR="005B150B" w:rsidRDefault="005B150B" w:rsidP="005B150B">
      <w:pPr>
        <w:pStyle w:val="Text1"/>
        <w:tabs>
          <w:tab w:val="left" w:pos="4320"/>
        </w:tabs>
        <w:spacing w:after="120"/>
        <w:ind w:left="0"/>
        <w:rPr>
          <w:szCs w:val="24"/>
        </w:rPr>
      </w:pPr>
      <w:r w:rsidRPr="0056037F">
        <w:rPr>
          <w:szCs w:val="24"/>
        </w:rPr>
        <w:t xml:space="preserve">The microfinance sector </w:t>
      </w:r>
      <w:r>
        <w:rPr>
          <w:szCs w:val="24"/>
        </w:rPr>
        <w:t xml:space="preserve">in the Republic of Moldova </w:t>
      </w:r>
      <w:r w:rsidRPr="0056037F">
        <w:rPr>
          <w:szCs w:val="24"/>
        </w:rPr>
        <w:t>is comprised of two types of institutions: the savings and credit associations (SCAs) and microfinance organisations (MFOs). Together they constitute 5 percent of the financial sector assets, but the MFO</w:t>
      </w:r>
      <w:r w:rsidR="003B4372">
        <w:rPr>
          <w:szCs w:val="24"/>
        </w:rPr>
        <w:t>s</w:t>
      </w:r>
      <w:r w:rsidRPr="0056037F">
        <w:rPr>
          <w:szCs w:val="24"/>
        </w:rPr>
        <w:t xml:space="preserve"> assets are far larger and their share is 4.4 percent of the financial sector assets. </w:t>
      </w:r>
      <w:r w:rsidR="003B4372" w:rsidRPr="00A2284E">
        <w:rPr>
          <w:szCs w:val="24"/>
        </w:rPr>
        <w:t xml:space="preserve">Over the </w:t>
      </w:r>
      <w:r w:rsidR="003B4372">
        <w:rPr>
          <w:szCs w:val="24"/>
        </w:rPr>
        <w:t>last</w:t>
      </w:r>
      <w:r w:rsidR="003B4372" w:rsidRPr="00A2284E">
        <w:rPr>
          <w:szCs w:val="24"/>
        </w:rPr>
        <w:t xml:space="preserve"> years, the </w:t>
      </w:r>
      <w:r w:rsidR="003B4372">
        <w:rPr>
          <w:szCs w:val="24"/>
        </w:rPr>
        <w:t>MFOs</w:t>
      </w:r>
      <w:r w:rsidR="003B4372" w:rsidRPr="00A2284E">
        <w:rPr>
          <w:szCs w:val="24"/>
        </w:rPr>
        <w:t xml:space="preserve"> sector</w:t>
      </w:r>
      <w:r w:rsidR="003B4372">
        <w:rPr>
          <w:szCs w:val="24"/>
        </w:rPr>
        <w:t xml:space="preserve"> </w:t>
      </w:r>
      <w:r w:rsidR="003B4372" w:rsidRPr="00A2284E">
        <w:rPr>
          <w:szCs w:val="24"/>
        </w:rPr>
        <w:t xml:space="preserve">has </w:t>
      </w:r>
      <w:r w:rsidR="003B4372">
        <w:rPr>
          <w:szCs w:val="24"/>
        </w:rPr>
        <w:t>registered</w:t>
      </w:r>
      <w:r w:rsidR="00142646">
        <w:rPr>
          <w:szCs w:val="24"/>
        </w:rPr>
        <w:t xml:space="preserve"> significant increase</w:t>
      </w:r>
      <w:r w:rsidR="003B4372" w:rsidRPr="00A2284E">
        <w:rPr>
          <w:szCs w:val="24"/>
        </w:rPr>
        <w:t>, with more than 160 entities (80%</w:t>
      </w:r>
      <w:r w:rsidR="00142646">
        <w:rPr>
          <w:szCs w:val="24"/>
        </w:rPr>
        <w:t xml:space="preserve"> growth over the last 4 years) with </w:t>
      </w:r>
      <w:r w:rsidR="003B4372" w:rsidRPr="00A2284E">
        <w:rPr>
          <w:szCs w:val="24"/>
        </w:rPr>
        <w:t>assets exceed</w:t>
      </w:r>
      <w:r w:rsidR="00142646">
        <w:rPr>
          <w:szCs w:val="24"/>
        </w:rPr>
        <w:t>ing</w:t>
      </w:r>
      <w:r w:rsidR="003B4372" w:rsidRPr="00A2284E">
        <w:rPr>
          <w:szCs w:val="24"/>
        </w:rPr>
        <w:t xml:space="preserve"> </w:t>
      </w:r>
      <w:r w:rsidR="00282F02">
        <w:rPr>
          <w:szCs w:val="24"/>
        </w:rPr>
        <w:t xml:space="preserve">MDL </w:t>
      </w:r>
      <w:r w:rsidR="003B4372" w:rsidRPr="00A2284E">
        <w:rPr>
          <w:szCs w:val="24"/>
        </w:rPr>
        <w:t xml:space="preserve">5.4 billion, of which </w:t>
      </w:r>
      <w:r w:rsidR="00282F02">
        <w:rPr>
          <w:szCs w:val="24"/>
        </w:rPr>
        <w:t>MDL 4.7 billion</w:t>
      </w:r>
      <w:r w:rsidR="003B4372" w:rsidRPr="00A2284E">
        <w:rPr>
          <w:szCs w:val="24"/>
        </w:rPr>
        <w:t xml:space="preserve"> </w:t>
      </w:r>
      <w:r w:rsidR="00142646">
        <w:rPr>
          <w:szCs w:val="24"/>
        </w:rPr>
        <w:t>are</w:t>
      </w:r>
      <w:r w:rsidR="003B4372" w:rsidRPr="00A2284E">
        <w:rPr>
          <w:szCs w:val="24"/>
        </w:rPr>
        <w:t xml:space="preserve"> </w:t>
      </w:r>
      <w:r w:rsidR="00142646">
        <w:rPr>
          <w:szCs w:val="24"/>
        </w:rPr>
        <w:t>granted</w:t>
      </w:r>
      <w:r w:rsidR="003B4372" w:rsidRPr="00A2284E">
        <w:rPr>
          <w:szCs w:val="24"/>
        </w:rPr>
        <w:t xml:space="preserve"> loans. Accordingly, the share of this segment in the </w:t>
      </w:r>
      <w:r w:rsidR="003B4372">
        <w:rPr>
          <w:szCs w:val="24"/>
        </w:rPr>
        <w:t xml:space="preserve">lending activity of the </w:t>
      </w:r>
      <w:r w:rsidR="003B4372" w:rsidRPr="00A2284E">
        <w:rPr>
          <w:szCs w:val="24"/>
        </w:rPr>
        <w:t>financial sector as a whole is below 11% (2017) or 2.8% in relation to GDP (2016).</w:t>
      </w:r>
    </w:p>
    <w:p w:rsidR="005B150B" w:rsidRDefault="005B150B" w:rsidP="005B150B">
      <w:pPr>
        <w:pStyle w:val="Text1"/>
        <w:tabs>
          <w:tab w:val="left" w:pos="4320"/>
        </w:tabs>
        <w:spacing w:after="120"/>
        <w:ind w:left="0"/>
        <w:rPr>
          <w:szCs w:val="24"/>
        </w:rPr>
      </w:pPr>
      <w:r w:rsidRPr="0056037F">
        <w:rPr>
          <w:szCs w:val="24"/>
        </w:rPr>
        <w:t>The MFOs are loosely regulated by the National Commission on Financial Markets (NCFM) but they are not being supervised. The SCAs comply with prudential regulation and NCFM supervises their activities to ensure compliance with the prudential norms. Under the current arrangements, non-bank credit organisations, which include leasing companies and microfinance organisations, are under the oversight of NCFM. While the liability side of their balance sheets do not include deposits, their asset exposures can be very similar to those of banks. Moreover, non-bank credit organisations often take bank loans to intermediate credit to consumers</w:t>
      </w:r>
      <w:r w:rsidR="00DA1896">
        <w:rPr>
          <w:szCs w:val="24"/>
        </w:rPr>
        <w:t xml:space="preserve"> through small business loans, </w:t>
      </w:r>
      <w:r w:rsidRPr="0056037F">
        <w:rPr>
          <w:szCs w:val="24"/>
        </w:rPr>
        <w:t>mortgage credit</w:t>
      </w:r>
      <w:r w:rsidR="00DA1896">
        <w:rPr>
          <w:szCs w:val="24"/>
        </w:rPr>
        <w:t xml:space="preserve"> or consumer loans</w:t>
      </w:r>
      <w:r w:rsidRPr="0056037F">
        <w:rPr>
          <w:szCs w:val="24"/>
        </w:rPr>
        <w:t>. In the international stage, such practices have come under greater scrutiny after the financial crisis as many of the non-bank credit intermediaries tend to act shadow banks. That is, non-bank credit organisations that use their balance sheets to intermediate bank credit to consumers and businesses to exploit capital arbitrage opportunities. Monitoring the potential interlinkages between such lending practices and bank risk is extremely important to safeguard financial stability.</w:t>
      </w:r>
    </w:p>
    <w:p w:rsidR="005B150B" w:rsidRDefault="005B150B" w:rsidP="005B150B">
      <w:pPr>
        <w:pStyle w:val="Text1"/>
        <w:tabs>
          <w:tab w:val="left" w:pos="4320"/>
        </w:tabs>
        <w:spacing w:after="120"/>
        <w:ind w:left="0"/>
        <w:rPr>
          <w:szCs w:val="24"/>
        </w:rPr>
      </w:pPr>
      <w:r w:rsidRPr="0056037F">
        <w:rPr>
          <w:szCs w:val="24"/>
        </w:rPr>
        <w:t>Introducing prudential regulation and capital requirements, and bringing MFOs under full supervision is strongly recommended to ensure that lending standards, risk management frameworks and loan loss provisioning practices are uniformly implemented across all participants in the sector. This would promote consolidation in this sector and support better internal risk management practices to develop, which in turn will help a more resilient and better regulated financial system to develop in the Republic of Moldova.</w:t>
      </w:r>
    </w:p>
    <w:p w:rsidR="00CC12EE" w:rsidRPr="005749D1" w:rsidRDefault="00CC12EE" w:rsidP="00CC12EE">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F5289D">
        <w:rPr>
          <w:rFonts w:ascii="Times New Roman" w:eastAsia="Times New Roman" w:hAnsi="Times New Roman" w:cs="Times New Roman"/>
          <w:sz w:val="24"/>
          <w:szCs w:val="24"/>
          <w:lang w:val="en-US" w:eastAsia="en-GB"/>
        </w:rPr>
        <w:t>Continuous and qualitative consolidation of the microfinance sector indicates a tendency for the transformation of microfinance intermediaries into financially professional insti</w:t>
      </w:r>
      <w:r w:rsidR="00BF2BBD">
        <w:rPr>
          <w:rFonts w:ascii="Times New Roman" w:eastAsia="Times New Roman" w:hAnsi="Times New Roman" w:cs="Times New Roman"/>
          <w:sz w:val="24"/>
          <w:szCs w:val="24"/>
          <w:lang w:val="en-US" w:eastAsia="en-GB"/>
        </w:rPr>
        <w:t>tutions, these entities being an</w:t>
      </w:r>
      <w:r w:rsidRPr="00F5289D">
        <w:rPr>
          <w:rFonts w:ascii="Times New Roman" w:eastAsia="Times New Roman" w:hAnsi="Times New Roman" w:cs="Times New Roman"/>
          <w:sz w:val="24"/>
          <w:szCs w:val="24"/>
          <w:lang w:val="en-US" w:eastAsia="en-GB"/>
        </w:rPr>
        <w:t xml:space="preserve"> alternative for crediting small and medium enterprises</w:t>
      </w:r>
      <w:r>
        <w:rPr>
          <w:rFonts w:ascii="Times New Roman" w:eastAsia="Times New Roman" w:hAnsi="Times New Roman" w:cs="Times New Roman"/>
          <w:sz w:val="24"/>
          <w:szCs w:val="24"/>
          <w:lang w:val="en-US" w:eastAsia="en-GB"/>
        </w:rPr>
        <w:t xml:space="preserve">. </w:t>
      </w:r>
      <w:r w:rsidRPr="005B71AF">
        <w:rPr>
          <w:rFonts w:ascii="Times New Roman" w:eastAsia="Times New Roman" w:hAnsi="Times New Roman" w:cs="Times New Roman"/>
          <w:sz w:val="24"/>
          <w:szCs w:val="24"/>
          <w:lang w:val="en-US" w:eastAsia="en-GB"/>
        </w:rPr>
        <w:t xml:space="preserve">Thus, there is a need to introduce additional mechanisms and levers, which the </w:t>
      </w:r>
      <w:r>
        <w:rPr>
          <w:rFonts w:ascii="Times New Roman" w:eastAsia="Times New Roman" w:hAnsi="Times New Roman" w:cs="Times New Roman"/>
          <w:sz w:val="24"/>
          <w:szCs w:val="24"/>
          <w:lang w:val="en-US" w:eastAsia="en-GB"/>
        </w:rPr>
        <w:t>NCFM</w:t>
      </w:r>
      <w:r w:rsidRPr="005B71AF">
        <w:rPr>
          <w:rFonts w:ascii="Times New Roman" w:eastAsia="Times New Roman" w:hAnsi="Times New Roman" w:cs="Times New Roman"/>
          <w:sz w:val="24"/>
          <w:szCs w:val="24"/>
          <w:lang w:val="en-US" w:eastAsia="en-GB"/>
        </w:rPr>
        <w:t xml:space="preserve"> currently does not have, although it is necessary to monitor and closely monitor developments in this segment of the financial market.</w:t>
      </w:r>
      <w:r w:rsidRPr="00F5289D">
        <w:t xml:space="preserve"> </w:t>
      </w:r>
      <w:r>
        <w:t>T</w:t>
      </w:r>
      <w:r w:rsidRPr="00F5289D">
        <w:rPr>
          <w:rFonts w:ascii="Times New Roman" w:eastAsia="Times New Roman" w:hAnsi="Times New Roman" w:cs="Times New Roman"/>
          <w:sz w:val="24"/>
          <w:szCs w:val="24"/>
          <w:lang w:val="en-US" w:eastAsia="en-GB"/>
        </w:rPr>
        <w:t xml:space="preserve">he basis for the implementation of a new mechanism to achieve the synergy of on-site and off-site </w:t>
      </w:r>
      <w:r>
        <w:rPr>
          <w:rFonts w:ascii="Times New Roman" w:eastAsia="Times New Roman" w:hAnsi="Times New Roman" w:cs="Times New Roman"/>
          <w:sz w:val="24"/>
          <w:szCs w:val="24"/>
          <w:lang w:val="en-US" w:eastAsia="en-GB"/>
        </w:rPr>
        <w:t>supervision</w:t>
      </w:r>
      <w:r w:rsidRPr="00F5289D">
        <w:rPr>
          <w:rFonts w:ascii="Times New Roman" w:eastAsia="Times New Roman" w:hAnsi="Times New Roman" w:cs="Times New Roman"/>
          <w:sz w:val="24"/>
          <w:szCs w:val="24"/>
          <w:lang w:val="en-US" w:eastAsia="en-GB"/>
        </w:rPr>
        <w:t xml:space="preserve"> is the development and implementation of an IT solution tailored to the needs of the sector, focusing on</w:t>
      </w:r>
      <w:r>
        <w:rPr>
          <w:rFonts w:ascii="Times New Roman" w:eastAsia="Times New Roman" w:hAnsi="Times New Roman" w:cs="Times New Roman"/>
          <w:sz w:val="24"/>
          <w:szCs w:val="24"/>
          <w:lang w:val="en-US" w:eastAsia="en-GB"/>
        </w:rPr>
        <w:t xml:space="preserve">  </w:t>
      </w:r>
      <w:r w:rsidRPr="00F5289D">
        <w:rPr>
          <w:rFonts w:ascii="Times New Roman" w:eastAsia="Times New Roman" w:hAnsi="Times New Roman" w:cs="Times New Roman"/>
          <w:sz w:val="24"/>
          <w:szCs w:val="24"/>
          <w:lang w:val="en-US" w:eastAsia="en-GB"/>
        </w:rPr>
        <w:t>data collection and automated processing, by standardizing reporting templates</w:t>
      </w:r>
      <w:r>
        <w:rPr>
          <w:rFonts w:ascii="Times New Roman" w:eastAsia="Times New Roman" w:hAnsi="Times New Roman" w:cs="Times New Roman"/>
          <w:sz w:val="24"/>
          <w:szCs w:val="24"/>
          <w:lang w:val="en-US" w:eastAsia="en-GB"/>
        </w:rPr>
        <w:t>;</w:t>
      </w:r>
      <w:r w:rsidRPr="00F5289D">
        <w:rPr>
          <w:rFonts w:ascii="Times New Roman" w:eastAsia="Times New Roman" w:hAnsi="Times New Roman" w:cs="Times New Roman"/>
          <w:sz w:val="24"/>
          <w:szCs w:val="24"/>
          <w:lang w:val="en-US" w:eastAsia="en-GB"/>
        </w:rPr>
        <w:t xml:space="preserve"> developing the analysis and verification system, with the potential for identifying vulnerabilities through alerts;</w:t>
      </w:r>
      <w:r>
        <w:rPr>
          <w:rFonts w:ascii="Times New Roman" w:eastAsia="Times New Roman" w:hAnsi="Times New Roman" w:cs="Times New Roman"/>
          <w:sz w:val="24"/>
          <w:szCs w:val="24"/>
          <w:lang w:val="en-US" w:eastAsia="en-GB"/>
        </w:rPr>
        <w:t xml:space="preserve"> </w:t>
      </w:r>
      <w:r w:rsidRPr="00F5289D">
        <w:rPr>
          <w:rFonts w:ascii="Times New Roman" w:eastAsia="Times New Roman" w:hAnsi="Times New Roman" w:cs="Times New Roman"/>
          <w:sz w:val="24"/>
          <w:szCs w:val="24"/>
          <w:lang w:val="en-US" w:eastAsia="en-GB"/>
        </w:rPr>
        <w:t>analysis of financial and prudential indicators to identify the main risks that would require additional supervision measures</w:t>
      </w:r>
      <w:r>
        <w:rPr>
          <w:rFonts w:ascii="Times New Roman" w:eastAsia="Times New Roman" w:hAnsi="Times New Roman" w:cs="Times New Roman"/>
          <w:sz w:val="24"/>
          <w:szCs w:val="24"/>
          <w:lang w:val="en-US" w:eastAsia="en-GB"/>
        </w:rPr>
        <w:t xml:space="preserve">, as well as </w:t>
      </w:r>
      <w:r w:rsidRPr="00F5289D">
        <w:rPr>
          <w:rFonts w:ascii="Times New Roman" w:eastAsia="Times New Roman" w:hAnsi="Times New Roman" w:cs="Times New Roman"/>
          <w:sz w:val="24"/>
          <w:szCs w:val="24"/>
          <w:lang w:val="en-US" w:eastAsia="en-GB"/>
        </w:rPr>
        <w:t>developing the pro-active dimension of the surveillance activity</w:t>
      </w:r>
      <w:r w:rsidR="00D81B74">
        <w:rPr>
          <w:rFonts w:ascii="Times New Roman" w:eastAsia="Times New Roman" w:hAnsi="Times New Roman" w:cs="Times New Roman"/>
          <w:sz w:val="24"/>
          <w:szCs w:val="24"/>
          <w:lang w:val="en-US" w:eastAsia="en-GB"/>
        </w:rPr>
        <w:t>.</w:t>
      </w:r>
    </w:p>
    <w:p w:rsidR="00B22D9A" w:rsidRPr="00017F3C" w:rsidRDefault="00B22D9A" w:rsidP="005103BD">
      <w:pPr>
        <w:pStyle w:val="Text1"/>
        <w:tabs>
          <w:tab w:val="left" w:pos="4320"/>
        </w:tabs>
        <w:spacing w:before="120" w:after="120"/>
        <w:ind w:left="0"/>
        <w:rPr>
          <w:szCs w:val="24"/>
          <w:u w:val="single"/>
        </w:rPr>
      </w:pPr>
      <w:r w:rsidRPr="00017F3C">
        <w:rPr>
          <w:szCs w:val="24"/>
          <w:u w:val="single"/>
        </w:rPr>
        <w:t>Insurance</w:t>
      </w:r>
    </w:p>
    <w:p w:rsidR="00CC3D49" w:rsidRPr="002B5B8B" w:rsidRDefault="00CC3D49" w:rsidP="00CC3D49">
      <w:pPr>
        <w:pStyle w:val="Text1"/>
        <w:tabs>
          <w:tab w:val="left" w:pos="4320"/>
        </w:tabs>
        <w:spacing w:after="120"/>
        <w:ind w:left="0"/>
        <w:rPr>
          <w:szCs w:val="24"/>
        </w:rPr>
      </w:pPr>
      <w:r>
        <w:rPr>
          <w:szCs w:val="24"/>
        </w:rPr>
        <w:t xml:space="preserve">The insurance market in Moldova is one of the smallest in Europe amounting to EUR 63 million of written premiums per year. </w:t>
      </w:r>
      <w:r w:rsidRPr="00B32DA9">
        <w:rPr>
          <w:szCs w:val="24"/>
          <w:lang w:val="en-US" w:eastAsia="en-GB"/>
        </w:rPr>
        <w:t xml:space="preserve">Despite the growth in the volume of insurance premiums, the insurance market remains underdeveloped. </w:t>
      </w:r>
      <w:r>
        <w:rPr>
          <w:szCs w:val="24"/>
        </w:rPr>
        <w:t>The insurance sector is dominated by</w:t>
      </w:r>
      <w:r w:rsidRPr="002B5B8B">
        <w:rPr>
          <w:szCs w:val="24"/>
        </w:rPr>
        <w:t xml:space="preserve"> the motor insurance segment</w:t>
      </w:r>
      <w:r>
        <w:rPr>
          <w:szCs w:val="24"/>
        </w:rPr>
        <w:t>, which</w:t>
      </w:r>
      <w:r w:rsidRPr="002B5B8B">
        <w:rPr>
          <w:szCs w:val="24"/>
        </w:rPr>
        <w:t xml:space="preserve"> repres</w:t>
      </w:r>
      <w:r>
        <w:rPr>
          <w:szCs w:val="24"/>
        </w:rPr>
        <w:t xml:space="preserve">ented 67.5% of the total Gross Written Premiums of the sector; followed by property insurance, </w:t>
      </w:r>
      <w:r w:rsidRPr="00CD0E9B">
        <w:rPr>
          <w:szCs w:val="24"/>
        </w:rPr>
        <w:t xml:space="preserve">which accounts for </w:t>
      </w:r>
      <w:r>
        <w:rPr>
          <w:szCs w:val="24"/>
        </w:rPr>
        <w:t>about 8</w:t>
      </w:r>
      <w:r w:rsidRPr="00CD0E9B">
        <w:rPr>
          <w:szCs w:val="24"/>
        </w:rPr>
        <w:t>%</w:t>
      </w:r>
      <w:r>
        <w:rPr>
          <w:szCs w:val="24"/>
        </w:rPr>
        <w:t xml:space="preserve"> of the market.</w:t>
      </w:r>
    </w:p>
    <w:p w:rsidR="00017F3C" w:rsidRDefault="00017F3C" w:rsidP="00017F3C">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B32DA9">
        <w:rPr>
          <w:rFonts w:ascii="Times New Roman" w:eastAsia="Times New Roman" w:hAnsi="Times New Roman" w:cs="Times New Roman"/>
          <w:sz w:val="24"/>
          <w:szCs w:val="24"/>
          <w:lang w:val="en-US" w:eastAsia="en-GB"/>
        </w:rPr>
        <w:t xml:space="preserve">The weaker transparency of the shareholder structure and corporate governance issues raised multiple questions for the </w:t>
      </w:r>
      <w:r>
        <w:rPr>
          <w:rFonts w:ascii="Times New Roman" w:eastAsia="Times New Roman" w:hAnsi="Times New Roman" w:cs="Times New Roman"/>
          <w:sz w:val="24"/>
          <w:szCs w:val="24"/>
          <w:lang w:val="en-US" w:eastAsia="en-GB"/>
        </w:rPr>
        <w:t>NCFM</w:t>
      </w:r>
      <w:r w:rsidRPr="00B32DA9">
        <w:rPr>
          <w:rFonts w:ascii="Times New Roman" w:eastAsia="Times New Roman" w:hAnsi="Times New Roman" w:cs="Times New Roman"/>
          <w:sz w:val="24"/>
          <w:szCs w:val="24"/>
          <w:lang w:val="en-US" w:eastAsia="en-GB"/>
        </w:rPr>
        <w:t xml:space="preserve"> and, together with the problems in the banking sector, undermined the confidence of investors, external creditors and financial services consumers, endangering the stability of the financial sector as a whole. The exaggerated commissions offered by insurers to insurance brokers in the segment of motor third party liability insurance are an impediment to market development. The penetration rate of insurance is a much lower indicator than in the European countries. Profitability and efficiency of the insurance sector remain a challenge. In this respect, concrete measures are needed to improve the regulatory framework and to step up supervisory work, including the change in the solvency regime for insurance companies, the creation of a mechanism to ensure and guarantee the rights of policyholders, </w:t>
      </w:r>
      <w:r w:rsidR="002205BC">
        <w:rPr>
          <w:rFonts w:ascii="Times New Roman" w:eastAsia="Times New Roman" w:hAnsi="Times New Roman" w:cs="Times New Roman"/>
          <w:sz w:val="24"/>
          <w:szCs w:val="24"/>
          <w:lang w:val="en-US" w:eastAsia="en-GB"/>
        </w:rPr>
        <w:t xml:space="preserve">strengthening requirements for shareholder structure transparency, </w:t>
      </w:r>
      <w:r w:rsidRPr="00B32DA9">
        <w:rPr>
          <w:rFonts w:ascii="Times New Roman" w:eastAsia="Times New Roman" w:hAnsi="Times New Roman" w:cs="Times New Roman"/>
          <w:sz w:val="24"/>
          <w:szCs w:val="24"/>
          <w:lang w:val="en-US" w:eastAsia="en-GB"/>
        </w:rPr>
        <w:t>the implementation of early intervention mechanisms, resolution and financial remediation, and improving the regulatory framework for crisis management in the insurance market.</w:t>
      </w:r>
      <w:r w:rsidRPr="00C05D1D">
        <w:rPr>
          <w:rFonts w:ascii="Times New Roman" w:eastAsia="Times New Roman" w:hAnsi="Times New Roman" w:cs="Times New Roman"/>
          <w:sz w:val="24"/>
          <w:szCs w:val="24"/>
          <w:lang w:val="en-US" w:eastAsia="en-GB"/>
        </w:rPr>
        <w:t xml:space="preserve"> </w:t>
      </w:r>
    </w:p>
    <w:p w:rsidR="009B138D" w:rsidRDefault="009B138D" w:rsidP="00326204">
      <w:pPr>
        <w:pStyle w:val="Text1"/>
        <w:tabs>
          <w:tab w:val="left" w:pos="4320"/>
        </w:tabs>
        <w:spacing w:before="240" w:after="120"/>
        <w:ind w:left="0"/>
        <w:jc w:val="center"/>
        <w:rPr>
          <w:szCs w:val="24"/>
          <w:u w:val="single"/>
          <w:lang w:val="en-US"/>
        </w:rPr>
      </w:pPr>
      <w:r>
        <w:rPr>
          <w:szCs w:val="24"/>
          <w:u w:val="single"/>
          <w:lang w:val="en-US"/>
        </w:rPr>
        <w:t>Legal framework</w:t>
      </w:r>
    </w:p>
    <w:p w:rsidR="009B138D" w:rsidRDefault="009B138D" w:rsidP="005B150B">
      <w:pPr>
        <w:pStyle w:val="Text1"/>
        <w:tabs>
          <w:tab w:val="left" w:pos="4320"/>
        </w:tabs>
        <w:spacing w:after="120"/>
        <w:ind w:left="0"/>
        <w:rPr>
          <w:szCs w:val="24"/>
          <w:u w:val="single"/>
          <w:lang w:val="en-US"/>
        </w:rPr>
      </w:pPr>
      <w:r>
        <w:rPr>
          <w:szCs w:val="24"/>
          <w:u w:val="single"/>
          <w:lang w:val="en-US"/>
        </w:rPr>
        <w:t>Banking sector</w:t>
      </w:r>
    </w:p>
    <w:p w:rsidR="0084186D" w:rsidRPr="00E7279A" w:rsidRDefault="0084186D" w:rsidP="0084186D">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7279A">
        <w:rPr>
          <w:rFonts w:ascii="Times New Roman" w:eastAsia="Times New Roman" w:hAnsi="Times New Roman" w:cs="Times New Roman"/>
          <w:sz w:val="24"/>
          <w:szCs w:val="24"/>
          <w:lang w:eastAsia="en-GB"/>
        </w:rPr>
        <w:t>As a result of the financial crisis in the banking system of the Republic of Moldova</w:t>
      </w:r>
      <w:r w:rsidR="0085426E">
        <w:rPr>
          <w:rFonts w:ascii="Times New Roman" w:eastAsia="Times New Roman" w:hAnsi="Times New Roman" w:cs="Times New Roman"/>
          <w:sz w:val="24"/>
          <w:szCs w:val="24"/>
          <w:lang w:eastAsia="en-GB"/>
        </w:rPr>
        <w:t xml:space="preserve"> in 2015</w:t>
      </w:r>
      <w:r w:rsidRPr="00E7279A">
        <w:rPr>
          <w:rFonts w:ascii="Times New Roman" w:eastAsia="Times New Roman" w:hAnsi="Times New Roman" w:cs="Times New Roman"/>
          <w:sz w:val="24"/>
          <w:szCs w:val="24"/>
          <w:lang w:eastAsia="en-GB"/>
        </w:rPr>
        <w:t xml:space="preserve">, emerged a need for a strong regulatory and supervisory framework, in line with best international practices, which could prevent crisis situations in the future and, in particular, will contain a sufficient range of instruments which could be used for solving problems at an early stage. Respectively, the development of the legal, institutional and regulatory framework on financial stability was one of the main actions aimed to strengthen and reform the financial and banking sector in the Republic of Moldova. Moreover, the qualitative achievement of this action was strongly dependent on the resumption of cooperation with development partners, especially EU and IMF. </w:t>
      </w:r>
    </w:p>
    <w:p w:rsidR="00E7279A" w:rsidRPr="00E7279A" w:rsidRDefault="00591B94" w:rsidP="00E7279A">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supervision of the banking sector is </w:t>
      </w:r>
      <w:r w:rsidR="00F94483">
        <w:rPr>
          <w:rFonts w:ascii="Times New Roman" w:eastAsia="Times New Roman" w:hAnsi="Times New Roman" w:cs="Times New Roman"/>
          <w:sz w:val="24"/>
          <w:szCs w:val="24"/>
          <w:lang w:eastAsia="en-GB"/>
        </w:rPr>
        <w:t xml:space="preserve">being upgraded from </w:t>
      </w:r>
      <w:r w:rsidR="004B6088">
        <w:rPr>
          <w:rFonts w:ascii="Times New Roman" w:eastAsia="Times New Roman" w:hAnsi="Times New Roman" w:cs="Times New Roman"/>
          <w:sz w:val="24"/>
          <w:szCs w:val="24"/>
          <w:lang w:eastAsia="en-GB"/>
        </w:rPr>
        <w:t>the current B</w:t>
      </w:r>
      <w:r w:rsidR="00080487">
        <w:rPr>
          <w:rFonts w:ascii="Times New Roman" w:eastAsia="Times New Roman" w:hAnsi="Times New Roman" w:cs="Times New Roman"/>
          <w:sz w:val="24"/>
          <w:szCs w:val="24"/>
          <w:lang w:eastAsia="en-GB"/>
        </w:rPr>
        <w:t>asel</w:t>
      </w:r>
      <w:r w:rsidR="004B6088">
        <w:rPr>
          <w:rFonts w:ascii="Times New Roman" w:eastAsia="Times New Roman" w:hAnsi="Times New Roman" w:cs="Times New Roman"/>
          <w:sz w:val="24"/>
          <w:szCs w:val="24"/>
          <w:lang w:eastAsia="en-GB"/>
        </w:rPr>
        <w:t xml:space="preserve"> I-compliant regime to Basel III. </w:t>
      </w:r>
      <w:r w:rsidR="000A0E02">
        <w:rPr>
          <w:rFonts w:ascii="Times New Roman" w:eastAsia="Times New Roman" w:hAnsi="Times New Roman" w:cs="Times New Roman"/>
          <w:sz w:val="24"/>
          <w:szCs w:val="24"/>
          <w:lang w:eastAsia="en-GB"/>
        </w:rPr>
        <w:t xml:space="preserve">A </w:t>
      </w:r>
      <w:r w:rsidR="000A0E02" w:rsidRPr="00E7279A">
        <w:rPr>
          <w:rFonts w:ascii="Times New Roman" w:eastAsia="Times New Roman" w:hAnsi="Times New Roman" w:cs="Times New Roman"/>
          <w:sz w:val="24"/>
          <w:szCs w:val="24"/>
          <w:lang w:eastAsia="en-GB"/>
        </w:rPr>
        <w:t>new Law on banking activity was adopted on October 6, 2017</w:t>
      </w:r>
      <w:r w:rsidR="000A0E02">
        <w:rPr>
          <w:rFonts w:ascii="Times New Roman" w:eastAsia="Times New Roman" w:hAnsi="Times New Roman" w:cs="Times New Roman"/>
          <w:sz w:val="24"/>
          <w:szCs w:val="24"/>
          <w:lang w:eastAsia="en-GB"/>
        </w:rPr>
        <w:t xml:space="preserve"> bringing the Moldovan supervisory framework in line with Basel III principles</w:t>
      </w:r>
      <w:r w:rsidR="00211E0B">
        <w:rPr>
          <w:rFonts w:ascii="Times New Roman" w:eastAsia="Times New Roman" w:hAnsi="Times New Roman" w:cs="Times New Roman"/>
          <w:sz w:val="24"/>
          <w:szCs w:val="24"/>
          <w:lang w:eastAsia="en-GB"/>
        </w:rPr>
        <w:t xml:space="preserve"> and </w:t>
      </w:r>
      <w:r w:rsidR="00211E0B" w:rsidRPr="00E7279A">
        <w:rPr>
          <w:rFonts w:ascii="Times New Roman" w:eastAsia="Times New Roman" w:hAnsi="Times New Roman" w:cs="Times New Roman"/>
          <w:sz w:val="24"/>
          <w:szCs w:val="24"/>
          <w:lang w:eastAsia="en-GB"/>
        </w:rPr>
        <w:t xml:space="preserve">the </w:t>
      </w:r>
      <w:r w:rsidR="00211E0B">
        <w:rPr>
          <w:rFonts w:ascii="Times New Roman" w:eastAsia="Times New Roman" w:hAnsi="Times New Roman" w:cs="Times New Roman"/>
          <w:sz w:val="24"/>
          <w:szCs w:val="24"/>
          <w:lang w:eastAsia="en-GB"/>
        </w:rPr>
        <w:t xml:space="preserve">EU </w:t>
      </w:r>
      <w:r w:rsidR="00211E0B" w:rsidRPr="00E7279A">
        <w:rPr>
          <w:rFonts w:ascii="Times New Roman" w:eastAsia="Times New Roman" w:hAnsi="Times New Roman" w:cs="Times New Roman"/>
          <w:sz w:val="24"/>
          <w:szCs w:val="24"/>
          <w:lang w:eastAsia="en-GB"/>
        </w:rPr>
        <w:t>C</w:t>
      </w:r>
      <w:r w:rsidR="00A30527">
        <w:rPr>
          <w:rFonts w:ascii="Times New Roman" w:eastAsia="Times New Roman" w:hAnsi="Times New Roman" w:cs="Times New Roman"/>
          <w:sz w:val="24"/>
          <w:szCs w:val="24"/>
          <w:lang w:eastAsia="en-GB"/>
        </w:rPr>
        <w:t>apital Requirements Directives (C</w:t>
      </w:r>
      <w:r w:rsidR="00211E0B" w:rsidRPr="00E7279A">
        <w:rPr>
          <w:rFonts w:ascii="Times New Roman" w:eastAsia="Times New Roman" w:hAnsi="Times New Roman" w:cs="Times New Roman"/>
          <w:sz w:val="24"/>
          <w:szCs w:val="24"/>
          <w:lang w:eastAsia="en-GB"/>
        </w:rPr>
        <w:t>RDIV/CRR</w:t>
      </w:r>
      <w:r w:rsidR="00A30527">
        <w:rPr>
          <w:rFonts w:ascii="Times New Roman" w:eastAsia="Times New Roman" w:hAnsi="Times New Roman" w:cs="Times New Roman"/>
          <w:sz w:val="24"/>
          <w:szCs w:val="24"/>
          <w:lang w:eastAsia="en-GB"/>
        </w:rPr>
        <w:t>)</w:t>
      </w:r>
      <w:r w:rsidR="000A0E02">
        <w:rPr>
          <w:rFonts w:ascii="Times New Roman" w:eastAsia="Times New Roman" w:hAnsi="Times New Roman" w:cs="Times New Roman"/>
          <w:sz w:val="24"/>
          <w:szCs w:val="24"/>
          <w:lang w:eastAsia="en-GB"/>
        </w:rPr>
        <w:t xml:space="preserve"> </w:t>
      </w:r>
      <w:r w:rsidR="00E7279A" w:rsidRPr="00E7279A">
        <w:rPr>
          <w:rFonts w:ascii="Times New Roman" w:eastAsia="Times New Roman" w:hAnsi="Times New Roman" w:cs="Times New Roman"/>
          <w:sz w:val="24"/>
          <w:szCs w:val="24"/>
          <w:lang w:eastAsia="en-GB"/>
        </w:rPr>
        <w:t xml:space="preserve">According to the new Law and secondary regulations, National Bank should supervise and assess banks on a risk-based, forward-looking, judgement approach, using Supervisory Review and Evaluation process (SREP). </w:t>
      </w:r>
    </w:p>
    <w:p w:rsidR="00E7279A" w:rsidRPr="00E7279A" w:rsidRDefault="00E7279A" w:rsidP="00E7279A">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7279A">
        <w:rPr>
          <w:rFonts w:ascii="Times New Roman" w:eastAsia="Times New Roman" w:hAnsi="Times New Roman" w:cs="Times New Roman"/>
          <w:sz w:val="24"/>
          <w:szCs w:val="24"/>
          <w:lang w:eastAsia="en-GB"/>
        </w:rPr>
        <w:t>Two important secondary legislative acts on banks’ internal governance and risk management and on assessment of the suitability of members of management bodies (bank admin</w:t>
      </w:r>
      <w:r w:rsidR="003001A0">
        <w:rPr>
          <w:rFonts w:ascii="Times New Roman" w:eastAsia="Times New Roman" w:hAnsi="Times New Roman" w:cs="Times New Roman"/>
          <w:sz w:val="24"/>
          <w:szCs w:val="24"/>
          <w:lang w:eastAsia="en-GB"/>
        </w:rPr>
        <w:t>istrators) were withdrawn from Basel III package</w:t>
      </w:r>
      <w:r w:rsidRPr="00E7279A">
        <w:rPr>
          <w:rFonts w:ascii="Times New Roman" w:eastAsia="Times New Roman" w:hAnsi="Times New Roman" w:cs="Times New Roman"/>
          <w:sz w:val="24"/>
          <w:szCs w:val="24"/>
          <w:lang w:eastAsia="en-GB"/>
        </w:rPr>
        <w:t xml:space="preserve"> and approved earlier in order to facilitate smoother transition from Basel I to Basel III. Another set of secondary legislative acts (more than 20) will be approved by stages </w:t>
      </w:r>
      <w:r w:rsidR="00266F18">
        <w:rPr>
          <w:rFonts w:ascii="Times New Roman" w:eastAsia="Times New Roman" w:hAnsi="Times New Roman" w:cs="Times New Roman"/>
          <w:sz w:val="24"/>
          <w:szCs w:val="24"/>
          <w:lang w:eastAsia="en-GB"/>
        </w:rPr>
        <w:t xml:space="preserve">in the course of 2018. </w:t>
      </w:r>
    </w:p>
    <w:p w:rsidR="00E7279A" w:rsidRPr="00E7279A" w:rsidRDefault="00E7279A" w:rsidP="00E7279A">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7279A">
        <w:rPr>
          <w:rFonts w:ascii="Times New Roman" w:eastAsia="Times New Roman" w:hAnsi="Times New Roman" w:cs="Times New Roman"/>
          <w:sz w:val="24"/>
          <w:szCs w:val="24"/>
          <w:lang w:eastAsia="en-GB"/>
        </w:rPr>
        <w:t xml:space="preserve">To be mentioned, that Law on NBM will be amended in accordance with Basel III requirements.  </w:t>
      </w:r>
    </w:p>
    <w:p w:rsidR="00E7279A" w:rsidRDefault="00E7279A" w:rsidP="00E7279A">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7279A">
        <w:rPr>
          <w:rFonts w:ascii="Times New Roman" w:eastAsia="Times New Roman" w:hAnsi="Times New Roman" w:cs="Times New Roman"/>
          <w:sz w:val="24"/>
          <w:szCs w:val="24"/>
          <w:lang w:eastAsia="en-GB"/>
        </w:rPr>
        <w:t xml:space="preserve">As from October 4, 2016, the Law on bank recovery and resolution was approved, (in line with Directive 2014/59/EU), containing resolution tools for resolving a failing bank in an orderly manner without damaging the financial system and the real economy. The Law provides a credible set of tools to intervene early and fast enough in the case of a non-viable or in difficulty bank so that to guarantee the continuity of critical financial and economical functions, reducing negative impacts on the economy and the financial system. The Law is intended to avoid that problems in one bank spill over to other banks, possibly affecting stability of the entire financial system and protects taxpayers. It allows </w:t>
      </w:r>
      <w:r w:rsidR="00080487">
        <w:rPr>
          <w:rFonts w:ascii="Times New Roman" w:eastAsia="Times New Roman" w:hAnsi="Times New Roman" w:cs="Times New Roman"/>
          <w:sz w:val="24"/>
          <w:szCs w:val="24"/>
          <w:lang w:eastAsia="en-GB"/>
        </w:rPr>
        <w:t>to</w:t>
      </w:r>
      <w:r w:rsidRPr="00E7279A">
        <w:rPr>
          <w:rFonts w:ascii="Times New Roman" w:eastAsia="Times New Roman" w:hAnsi="Times New Roman" w:cs="Times New Roman"/>
          <w:sz w:val="24"/>
          <w:szCs w:val="24"/>
          <w:lang w:eastAsia="en-GB"/>
        </w:rPr>
        <w:t xml:space="preserve"> resolve problem banks in an orderly, quick and efficient manner and gives the National Bank a credible set of tools to intervene sufficiently, promptly in a critical situation of the bank.</w:t>
      </w:r>
    </w:p>
    <w:p w:rsidR="00F000B7" w:rsidRPr="00F000B7" w:rsidRDefault="00F000B7" w:rsidP="0094097F">
      <w:pPr>
        <w:autoSpaceDE w:val="0"/>
        <w:autoSpaceDN w:val="0"/>
        <w:adjustRightInd w:val="0"/>
        <w:spacing w:before="120" w:after="0" w:line="240" w:lineRule="auto"/>
        <w:rPr>
          <w:rFonts w:ascii="Times New Roman" w:eastAsia="Times New Roman" w:hAnsi="Times New Roman" w:cs="Times New Roman"/>
          <w:sz w:val="24"/>
          <w:szCs w:val="24"/>
          <w:u w:val="single"/>
          <w:lang w:eastAsia="en-GB"/>
        </w:rPr>
      </w:pPr>
      <w:r w:rsidRPr="00F000B7">
        <w:rPr>
          <w:rFonts w:ascii="Times New Roman" w:eastAsia="Times New Roman" w:hAnsi="Times New Roman" w:cs="Times New Roman"/>
          <w:sz w:val="24"/>
          <w:szCs w:val="24"/>
          <w:u w:val="single"/>
          <w:lang w:eastAsia="en-GB"/>
        </w:rPr>
        <w:t>Non-banking sector</w:t>
      </w:r>
      <w:r w:rsidR="00F62413">
        <w:rPr>
          <w:rFonts w:ascii="Times New Roman" w:eastAsia="Times New Roman" w:hAnsi="Times New Roman" w:cs="Times New Roman"/>
          <w:sz w:val="24"/>
          <w:szCs w:val="24"/>
          <w:u w:val="single"/>
          <w:lang w:eastAsia="en-GB"/>
        </w:rPr>
        <w:t xml:space="preserve"> and insurance</w:t>
      </w:r>
    </w:p>
    <w:p w:rsidR="00794BA6" w:rsidRDefault="00F62413" w:rsidP="00F62413">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F62413">
        <w:rPr>
          <w:rFonts w:ascii="Times New Roman" w:eastAsia="Times New Roman" w:hAnsi="Times New Roman" w:cs="Times New Roman"/>
          <w:sz w:val="24"/>
          <w:szCs w:val="24"/>
          <w:lang w:val="en-US" w:eastAsia="en-GB"/>
        </w:rPr>
        <w:t>Current legal framework regulating the activity on the insurance and microfinance sectors comprise the following laws:</w:t>
      </w:r>
    </w:p>
    <w:p w:rsidR="00F62413" w:rsidRPr="00F62413" w:rsidRDefault="00F62413" w:rsidP="00794BA6">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F62413">
        <w:rPr>
          <w:rFonts w:ascii="Times New Roman" w:eastAsia="Times New Roman" w:hAnsi="Times New Roman" w:cs="Times New Roman"/>
          <w:sz w:val="24"/>
          <w:szCs w:val="24"/>
          <w:lang w:val="en-US" w:eastAsia="en-GB"/>
        </w:rPr>
        <w:t>Law on Insurance nr.407- XVI of 21.12.2006</w:t>
      </w:r>
    </w:p>
    <w:p w:rsidR="00F62413" w:rsidRDefault="00F62413" w:rsidP="00F62413">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Law on MTPL Insurance nr.414-XVI of 22.12.2006 </w:t>
      </w:r>
    </w:p>
    <w:p w:rsidR="00F62413" w:rsidRDefault="00F62413" w:rsidP="00F62413">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Law on MTPL Insurance of Transporters to passengers nr. 1553-XIII of 25.02.1998</w:t>
      </w:r>
    </w:p>
    <w:p w:rsidR="00F62413" w:rsidRPr="00FC161A" w:rsidRDefault="002549F3" w:rsidP="009717C9">
      <w:pPr>
        <w:pStyle w:val="ListParagraph"/>
        <w:numPr>
          <w:ilvl w:val="0"/>
          <w:numId w:val="5"/>
        </w:numPr>
        <w:autoSpaceDE w:val="0"/>
        <w:autoSpaceDN w:val="0"/>
        <w:adjustRightInd w:val="0"/>
        <w:spacing w:before="120" w:after="12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Law on microfinance organis</w:t>
      </w:r>
      <w:r w:rsidR="00F62413">
        <w:rPr>
          <w:rFonts w:ascii="Times New Roman" w:eastAsia="Times New Roman" w:hAnsi="Times New Roman" w:cs="Times New Roman"/>
          <w:sz w:val="24"/>
          <w:szCs w:val="24"/>
          <w:lang w:val="en-US" w:eastAsia="en-GB"/>
        </w:rPr>
        <w:t>ations nr.280 of 22.07.2004</w:t>
      </w:r>
    </w:p>
    <w:p w:rsidR="00844657" w:rsidRPr="00844657" w:rsidRDefault="00844657" w:rsidP="00844657">
      <w:pPr>
        <w:pStyle w:val="Text1"/>
        <w:tabs>
          <w:tab w:val="left" w:pos="4320"/>
        </w:tabs>
        <w:spacing w:after="120"/>
        <w:ind w:left="0"/>
        <w:rPr>
          <w:szCs w:val="24"/>
        </w:rPr>
      </w:pPr>
      <w:r w:rsidRPr="00844657">
        <w:rPr>
          <w:szCs w:val="24"/>
        </w:rPr>
        <w:t xml:space="preserve">Following the implementation of the Twinning project Development and consolidation of the National Commission’s for Financial Markets’ operational and institutional capacities in the field of prudential regulation and supervision, NCFM achieved good results in the development and promotion of an appropriate and effective regulatory and supervisory framework in accordance with EU legislation and best practices to enable prudential regulation and supervision of the non-banking financial market, including: capital market and UCITS sector, insurance sector and microfinance sector. </w:t>
      </w:r>
    </w:p>
    <w:p w:rsidR="00844657" w:rsidRPr="00844657" w:rsidRDefault="00844657" w:rsidP="00844657">
      <w:pPr>
        <w:pStyle w:val="Text1"/>
        <w:tabs>
          <w:tab w:val="left" w:pos="4320"/>
        </w:tabs>
        <w:spacing w:after="120"/>
        <w:ind w:left="0"/>
        <w:rPr>
          <w:szCs w:val="24"/>
        </w:rPr>
      </w:pPr>
      <w:r w:rsidRPr="00844657">
        <w:rPr>
          <w:szCs w:val="24"/>
        </w:rPr>
        <w:t xml:space="preserve">The amendments to the insurance legislation approved during the last 3 years aimed at strengthening the financial stability of insurers, establishing more clear criteria of transparency for shareholders of insurance (reinsurance) undertakings, transparent and complete regulation of the procedure applied by NCFM for the improvement of the financial position of insurers, their financial remediation, sanctions applied to insurers for violations and deficiencies observed as well as consolidation of NCFM supervisory capacity. Also amendments refer to improving the legal framework regulating the National Bureau on Motor Insurance (NBMI) activity, and the activity of compulsory motor third party liability insurance and refers in particular to obtaining the NBMI membership, suspension and revocation of that membership, calculation of the registration and membership contribution, election of management bodies and decision-making procedure, etc. </w:t>
      </w:r>
    </w:p>
    <w:p w:rsidR="003A449E" w:rsidRPr="00B17052" w:rsidRDefault="00B17052" w:rsidP="009717C9">
      <w:pPr>
        <w:pStyle w:val="Text1"/>
        <w:tabs>
          <w:tab w:val="left" w:pos="4320"/>
        </w:tabs>
        <w:spacing w:after="120"/>
        <w:ind w:left="0"/>
        <w:jc w:val="center"/>
        <w:rPr>
          <w:szCs w:val="24"/>
          <w:u w:val="single"/>
          <w:lang w:val="en-US"/>
        </w:rPr>
      </w:pPr>
      <w:r w:rsidRPr="00B17052">
        <w:rPr>
          <w:szCs w:val="24"/>
          <w:u w:val="single"/>
          <w:lang w:val="en-US"/>
        </w:rPr>
        <w:t>Institutional framework</w:t>
      </w:r>
    </w:p>
    <w:p w:rsidR="006E05D2" w:rsidRDefault="006E05D2" w:rsidP="00754A33">
      <w:pPr>
        <w:pStyle w:val="Text1"/>
        <w:tabs>
          <w:tab w:val="left" w:pos="4320"/>
        </w:tabs>
        <w:spacing w:after="120"/>
        <w:ind w:left="0"/>
        <w:rPr>
          <w:szCs w:val="24"/>
        </w:rPr>
      </w:pPr>
      <w:r>
        <w:rPr>
          <w:szCs w:val="24"/>
        </w:rPr>
        <w:t xml:space="preserve">The financial sector in Moldova is regulated by two supervisors the National Bank of Moldova and the National Commission for Financial Markets. </w:t>
      </w:r>
    </w:p>
    <w:p w:rsidR="005B150B" w:rsidRPr="009B138D" w:rsidRDefault="006E05D2" w:rsidP="008F5B31">
      <w:pPr>
        <w:spacing w:after="120" w:line="240" w:lineRule="auto"/>
        <w:jc w:val="both"/>
        <w:rPr>
          <w:rFonts w:ascii="Times New Roman" w:eastAsia="Times New Roman" w:hAnsi="Times New Roman" w:cs="Times New Roman"/>
          <w:sz w:val="24"/>
          <w:szCs w:val="24"/>
          <w:u w:val="single"/>
          <w:lang w:eastAsia="en-GB"/>
        </w:rPr>
      </w:pPr>
      <w:r w:rsidRPr="009B138D">
        <w:rPr>
          <w:rFonts w:ascii="Times New Roman" w:eastAsia="Times New Roman" w:hAnsi="Times New Roman" w:cs="Times New Roman"/>
          <w:sz w:val="24"/>
          <w:szCs w:val="24"/>
          <w:u w:val="single"/>
          <w:lang w:eastAsia="en-GB"/>
        </w:rPr>
        <w:t>National Bank of Moldova</w:t>
      </w:r>
    </w:p>
    <w:p w:rsidR="009B138D" w:rsidRDefault="002B7661" w:rsidP="008F5B31">
      <w:pPr>
        <w:spacing w:after="120" w:line="240" w:lineRule="auto"/>
        <w:jc w:val="both"/>
        <w:rPr>
          <w:rFonts w:ascii="Times New Roman" w:eastAsia="Times New Roman" w:hAnsi="Times New Roman" w:cs="Times New Roman"/>
          <w:sz w:val="24"/>
          <w:szCs w:val="24"/>
          <w:lang w:eastAsia="en-GB"/>
        </w:rPr>
      </w:pPr>
      <w:r w:rsidRPr="002B7661">
        <w:rPr>
          <w:rFonts w:ascii="Times New Roman" w:eastAsia="Times New Roman" w:hAnsi="Times New Roman" w:cs="Times New Roman"/>
          <w:sz w:val="24"/>
          <w:szCs w:val="24"/>
          <w:lang w:eastAsia="en-GB"/>
        </w:rPr>
        <w:t xml:space="preserve">According to the Law on the National Bank of Moldova (NBM), the National Bank is the body that regulates and supervises the activities of </w:t>
      </w:r>
      <w:r>
        <w:rPr>
          <w:rFonts w:ascii="Times New Roman" w:eastAsia="Times New Roman" w:hAnsi="Times New Roman" w:cs="Times New Roman"/>
          <w:sz w:val="24"/>
          <w:szCs w:val="24"/>
          <w:lang w:eastAsia="en-GB"/>
        </w:rPr>
        <w:t>licensed financial institutions</w:t>
      </w:r>
      <w:r w:rsidR="00ED7FE4">
        <w:rPr>
          <w:rStyle w:val="FootnoteReference"/>
          <w:rFonts w:ascii="Times New Roman" w:eastAsia="Times New Roman" w:hAnsi="Times New Roman" w:cs="Times New Roman"/>
          <w:sz w:val="24"/>
          <w:szCs w:val="24"/>
          <w:lang w:eastAsia="en-GB"/>
        </w:rPr>
        <w:footnoteReference w:id="3"/>
      </w:r>
      <w:r w:rsidRPr="002B7661">
        <w:rPr>
          <w:rFonts w:ascii="Times New Roman" w:eastAsia="Times New Roman" w:hAnsi="Times New Roman" w:cs="Times New Roman"/>
          <w:sz w:val="24"/>
          <w:szCs w:val="24"/>
          <w:lang w:eastAsia="en-GB"/>
        </w:rPr>
        <w:t xml:space="preserve">, including banks. In this regards, the National Bank has corrective and sanctionary powers and </w:t>
      </w:r>
      <w:r w:rsidR="00AF59F8">
        <w:rPr>
          <w:rFonts w:ascii="Times New Roman" w:eastAsia="Times New Roman" w:hAnsi="Times New Roman" w:cs="Times New Roman"/>
          <w:sz w:val="24"/>
          <w:szCs w:val="24"/>
          <w:lang w:eastAsia="en-GB"/>
        </w:rPr>
        <w:t xml:space="preserve">can </w:t>
      </w:r>
      <w:r w:rsidRPr="002B7661">
        <w:rPr>
          <w:rFonts w:ascii="Times New Roman" w:eastAsia="Times New Roman" w:hAnsi="Times New Roman" w:cs="Times New Roman"/>
          <w:sz w:val="24"/>
          <w:szCs w:val="24"/>
          <w:lang w:eastAsia="en-GB"/>
        </w:rPr>
        <w:t>act at an early stage to address unsafe and unsound practices and activities, as well as to apply recovery and resolution measures.</w:t>
      </w:r>
    </w:p>
    <w:p w:rsidR="002B7661" w:rsidRDefault="00B27DDA" w:rsidP="008F5B31">
      <w:pPr>
        <w:spacing w:after="120" w:line="240" w:lineRule="auto"/>
        <w:jc w:val="both"/>
        <w:rPr>
          <w:rFonts w:ascii="Times New Roman" w:eastAsia="Times New Roman" w:hAnsi="Times New Roman" w:cs="Times New Roman"/>
          <w:sz w:val="24"/>
          <w:szCs w:val="24"/>
          <w:lang w:eastAsia="en-GB"/>
        </w:rPr>
      </w:pPr>
      <w:r w:rsidRPr="008F11EF">
        <w:rPr>
          <w:rFonts w:ascii="Times New Roman" w:eastAsia="Times New Roman" w:hAnsi="Times New Roman" w:cs="Times New Roman"/>
          <w:sz w:val="24"/>
          <w:szCs w:val="24"/>
          <w:lang w:eastAsia="en-GB"/>
        </w:rPr>
        <w:t xml:space="preserve">National Bank overall staff is </w:t>
      </w:r>
      <w:r w:rsidR="00094B5D">
        <w:rPr>
          <w:rFonts w:ascii="Times New Roman" w:eastAsia="Times New Roman" w:hAnsi="Times New Roman" w:cs="Times New Roman"/>
          <w:sz w:val="24"/>
          <w:szCs w:val="24"/>
          <w:lang w:eastAsia="en-GB"/>
        </w:rPr>
        <w:t>436 persons</w:t>
      </w:r>
      <w:r w:rsidRPr="008F11E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8B60CD">
        <w:rPr>
          <w:rFonts w:ascii="Times New Roman" w:eastAsia="Times New Roman" w:hAnsi="Times New Roman" w:cs="Times New Roman"/>
          <w:sz w:val="24"/>
          <w:szCs w:val="24"/>
          <w:lang w:eastAsia="en-GB"/>
        </w:rPr>
        <w:t>In the project activities will be involved t</w:t>
      </w:r>
      <w:r w:rsidR="00B3462D">
        <w:rPr>
          <w:rFonts w:ascii="Times New Roman" w:eastAsia="Times New Roman" w:hAnsi="Times New Roman" w:cs="Times New Roman"/>
          <w:sz w:val="24"/>
          <w:szCs w:val="24"/>
          <w:lang w:eastAsia="en-GB"/>
        </w:rPr>
        <w:t>he following Departments</w:t>
      </w:r>
      <w:r w:rsidR="0015541A">
        <w:rPr>
          <w:rFonts w:ascii="Times New Roman" w:eastAsia="Times New Roman" w:hAnsi="Times New Roman" w:cs="Times New Roman"/>
          <w:sz w:val="24"/>
          <w:szCs w:val="24"/>
          <w:lang w:eastAsia="en-GB"/>
        </w:rPr>
        <w:t xml:space="preserve">: </w:t>
      </w:r>
    </w:p>
    <w:p w:rsidR="00021134" w:rsidRPr="00021134" w:rsidRDefault="00021134" w:rsidP="00021134">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Banking Supervision Department (BSD), which is responsible for on-site and off-site supervision of banks and foreign exchange entities, has 35 employees. At this moment, a real progress on banking supervisory system was achieved:</w:t>
      </w:r>
    </w:p>
    <w:p w:rsidR="00021134" w:rsidRPr="00021134" w:rsidRDefault="00021134" w:rsidP="00021134">
      <w:pPr>
        <w:pStyle w:val="ListParagraph"/>
        <w:numPr>
          <w:ilvl w:val="0"/>
          <w:numId w:val="6"/>
        </w:numPr>
        <w:autoSpaceDE w:val="0"/>
        <w:autoSpaceDN w:val="0"/>
        <w:adjustRightInd w:val="0"/>
        <w:spacing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 xml:space="preserve">Since January 1, 2018 a new Law on banking activity and secondary legislation, based on CRDIV/CRR </w:t>
      </w:r>
      <w:r w:rsidR="00A30527">
        <w:rPr>
          <w:rFonts w:ascii="Times New Roman" w:eastAsia="Times New Roman" w:hAnsi="Times New Roman" w:cs="Times New Roman"/>
          <w:sz w:val="24"/>
          <w:szCs w:val="24"/>
          <w:lang w:eastAsia="en-GB"/>
        </w:rPr>
        <w:t>is</w:t>
      </w:r>
      <w:r w:rsidRPr="00021134">
        <w:rPr>
          <w:rFonts w:ascii="Times New Roman" w:eastAsia="Times New Roman" w:hAnsi="Times New Roman" w:cs="Times New Roman"/>
          <w:sz w:val="24"/>
          <w:szCs w:val="24"/>
          <w:lang w:eastAsia="en-GB"/>
        </w:rPr>
        <w:t xml:space="preserve"> in place;</w:t>
      </w:r>
    </w:p>
    <w:p w:rsidR="00021134" w:rsidRPr="00021134" w:rsidRDefault="00021134" w:rsidP="00021134">
      <w:pPr>
        <w:pStyle w:val="ListParagraph"/>
        <w:numPr>
          <w:ilvl w:val="0"/>
          <w:numId w:val="6"/>
        </w:numPr>
        <w:autoSpaceDE w:val="0"/>
        <w:autoSpaceDN w:val="0"/>
        <w:adjustRightInd w:val="0"/>
        <w:spacing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Modern reporting system is in place, with a large number of prudential and financial reporting. According to the new regulations prepared, banks will present their first reports based on COREP and updated FINREP on April 2018;</w:t>
      </w:r>
    </w:p>
    <w:p w:rsidR="00021134" w:rsidRPr="00021134" w:rsidRDefault="00021134" w:rsidP="00021134">
      <w:pPr>
        <w:pStyle w:val="ListParagraph"/>
        <w:numPr>
          <w:ilvl w:val="0"/>
          <w:numId w:val="6"/>
        </w:numPr>
        <w:autoSpaceDE w:val="0"/>
        <w:autoSpaceDN w:val="0"/>
        <w:adjustRightInd w:val="0"/>
        <w:spacing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Starting from January 1, 2018 on-site and off-site supervision starts to work using SREP approach, including RAS. Some progress in this field was already performed: draft of Regulation on Supervisory Review and Evaluation Process (SREP) prepared; draft of external Regulations on On-site inspection process prepared; draft of Internal Supervisory Manual, using SREP approach, prepared; general framework of Risk Assessment System (RAS) designed; general framework of Supervisory Review and Evaluation process designed;</w:t>
      </w:r>
    </w:p>
    <w:p w:rsidR="00021134" w:rsidRPr="00021134" w:rsidRDefault="00021134" w:rsidP="00021134">
      <w:pPr>
        <w:pStyle w:val="ListParagraph"/>
        <w:numPr>
          <w:ilvl w:val="0"/>
          <w:numId w:val="6"/>
        </w:numPr>
        <w:autoSpaceDE w:val="0"/>
        <w:autoSpaceDN w:val="0"/>
        <w:adjustRightInd w:val="0"/>
        <w:spacing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Profile of banking supervision staff changed: on-site examiners became risk experts and off-site supervisors – bank experts and coordinators;</w:t>
      </w:r>
    </w:p>
    <w:p w:rsidR="00021134" w:rsidRPr="00021134" w:rsidRDefault="00021134" w:rsidP="00021134">
      <w:pPr>
        <w:pStyle w:val="ListParagraph"/>
        <w:numPr>
          <w:ilvl w:val="0"/>
          <w:numId w:val="6"/>
        </w:numPr>
        <w:autoSpaceDE w:val="0"/>
        <w:autoSpaceDN w:val="0"/>
        <w:adjustRightInd w:val="0"/>
        <w:spacing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The system of active dialogue of NBM banking supervisors and banks, external auditors is under development.</w:t>
      </w:r>
    </w:p>
    <w:p w:rsidR="00021134" w:rsidRPr="00021134" w:rsidRDefault="00021134" w:rsidP="00021134">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Financial Stability Division (FSD) is responsible for macroprudential supervision of the banking sector and has 5 employees. As a separate division it was established in February 1, 2017 (previously macroprudential function was conducted by a section within BSD). At this moment, from the perspective of macroprudential supervision system-wide stress tests are used. At the same time, some studies were developed for internal usage purpose (study for systemically important banks’ identification, early warning study, interconnectedness of banking sector).</w:t>
      </w:r>
    </w:p>
    <w:p w:rsidR="00021134" w:rsidRPr="00021134" w:rsidRDefault="00021134" w:rsidP="0002113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 xml:space="preserve">Banking Resolution Division (BRD) is responsible for banking resolution and has </w:t>
      </w:r>
      <w:r w:rsidR="00415A5D" w:rsidRPr="00021134">
        <w:rPr>
          <w:rFonts w:ascii="Times New Roman" w:eastAsia="Times New Roman" w:hAnsi="Times New Roman" w:cs="Times New Roman"/>
          <w:sz w:val="24"/>
          <w:szCs w:val="24"/>
          <w:lang w:eastAsia="en-GB"/>
        </w:rPr>
        <w:t>1</w:t>
      </w:r>
      <w:r w:rsidR="00415A5D">
        <w:rPr>
          <w:rFonts w:ascii="Times New Roman" w:eastAsia="Times New Roman" w:hAnsi="Times New Roman" w:cs="Times New Roman"/>
          <w:sz w:val="24"/>
          <w:szCs w:val="24"/>
          <w:lang w:eastAsia="en-GB"/>
        </w:rPr>
        <w:t>1</w:t>
      </w:r>
      <w:r w:rsidR="00415A5D" w:rsidRPr="00021134">
        <w:rPr>
          <w:rFonts w:ascii="Times New Roman" w:eastAsia="Times New Roman" w:hAnsi="Times New Roman" w:cs="Times New Roman"/>
          <w:sz w:val="24"/>
          <w:szCs w:val="24"/>
          <w:lang w:eastAsia="en-GB"/>
        </w:rPr>
        <w:t xml:space="preserve"> </w:t>
      </w:r>
      <w:r w:rsidRPr="00021134">
        <w:rPr>
          <w:rFonts w:ascii="Times New Roman" w:eastAsia="Times New Roman" w:hAnsi="Times New Roman" w:cs="Times New Roman"/>
          <w:sz w:val="24"/>
          <w:szCs w:val="24"/>
          <w:lang w:eastAsia="en-GB"/>
        </w:rPr>
        <w:t>employees. It was established in February 1, 2017 as an independent division (earlier it was a section within BSD). The main tasks of BRD are to prepare banks’ resolution plans and apply resolution tools in order to achieve the main objectives of the unit, which are:</w:t>
      </w:r>
    </w:p>
    <w:p w:rsidR="00021134" w:rsidRPr="00021134" w:rsidRDefault="00021134" w:rsidP="005247DC">
      <w:pPr>
        <w:pStyle w:val="ListParagraph"/>
        <w:numPr>
          <w:ilvl w:val="0"/>
          <w:numId w:val="6"/>
        </w:numPr>
        <w:autoSpaceDE w:val="0"/>
        <w:autoSpaceDN w:val="0"/>
        <w:adjustRightInd w:val="0"/>
        <w:spacing w:before="120"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to ensure continuity of banks’ critical functions;</w:t>
      </w:r>
    </w:p>
    <w:p w:rsidR="00021134" w:rsidRPr="00021134" w:rsidRDefault="00021134" w:rsidP="001D57C3">
      <w:pPr>
        <w:pStyle w:val="ListParagraph"/>
        <w:numPr>
          <w:ilvl w:val="0"/>
          <w:numId w:val="6"/>
        </w:numPr>
        <w:autoSpaceDE w:val="0"/>
        <w:autoSpaceDN w:val="0"/>
        <w:adjustRightInd w:val="0"/>
        <w:spacing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to avoid significant negative effects on financial stability, particularly trough preventing contagion and maintaining market discipline;</w:t>
      </w:r>
    </w:p>
    <w:p w:rsidR="00021134" w:rsidRPr="00021134" w:rsidRDefault="00021134" w:rsidP="001D57C3">
      <w:pPr>
        <w:pStyle w:val="ListParagraph"/>
        <w:numPr>
          <w:ilvl w:val="0"/>
          <w:numId w:val="6"/>
        </w:numPr>
        <w:autoSpaceDE w:val="0"/>
        <w:autoSpaceDN w:val="0"/>
        <w:adjustRightInd w:val="0"/>
        <w:spacing w:after="120" w:line="240" w:lineRule="auto"/>
        <w:ind w:left="720"/>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to protect public funds by minimizing addiction to extraordinary public financial support; and others.</w:t>
      </w:r>
    </w:p>
    <w:p w:rsidR="00021134" w:rsidRDefault="00021134" w:rsidP="00021134">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021134">
        <w:rPr>
          <w:rFonts w:ascii="Times New Roman" w:eastAsia="Times New Roman" w:hAnsi="Times New Roman" w:cs="Times New Roman"/>
          <w:sz w:val="24"/>
          <w:szCs w:val="24"/>
          <w:lang w:eastAsia="en-GB"/>
        </w:rPr>
        <w:t>According to the new Law on bank recovery and resolution (based on BRRD), banks have the obligation to elaborate recovery plans. NBM based on best practices, sent a detailed guide to the banks on what to include in a recovery plan.  After submission by banks, NBM examined all recovery plans and sent to all banks recommendations for improvement.</w:t>
      </w:r>
    </w:p>
    <w:p w:rsidR="009A2860" w:rsidRPr="003B60A9" w:rsidRDefault="009A2860" w:rsidP="009A2860">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3B60A9">
        <w:rPr>
          <w:rFonts w:ascii="Times New Roman" w:eastAsia="Times New Roman" w:hAnsi="Times New Roman" w:cs="Times New Roman"/>
          <w:sz w:val="24"/>
          <w:szCs w:val="24"/>
          <w:lang w:eastAsia="en-GB"/>
        </w:rPr>
        <w:t xml:space="preserve">In the same period, resolution plans have been elaborated for all licensed banks, and will be reviewed periodically or as needed. In addition to this, the draft of the Internal Procedure regarding the elaboration of the resolution plans is going to be finished in the nearest future. </w:t>
      </w:r>
    </w:p>
    <w:p w:rsidR="009A2860" w:rsidRPr="003B60A9" w:rsidRDefault="009A2860" w:rsidP="009A2860">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3B60A9">
        <w:rPr>
          <w:rFonts w:ascii="Times New Roman" w:eastAsia="Times New Roman" w:hAnsi="Times New Roman" w:cs="Times New Roman"/>
          <w:sz w:val="24"/>
          <w:szCs w:val="24"/>
          <w:lang w:eastAsia="en-GB"/>
        </w:rPr>
        <w:t xml:space="preserve">National Bank has applied already an early intervention regime on one bank. The mandates of management bodies’ members of a bank were suspended and temporary administrators with the powers of the Council and of the Chairman of the bank's Administrative Committee were appointed. It should be mentioned that after the application of the early intervention regime, the liquidity situation of the bank remained stable, without significant withdrawals of deposits as anticipated. </w:t>
      </w:r>
    </w:p>
    <w:p w:rsidR="0015541A" w:rsidRDefault="0087388D" w:rsidP="008F5B31">
      <w:pPr>
        <w:spacing w:after="120" w:line="240" w:lineRule="auto"/>
        <w:jc w:val="both"/>
        <w:rPr>
          <w:rFonts w:ascii="Times New Roman" w:eastAsia="Times New Roman" w:hAnsi="Times New Roman" w:cs="Times New Roman"/>
          <w:sz w:val="24"/>
          <w:szCs w:val="24"/>
          <w:u w:val="single"/>
          <w:lang w:eastAsia="en-GB"/>
        </w:rPr>
      </w:pPr>
      <w:r w:rsidRPr="0087388D">
        <w:rPr>
          <w:rFonts w:ascii="Times New Roman" w:eastAsia="Times New Roman" w:hAnsi="Times New Roman" w:cs="Times New Roman"/>
          <w:sz w:val="24"/>
          <w:szCs w:val="24"/>
          <w:u w:val="single"/>
          <w:lang w:eastAsia="en-GB"/>
        </w:rPr>
        <w:t>National Commission for Financial Markets</w:t>
      </w:r>
      <w:r w:rsidR="009467DF">
        <w:rPr>
          <w:rFonts w:ascii="Times New Roman" w:eastAsia="Times New Roman" w:hAnsi="Times New Roman" w:cs="Times New Roman"/>
          <w:sz w:val="24"/>
          <w:szCs w:val="24"/>
          <w:u w:val="single"/>
          <w:lang w:eastAsia="en-GB"/>
        </w:rPr>
        <w:t xml:space="preserve"> </w:t>
      </w:r>
    </w:p>
    <w:p w:rsidR="009467DF" w:rsidRPr="009467DF" w:rsidRDefault="00DA6E29" w:rsidP="009467DF">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NCFM was established in 2007</w:t>
      </w:r>
      <w:r w:rsidR="009467DF" w:rsidRPr="009467DF">
        <w:rPr>
          <w:rFonts w:ascii="Times New Roman" w:eastAsia="Times New Roman" w:hAnsi="Times New Roman" w:cs="Times New Roman"/>
          <w:sz w:val="24"/>
          <w:szCs w:val="24"/>
          <w:lang w:eastAsia="en-GB"/>
        </w:rPr>
        <w:t xml:space="preserve"> </w:t>
      </w:r>
      <w:r w:rsidR="0061336D">
        <w:rPr>
          <w:rFonts w:ascii="Times New Roman" w:eastAsia="Times New Roman" w:hAnsi="Times New Roman" w:cs="Times New Roman"/>
          <w:sz w:val="24"/>
          <w:szCs w:val="24"/>
          <w:lang w:eastAsia="en-GB"/>
        </w:rPr>
        <w:t>as</w:t>
      </w:r>
      <w:r w:rsidR="009467DF" w:rsidRPr="009467DF">
        <w:rPr>
          <w:rFonts w:ascii="Times New Roman" w:eastAsia="Times New Roman" w:hAnsi="Times New Roman" w:cs="Times New Roman"/>
          <w:sz w:val="24"/>
          <w:szCs w:val="24"/>
          <w:lang w:eastAsia="en-GB"/>
        </w:rPr>
        <w:t xml:space="preserve"> the successor of rights and liabilities of the National Securities Commission, State Inspection for Insurance and Non-state Pension Funds supervision and State Supervisory Service of Savings and Loan Associations under the Ministry of Finance. </w:t>
      </w:r>
    </w:p>
    <w:p w:rsidR="009467DF" w:rsidRPr="009467DF" w:rsidRDefault="009467DF" w:rsidP="009467DF">
      <w:pPr>
        <w:spacing w:after="120" w:line="240" w:lineRule="auto"/>
        <w:jc w:val="both"/>
        <w:rPr>
          <w:rFonts w:ascii="Times New Roman" w:eastAsia="Times New Roman" w:hAnsi="Times New Roman" w:cs="Times New Roman"/>
          <w:sz w:val="24"/>
          <w:szCs w:val="24"/>
          <w:lang w:eastAsia="en-GB"/>
        </w:rPr>
      </w:pPr>
      <w:r w:rsidRPr="009467DF">
        <w:rPr>
          <w:rFonts w:ascii="Times New Roman" w:eastAsia="Times New Roman" w:hAnsi="Times New Roman" w:cs="Times New Roman"/>
          <w:sz w:val="24"/>
          <w:szCs w:val="24"/>
          <w:lang w:eastAsia="en-GB"/>
        </w:rPr>
        <w:t>The NCFM is an autonomous public authority reporting to the Parliame</w:t>
      </w:r>
      <w:r w:rsidR="0061336D">
        <w:rPr>
          <w:rFonts w:ascii="Times New Roman" w:eastAsia="Times New Roman" w:hAnsi="Times New Roman" w:cs="Times New Roman"/>
          <w:sz w:val="24"/>
          <w:szCs w:val="24"/>
          <w:lang w:eastAsia="en-GB"/>
        </w:rPr>
        <w:t>nt, which regulates and authoris</w:t>
      </w:r>
      <w:r w:rsidRPr="009467DF">
        <w:rPr>
          <w:rFonts w:ascii="Times New Roman" w:eastAsia="Times New Roman" w:hAnsi="Times New Roman" w:cs="Times New Roman"/>
          <w:sz w:val="24"/>
          <w:szCs w:val="24"/>
          <w:lang w:eastAsia="en-GB"/>
        </w:rPr>
        <w:t>es the activity of professional participants to the non-banking financial market and supervises observance of legislation by them. It is invested with the power to make decisions, grant benefits, interfere, monitor, interdict, and impose administrative and disciplinary penalties pursuant to the legislation.</w:t>
      </w:r>
    </w:p>
    <w:p w:rsidR="009467DF" w:rsidRPr="009467DF" w:rsidRDefault="009467DF" w:rsidP="009467DF">
      <w:pPr>
        <w:spacing w:after="120" w:line="240" w:lineRule="auto"/>
        <w:jc w:val="both"/>
        <w:rPr>
          <w:rFonts w:ascii="Times New Roman" w:eastAsia="Times New Roman" w:hAnsi="Times New Roman" w:cs="Times New Roman"/>
          <w:sz w:val="24"/>
          <w:szCs w:val="24"/>
          <w:lang w:eastAsia="en-GB"/>
        </w:rPr>
      </w:pPr>
      <w:r w:rsidRPr="009467DF">
        <w:rPr>
          <w:rFonts w:ascii="Times New Roman" w:eastAsia="Times New Roman" w:hAnsi="Times New Roman" w:cs="Times New Roman"/>
          <w:sz w:val="24"/>
          <w:szCs w:val="24"/>
          <w:lang w:eastAsia="en-GB"/>
        </w:rPr>
        <w:t xml:space="preserve">The core objectives of the NCFM are: enhancing stability, transparency, security and efficiency of the non-banking financial sector, by adoption and maintenance of an adequate regulatory and supervisory framework of the participants on the financial market, to reduce systemic risks and to prevent disloyal, abusive and fraudulent practices in the financial sector with the scope of protecting the interests of clients and investors. The authority of the NCFM refers to: the issuers of securities, investors, the participants on the non-banking financial market, defined by the legislation on securities market, insurance companies, insurance brokers, non-state pension funds, micro-financing organizations, savings and loan associations, mortgage credit organizations and credit history bureaus. All NCFM decisions are published on the official website </w:t>
      </w:r>
      <w:hyperlink r:id="rId11" w:history="1">
        <w:r w:rsidR="00B45F5E" w:rsidRPr="005203E0">
          <w:rPr>
            <w:rStyle w:val="Hyperlink"/>
            <w:rFonts w:ascii="Times New Roman" w:eastAsia="Times New Roman" w:hAnsi="Times New Roman" w:cs="Times New Roman"/>
            <w:sz w:val="24"/>
            <w:szCs w:val="24"/>
            <w:lang w:eastAsia="en-GB"/>
          </w:rPr>
          <w:t>www.cnpf.md</w:t>
        </w:r>
      </w:hyperlink>
      <w:r w:rsidRPr="009467DF">
        <w:rPr>
          <w:rFonts w:ascii="Times New Roman" w:eastAsia="Times New Roman" w:hAnsi="Times New Roman" w:cs="Times New Roman"/>
          <w:sz w:val="24"/>
          <w:szCs w:val="24"/>
          <w:lang w:eastAsia="en-GB"/>
        </w:rPr>
        <w:t>.</w:t>
      </w:r>
    </w:p>
    <w:p w:rsidR="009467DF" w:rsidRPr="009467DF" w:rsidRDefault="009467DF" w:rsidP="009467DF">
      <w:pPr>
        <w:spacing w:after="120" w:line="240" w:lineRule="auto"/>
        <w:jc w:val="both"/>
        <w:rPr>
          <w:rFonts w:ascii="Times New Roman" w:eastAsia="Times New Roman" w:hAnsi="Times New Roman" w:cs="Times New Roman"/>
          <w:sz w:val="24"/>
          <w:szCs w:val="24"/>
          <w:lang w:eastAsia="en-GB"/>
        </w:rPr>
      </w:pPr>
      <w:r w:rsidRPr="009467DF">
        <w:rPr>
          <w:rFonts w:ascii="Times New Roman" w:eastAsia="Times New Roman" w:hAnsi="Times New Roman" w:cs="Times New Roman"/>
          <w:sz w:val="24"/>
          <w:szCs w:val="24"/>
          <w:lang w:eastAsia="en-GB"/>
        </w:rPr>
        <w:t>The activity of the NCFM is managed by the Council of Administration, which a collegial body composed of five members, appointed for a period of five years by the Parliament, including chairman and two deputy chairmen, which are, respectively, chairman and deputy chairmen of the NCFM.</w:t>
      </w:r>
    </w:p>
    <w:p w:rsidR="009467DF" w:rsidRPr="009467DF" w:rsidRDefault="009467DF" w:rsidP="009467DF">
      <w:pPr>
        <w:spacing w:after="120" w:line="240" w:lineRule="auto"/>
        <w:jc w:val="both"/>
        <w:rPr>
          <w:rFonts w:ascii="Times New Roman" w:eastAsia="Times New Roman" w:hAnsi="Times New Roman" w:cs="Times New Roman"/>
          <w:sz w:val="24"/>
          <w:szCs w:val="24"/>
          <w:lang w:eastAsia="en-GB"/>
        </w:rPr>
      </w:pPr>
      <w:r w:rsidRPr="009467DF">
        <w:rPr>
          <w:rFonts w:ascii="Times New Roman" w:eastAsia="Times New Roman" w:hAnsi="Times New Roman" w:cs="Times New Roman"/>
          <w:sz w:val="24"/>
          <w:szCs w:val="24"/>
          <w:lang w:eastAsia="en-GB"/>
        </w:rPr>
        <w:t xml:space="preserve">The NCFM is financed entirely by the regulatory fees and charges paid by the market participants. </w:t>
      </w:r>
    </w:p>
    <w:p w:rsidR="009467DF" w:rsidRPr="009467DF" w:rsidRDefault="009467DF" w:rsidP="009467DF">
      <w:pPr>
        <w:spacing w:after="120" w:line="240" w:lineRule="auto"/>
        <w:jc w:val="both"/>
        <w:rPr>
          <w:rFonts w:ascii="Times New Roman" w:eastAsia="Times New Roman" w:hAnsi="Times New Roman" w:cs="Times New Roman"/>
          <w:sz w:val="24"/>
          <w:szCs w:val="24"/>
          <w:lang w:eastAsia="en-GB"/>
        </w:rPr>
      </w:pPr>
      <w:r w:rsidRPr="009467DF">
        <w:rPr>
          <w:rFonts w:ascii="Times New Roman" w:eastAsia="Times New Roman" w:hAnsi="Times New Roman" w:cs="Times New Roman"/>
          <w:sz w:val="24"/>
          <w:szCs w:val="24"/>
          <w:lang w:eastAsia="en-GB"/>
        </w:rPr>
        <w:t>The NCFM operates based on the structure that is approved by the Parliament. The number of employees as per 01.10.2017 is 86 employees</w:t>
      </w:r>
      <w:r w:rsidR="000D6E56">
        <w:rPr>
          <w:rFonts w:ascii="Times New Roman" w:eastAsia="Times New Roman" w:hAnsi="Times New Roman" w:cs="Times New Roman"/>
          <w:sz w:val="24"/>
          <w:szCs w:val="24"/>
          <w:lang w:eastAsia="en-GB"/>
        </w:rPr>
        <w:t xml:space="preserve">. The Departments which will be involved in the twinning project are the following: </w:t>
      </w:r>
    </w:p>
    <w:p w:rsidR="0006677A" w:rsidRDefault="00A04F7F" w:rsidP="0006677A">
      <w:pPr>
        <w:tabs>
          <w:tab w:val="left" w:pos="284"/>
        </w:tabs>
        <w:spacing w:after="120" w:line="240" w:lineRule="auto"/>
        <w:jc w:val="both"/>
        <w:rPr>
          <w:rFonts w:ascii="Times New Roman" w:eastAsia="Times New Roman" w:hAnsi="Times New Roman" w:cs="Times New Roman"/>
          <w:sz w:val="24"/>
          <w:szCs w:val="24"/>
          <w:lang w:eastAsia="en-GB"/>
        </w:rPr>
      </w:pPr>
      <w:r w:rsidRPr="009467DF">
        <w:rPr>
          <w:rFonts w:ascii="Times New Roman" w:eastAsia="Times New Roman" w:hAnsi="Times New Roman" w:cs="Times New Roman"/>
          <w:sz w:val="24"/>
          <w:szCs w:val="24"/>
          <w:lang w:eastAsia="en-GB"/>
        </w:rPr>
        <w:t xml:space="preserve">General Division for Insurance Supervision </w:t>
      </w:r>
      <w:r>
        <w:rPr>
          <w:rFonts w:ascii="Times New Roman" w:eastAsia="Times New Roman" w:hAnsi="Times New Roman" w:cs="Times New Roman"/>
          <w:sz w:val="24"/>
          <w:szCs w:val="24"/>
          <w:lang w:eastAsia="en-GB"/>
        </w:rPr>
        <w:t>(GDIS), which is resp</w:t>
      </w:r>
      <w:r w:rsidR="0006677A">
        <w:rPr>
          <w:rFonts w:ascii="Times New Roman" w:eastAsia="Times New Roman" w:hAnsi="Times New Roman" w:cs="Times New Roman"/>
          <w:sz w:val="24"/>
          <w:szCs w:val="24"/>
          <w:lang w:eastAsia="en-GB"/>
        </w:rPr>
        <w:t>onsible for regulation, authoris</w:t>
      </w:r>
      <w:r>
        <w:rPr>
          <w:rFonts w:ascii="Times New Roman" w:eastAsia="Times New Roman" w:hAnsi="Times New Roman" w:cs="Times New Roman"/>
          <w:sz w:val="24"/>
          <w:szCs w:val="24"/>
          <w:lang w:eastAsia="en-GB"/>
        </w:rPr>
        <w:t>ation and supervision of professional participants on the insurance market, including insurance undertakings, insurance/reinsurance brokers and other insurance intermediaries. GDIS has</w:t>
      </w:r>
      <w:r w:rsidRPr="009467DF">
        <w:rPr>
          <w:rFonts w:ascii="Times New Roman" w:eastAsia="Times New Roman" w:hAnsi="Times New Roman" w:cs="Times New Roman"/>
          <w:sz w:val="24"/>
          <w:szCs w:val="24"/>
          <w:lang w:eastAsia="en-GB"/>
        </w:rPr>
        <w:t xml:space="preserve"> 19 employees</w:t>
      </w:r>
      <w:r>
        <w:rPr>
          <w:rFonts w:ascii="Times New Roman" w:eastAsia="Times New Roman" w:hAnsi="Times New Roman" w:cs="Times New Roman"/>
          <w:sz w:val="24"/>
          <w:szCs w:val="24"/>
          <w:lang w:eastAsia="en-GB"/>
        </w:rPr>
        <w:t xml:space="preserve"> and includes the Division for insurance regulation and authorization, the Division for monitoring, statistics and actuarial function and Division for insurance control. </w:t>
      </w:r>
      <w:r w:rsidR="0006677A">
        <w:rPr>
          <w:rFonts w:ascii="Times New Roman" w:eastAsia="Times New Roman" w:hAnsi="Times New Roman" w:cs="Times New Roman"/>
          <w:sz w:val="24"/>
          <w:szCs w:val="24"/>
          <w:lang w:eastAsia="en-GB"/>
        </w:rPr>
        <w:t xml:space="preserve">Recently NCFM has completed the selection and appointment of the necessary staff in the GDIS and following this, the Division became fully operational. </w:t>
      </w:r>
    </w:p>
    <w:p w:rsidR="0006677A" w:rsidRDefault="0006677A" w:rsidP="0006677A">
      <w:pPr>
        <w:tabs>
          <w:tab w:val="left" w:pos="284"/>
        </w:tabs>
        <w:spacing w:after="120" w:line="240" w:lineRule="auto"/>
        <w:jc w:val="both"/>
        <w:rPr>
          <w:rFonts w:ascii="Times New Roman" w:eastAsia="Times New Roman" w:hAnsi="Times New Roman" w:cs="Times New Roman"/>
          <w:sz w:val="24"/>
          <w:szCs w:val="24"/>
          <w:lang w:eastAsia="en-GB"/>
        </w:rPr>
      </w:pPr>
      <w:r w:rsidRPr="008A4EA8">
        <w:rPr>
          <w:rFonts w:ascii="Times New Roman" w:eastAsia="Times New Roman" w:hAnsi="Times New Roman" w:cs="Times New Roman"/>
          <w:sz w:val="24"/>
          <w:szCs w:val="24"/>
          <w:lang w:eastAsia="en-GB"/>
        </w:rPr>
        <w:t xml:space="preserve">The main tasks of the </w:t>
      </w:r>
      <w:r>
        <w:rPr>
          <w:rFonts w:ascii="Times New Roman" w:eastAsia="Times New Roman" w:hAnsi="Times New Roman" w:cs="Times New Roman"/>
          <w:sz w:val="24"/>
          <w:szCs w:val="24"/>
          <w:lang w:eastAsia="en-GB"/>
        </w:rPr>
        <w:t>GDIS are</w:t>
      </w:r>
      <w:r w:rsidRPr="008A4EA8">
        <w:rPr>
          <w:rFonts w:ascii="Times New Roman" w:eastAsia="Times New Roman" w:hAnsi="Times New Roman" w:cs="Times New Roman"/>
          <w:sz w:val="24"/>
          <w:szCs w:val="24"/>
          <w:lang w:eastAsia="en-GB"/>
        </w:rPr>
        <w:t xml:space="preserve">: regulation, authorization and supervision of </w:t>
      </w:r>
      <w:r>
        <w:rPr>
          <w:rFonts w:ascii="Times New Roman" w:eastAsia="Times New Roman" w:hAnsi="Times New Roman" w:cs="Times New Roman"/>
          <w:sz w:val="24"/>
          <w:szCs w:val="24"/>
          <w:lang w:eastAsia="en-GB"/>
        </w:rPr>
        <w:t xml:space="preserve">the activity of insurers and insurance intermediaries in order to maintain </w:t>
      </w:r>
      <w:r w:rsidRPr="008A4EA8">
        <w:rPr>
          <w:rFonts w:ascii="Times New Roman" w:eastAsia="Times New Roman" w:hAnsi="Times New Roman" w:cs="Times New Roman"/>
          <w:sz w:val="24"/>
          <w:szCs w:val="24"/>
          <w:lang w:eastAsia="en-GB"/>
        </w:rPr>
        <w:t xml:space="preserve">the stability, transparency, safety and efficiency of the insurance market as well as </w:t>
      </w:r>
      <w:r>
        <w:rPr>
          <w:rFonts w:ascii="Times New Roman" w:eastAsia="Times New Roman" w:hAnsi="Times New Roman" w:cs="Times New Roman"/>
          <w:sz w:val="24"/>
          <w:szCs w:val="24"/>
          <w:lang w:eastAsia="en-GB"/>
        </w:rPr>
        <w:t>to prevent and mitigate</w:t>
      </w:r>
      <w:r w:rsidRPr="008A4EA8">
        <w:rPr>
          <w:rFonts w:ascii="Times New Roman" w:eastAsia="Times New Roman" w:hAnsi="Times New Roman" w:cs="Times New Roman"/>
          <w:sz w:val="24"/>
          <w:szCs w:val="24"/>
          <w:lang w:eastAsia="en-GB"/>
        </w:rPr>
        <w:t xml:space="preserve"> systemic risks and </w:t>
      </w:r>
      <w:r>
        <w:rPr>
          <w:rFonts w:ascii="Times New Roman" w:eastAsia="Times New Roman" w:hAnsi="Times New Roman" w:cs="Times New Roman"/>
          <w:sz w:val="24"/>
          <w:szCs w:val="24"/>
          <w:lang w:eastAsia="en-GB"/>
        </w:rPr>
        <w:t xml:space="preserve">to </w:t>
      </w:r>
      <w:r w:rsidRPr="008A4EA8">
        <w:rPr>
          <w:rFonts w:ascii="Times New Roman" w:eastAsia="Times New Roman" w:hAnsi="Times New Roman" w:cs="Times New Roman"/>
          <w:sz w:val="24"/>
          <w:szCs w:val="24"/>
          <w:lang w:eastAsia="en-GB"/>
        </w:rPr>
        <w:t xml:space="preserve">protect the </w:t>
      </w:r>
      <w:r>
        <w:rPr>
          <w:rFonts w:ascii="Times New Roman" w:eastAsia="Times New Roman" w:hAnsi="Times New Roman" w:cs="Times New Roman"/>
          <w:sz w:val="24"/>
          <w:szCs w:val="24"/>
          <w:lang w:eastAsia="en-GB"/>
        </w:rPr>
        <w:t xml:space="preserve">consumers of insurance services. One of the major responsibilities of the Division for the upcoming future is to transpose the provisions of the EU Solvency II Directive and related normative framework in the national insurance legislation in order to achieve the commitments assumed by the Republic of Moldova in the EU-RM Association Agreement.  </w:t>
      </w:r>
    </w:p>
    <w:p w:rsidR="00A04F7F" w:rsidRDefault="00A04F7F" w:rsidP="00A04F7F">
      <w:pPr>
        <w:tabs>
          <w:tab w:val="left" w:pos="284"/>
        </w:tabs>
        <w:spacing w:after="12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w:t>
      </w:r>
      <w:r w:rsidRPr="00346A48">
        <w:rPr>
          <w:rFonts w:ascii="Times New Roman" w:eastAsia="Times New Roman" w:hAnsi="Times New Roman" w:cs="Times New Roman"/>
          <w:sz w:val="24"/>
          <w:szCs w:val="24"/>
          <w:lang w:val="en-US" w:eastAsia="en-GB"/>
        </w:rPr>
        <w:t>n order to improve the legal framework related to insurance market</w:t>
      </w:r>
      <w:r>
        <w:rPr>
          <w:rFonts w:ascii="Times New Roman" w:eastAsia="Times New Roman" w:hAnsi="Times New Roman" w:cs="Times New Roman"/>
          <w:sz w:val="24"/>
          <w:szCs w:val="24"/>
          <w:lang w:val="en-US" w:eastAsia="en-GB"/>
        </w:rPr>
        <w:t xml:space="preserve"> the following legal and normative acts were developed and approved:</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val="en-US" w:eastAsia="en-GB"/>
        </w:rPr>
      </w:pPr>
      <w:r w:rsidRPr="00437B1A">
        <w:rPr>
          <w:rFonts w:ascii="Times New Roman" w:eastAsia="Times New Roman" w:hAnsi="Times New Roman" w:cs="Times New Roman"/>
          <w:sz w:val="24"/>
          <w:szCs w:val="24"/>
          <w:lang w:val="en-US" w:eastAsia="en-GB"/>
        </w:rPr>
        <w:t>amendments to the Law on insurance which aims to strengthen the financial stability of insurers and to consolidate the NCFM supervisory capacity;</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val="en-US" w:eastAsia="en-GB"/>
        </w:rPr>
      </w:pPr>
      <w:r w:rsidRPr="00437B1A">
        <w:rPr>
          <w:rFonts w:ascii="Times New Roman" w:eastAsia="Times New Roman" w:hAnsi="Times New Roman" w:cs="Times New Roman"/>
          <w:sz w:val="24"/>
          <w:szCs w:val="24"/>
          <w:lang w:val="en-US" w:eastAsia="en-GB"/>
        </w:rPr>
        <w:t>amendments to the Law on compulsory motor third party civil liability (MTPL) insurance, which aims at improving the legal framework regulating the National Bureau of Motor Insurers activity (NBMI);</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val="en-US" w:eastAsia="en-GB"/>
        </w:rPr>
      </w:pPr>
      <w:r w:rsidRPr="00437B1A">
        <w:rPr>
          <w:rFonts w:ascii="Times New Roman" w:eastAsia="Times New Roman" w:hAnsi="Times New Roman" w:cs="Times New Roman"/>
          <w:sz w:val="24"/>
          <w:szCs w:val="24"/>
          <w:lang w:val="en-US" w:eastAsia="en-GB"/>
        </w:rPr>
        <w:t>regulation on the requirements for training and professional competence in insurance, which transposes the provisions of the Insurance Distribution Directive 2016/97 of 20.01.2016, Directive 2002/92/EC of 09.12.2002 on Insurance Intermediation and IAIS Principles No.18 "Intermediaries" and No.19 "Market Conduct". The Regulation establishes the compliance requirements imposed to persons who distribute directly to the consumer insurance products;</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bCs/>
          <w:sz w:val="24"/>
          <w:szCs w:val="24"/>
          <w:lang w:val="en-US" w:eastAsia="en-GB"/>
        </w:rPr>
      </w:pPr>
      <w:r w:rsidRPr="00437B1A">
        <w:rPr>
          <w:rFonts w:ascii="Times New Roman" w:eastAsia="Times New Roman" w:hAnsi="Times New Roman" w:cs="Times New Roman"/>
          <w:bCs/>
          <w:sz w:val="24"/>
          <w:szCs w:val="24"/>
          <w:lang w:val="en-US" w:eastAsia="en-GB"/>
        </w:rPr>
        <w:t xml:space="preserve">regulation on requirements for Insurers' Reinsurance Program and Rules on Reinsurance Contracts, </w:t>
      </w:r>
      <w:r w:rsidRPr="00437B1A">
        <w:rPr>
          <w:rFonts w:ascii="Times New Roman" w:eastAsia="Times New Roman" w:hAnsi="Times New Roman" w:cs="Times New Roman"/>
          <w:sz w:val="24"/>
          <w:szCs w:val="24"/>
          <w:lang w:eastAsia="en-GB"/>
        </w:rPr>
        <w:t xml:space="preserve">which will allow a prudent assessment of the concentration of risks in the domestic market and volumes reinsured in the foreign markets. The Regulation </w:t>
      </w:r>
      <w:r w:rsidRPr="00437B1A">
        <w:rPr>
          <w:rFonts w:ascii="Times New Roman" w:eastAsia="Times New Roman" w:hAnsi="Times New Roman" w:cs="Times New Roman"/>
          <w:bCs/>
          <w:sz w:val="24"/>
          <w:szCs w:val="24"/>
          <w:lang w:val="en-US" w:eastAsia="en-GB"/>
        </w:rPr>
        <w:t>ensures compliance to the IAIS Principle no. 13 "Reinsurance and Other Forms of Risk Transfer" setting out the policies and procedures for insurers, as well as supervisors’ approaches for the assessment of reinsurance policies of supervised entities;</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bCs/>
          <w:sz w:val="24"/>
          <w:szCs w:val="24"/>
          <w:lang w:val="en-US" w:eastAsia="en-GB"/>
        </w:rPr>
      </w:pPr>
      <w:r w:rsidRPr="00437B1A">
        <w:rPr>
          <w:rFonts w:ascii="Times New Roman" w:eastAsia="Times New Roman" w:hAnsi="Times New Roman" w:cs="Times New Roman"/>
          <w:bCs/>
          <w:sz w:val="24"/>
          <w:szCs w:val="24"/>
          <w:lang w:val="en-US" w:eastAsia="en-GB"/>
        </w:rPr>
        <w:t>amendments to the Regulation on solvency margins and the liquidity ratio of insurers (reinsurers), which aims at strengthening the financial situation of insurers;</w:t>
      </w:r>
    </w:p>
    <w:p w:rsidR="00A04F7F" w:rsidRPr="00CB3696" w:rsidRDefault="00A04F7F" w:rsidP="00A04F7F">
      <w:pPr>
        <w:tabs>
          <w:tab w:val="left" w:pos="284"/>
        </w:tabs>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Having the scope of</w:t>
      </w:r>
      <w:r w:rsidR="00437B1A">
        <w:rPr>
          <w:rFonts w:ascii="Times New Roman" w:eastAsia="Times New Roman" w:hAnsi="Times New Roman" w:cs="Times New Roman"/>
          <w:sz w:val="24"/>
          <w:szCs w:val="24"/>
          <w:lang w:eastAsia="en-GB"/>
        </w:rPr>
        <w:t xml:space="preserve"> </w:t>
      </w:r>
      <w:r w:rsidRPr="00CB3696">
        <w:rPr>
          <w:rFonts w:ascii="Times New Roman" w:eastAsia="Times New Roman" w:hAnsi="Times New Roman" w:cs="Times New Roman"/>
          <w:sz w:val="24"/>
          <w:szCs w:val="24"/>
          <w:lang w:eastAsia="en-GB"/>
        </w:rPr>
        <w:t>intensification of the supervision activity, the following measures were applied for the financial consolidation of the entities in the insurance sector:</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eastAsia="en-GB"/>
        </w:rPr>
      </w:pPr>
      <w:r w:rsidRPr="00437B1A">
        <w:rPr>
          <w:rFonts w:ascii="Times New Roman" w:eastAsia="Times New Roman" w:hAnsi="Times New Roman" w:cs="Times New Roman"/>
          <w:sz w:val="24"/>
          <w:szCs w:val="24"/>
          <w:lang w:eastAsia="en-GB"/>
        </w:rPr>
        <w:t xml:space="preserve">increasing the capitalization of insurers carrying out compulsory MTPL insurance (Green Card) up to </w:t>
      </w:r>
      <w:r w:rsidR="00586E99">
        <w:rPr>
          <w:rFonts w:ascii="Times New Roman" w:eastAsia="Times New Roman" w:hAnsi="Times New Roman" w:cs="Times New Roman"/>
          <w:sz w:val="24"/>
          <w:szCs w:val="24"/>
          <w:lang w:eastAsia="en-GB"/>
        </w:rPr>
        <w:t xml:space="preserve">MDL </w:t>
      </w:r>
      <w:r w:rsidRPr="00437B1A">
        <w:rPr>
          <w:rFonts w:ascii="Times New Roman" w:eastAsia="Times New Roman" w:hAnsi="Times New Roman" w:cs="Times New Roman"/>
          <w:sz w:val="24"/>
          <w:szCs w:val="24"/>
          <w:lang w:eastAsia="en-GB"/>
        </w:rPr>
        <w:t xml:space="preserve">22.5 million and insurance and / or reinsurance brokers - up to </w:t>
      </w:r>
      <w:r w:rsidR="00586E99">
        <w:rPr>
          <w:rFonts w:ascii="Times New Roman" w:eastAsia="Times New Roman" w:hAnsi="Times New Roman" w:cs="Times New Roman"/>
          <w:sz w:val="24"/>
          <w:szCs w:val="24"/>
          <w:lang w:eastAsia="en-GB"/>
        </w:rPr>
        <w:t xml:space="preserve">MDL </w:t>
      </w:r>
      <w:r w:rsidRPr="00437B1A">
        <w:rPr>
          <w:rFonts w:ascii="Times New Roman" w:eastAsia="Times New Roman" w:hAnsi="Times New Roman" w:cs="Times New Roman"/>
          <w:sz w:val="24"/>
          <w:szCs w:val="24"/>
          <w:lang w:eastAsia="en-GB"/>
        </w:rPr>
        <w:t>100.0 thousand);</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eastAsia="en-GB"/>
        </w:rPr>
      </w:pPr>
      <w:r w:rsidRPr="00437B1A">
        <w:rPr>
          <w:rFonts w:ascii="Times New Roman" w:eastAsia="Times New Roman" w:hAnsi="Times New Roman" w:cs="Times New Roman"/>
          <w:sz w:val="24"/>
          <w:szCs w:val="24"/>
          <w:lang w:eastAsia="en-GB"/>
        </w:rPr>
        <w:t>establishing and implementing early intervention measures by setting up an insurer's special administration and the financial recovery plan of another insurer;</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eastAsia="en-GB"/>
        </w:rPr>
      </w:pPr>
      <w:r w:rsidRPr="00437B1A">
        <w:rPr>
          <w:rFonts w:ascii="Times New Roman" w:eastAsia="Times New Roman" w:hAnsi="Times New Roman" w:cs="Times New Roman"/>
          <w:sz w:val="24"/>
          <w:szCs w:val="24"/>
          <w:lang w:eastAsia="en-GB"/>
        </w:rPr>
        <w:t>establishing conditions for the holding of qualified holdings in the insurer's share capital;</w:t>
      </w:r>
    </w:p>
    <w:p w:rsidR="00A04F7F" w:rsidRPr="00437B1A" w:rsidRDefault="00A04F7F" w:rsidP="00437B1A">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eastAsia="en-GB"/>
        </w:rPr>
      </w:pPr>
      <w:r w:rsidRPr="00437B1A">
        <w:rPr>
          <w:rFonts w:ascii="Times New Roman" w:eastAsia="Times New Roman" w:hAnsi="Times New Roman" w:cs="Times New Roman"/>
          <w:sz w:val="24"/>
          <w:szCs w:val="24"/>
          <w:lang w:eastAsia="en-GB"/>
        </w:rPr>
        <w:t>strengthening the rules on licensing of insurance and insurance intermediation and / or reinsurance mediation activities;</w:t>
      </w:r>
    </w:p>
    <w:p w:rsidR="006F1703" w:rsidRDefault="00A04F7F" w:rsidP="00A04F7F">
      <w:pPr>
        <w:tabs>
          <w:tab w:val="left" w:pos="284"/>
        </w:tabs>
        <w:spacing w:after="120" w:line="240" w:lineRule="auto"/>
        <w:jc w:val="both"/>
        <w:rPr>
          <w:rFonts w:ascii="Times New Roman" w:eastAsia="Times New Roman" w:hAnsi="Times New Roman" w:cs="Times New Roman"/>
          <w:sz w:val="24"/>
          <w:szCs w:val="24"/>
          <w:lang w:eastAsia="en-GB"/>
        </w:rPr>
      </w:pPr>
      <w:r w:rsidRPr="00914B8E">
        <w:rPr>
          <w:rFonts w:ascii="Times New Roman" w:eastAsia="Times New Roman" w:hAnsi="Times New Roman" w:cs="Times New Roman"/>
          <w:sz w:val="24"/>
          <w:szCs w:val="24"/>
          <w:lang w:eastAsia="en-GB"/>
        </w:rPr>
        <w:t xml:space="preserve">General Division for Collective Placements and Microfinancing, which is responsible for regulation and supervision of the non-banking credit organizations, savings and credit associations, pension funds and UCITS, has 11 employees.  </w:t>
      </w:r>
    </w:p>
    <w:p w:rsidR="006F1703" w:rsidRDefault="006F1703" w:rsidP="006F1703">
      <w:pPr>
        <w:tabs>
          <w:tab w:val="left" w:pos="284"/>
        </w:tabs>
        <w:spacing w:after="120" w:line="240" w:lineRule="auto"/>
        <w:jc w:val="both"/>
        <w:rPr>
          <w:rFonts w:ascii="Times New Roman" w:eastAsia="Times New Roman" w:hAnsi="Times New Roman" w:cs="Times New Roman"/>
          <w:sz w:val="24"/>
          <w:szCs w:val="24"/>
          <w:lang w:eastAsia="en-GB"/>
        </w:rPr>
      </w:pPr>
      <w:r w:rsidRPr="005420E5">
        <w:rPr>
          <w:rFonts w:ascii="Times New Roman" w:eastAsia="Times New Roman" w:hAnsi="Times New Roman" w:cs="Times New Roman"/>
          <w:sz w:val="24"/>
          <w:szCs w:val="24"/>
          <w:lang w:eastAsia="en-GB"/>
        </w:rPr>
        <w:t>The main tasks of the G</w:t>
      </w:r>
      <w:r>
        <w:rPr>
          <w:rFonts w:ascii="Times New Roman" w:eastAsia="Times New Roman" w:hAnsi="Times New Roman" w:cs="Times New Roman"/>
          <w:sz w:val="24"/>
          <w:szCs w:val="24"/>
          <w:lang w:eastAsia="en-GB"/>
        </w:rPr>
        <w:t>DCPM</w:t>
      </w:r>
      <w:r w:rsidRPr="005420E5">
        <w:rPr>
          <w:rFonts w:ascii="Times New Roman" w:eastAsia="Times New Roman" w:hAnsi="Times New Roman" w:cs="Times New Roman"/>
          <w:sz w:val="24"/>
          <w:szCs w:val="24"/>
          <w:lang w:eastAsia="en-GB"/>
        </w:rPr>
        <w:t xml:space="preserve"> are: regulation, authorization and supervision of the activity of </w:t>
      </w:r>
      <w:r>
        <w:rPr>
          <w:rFonts w:ascii="Times New Roman" w:eastAsia="Times New Roman" w:hAnsi="Times New Roman" w:cs="Times New Roman"/>
          <w:sz w:val="24"/>
          <w:szCs w:val="24"/>
          <w:lang w:eastAsia="en-GB"/>
        </w:rPr>
        <w:t>UCITS, assets managers, savings and loan associations, microfinance organizations, mortgage lending organizations etc.</w:t>
      </w:r>
      <w:r w:rsidRPr="005420E5">
        <w:rPr>
          <w:rFonts w:ascii="Times New Roman" w:eastAsia="Times New Roman" w:hAnsi="Times New Roman" w:cs="Times New Roman"/>
          <w:sz w:val="24"/>
          <w:szCs w:val="24"/>
          <w:lang w:eastAsia="en-GB"/>
        </w:rPr>
        <w:t xml:space="preserve"> in order to maintain the stability, transparency, safety and efficiency of the </w:t>
      </w:r>
      <w:r>
        <w:rPr>
          <w:rFonts w:ascii="Times New Roman" w:eastAsia="Times New Roman" w:hAnsi="Times New Roman" w:cs="Times New Roman"/>
          <w:sz w:val="24"/>
          <w:szCs w:val="24"/>
          <w:lang w:eastAsia="en-GB"/>
        </w:rPr>
        <w:t>non-banking financial market</w:t>
      </w:r>
      <w:r w:rsidRPr="005420E5">
        <w:rPr>
          <w:rFonts w:ascii="Times New Roman" w:eastAsia="Times New Roman" w:hAnsi="Times New Roman" w:cs="Times New Roman"/>
          <w:sz w:val="24"/>
          <w:szCs w:val="24"/>
          <w:lang w:eastAsia="en-GB"/>
        </w:rPr>
        <w:t xml:space="preserve"> as well as to prevent and mitigate systemic risks and to </w:t>
      </w:r>
      <w:r>
        <w:rPr>
          <w:rFonts w:ascii="Times New Roman" w:eastAsia="Times New Roman" w:hAnsi="Times New Roman" w:cs="Times New Roman"/>
          <w:sz w:val="24"/>
          <w:szCs w:val="24"/>
          <w:lang w:eastAsia="en-GB"/>
        </w:rPr>
        <w:t>ensure</w:t>
      </w:r>
      <w:r w:rsidRPr="005420E5">
        <w:rPr>
          <w:rFonts w:ascii="Times New Roman" w:eastAsia="Times New Roman" w:hAnsi="Times New Roman" w:cs="Times New Roman"/>
          <w:sz w:val="24"/>
          <w:szCs w:val="24"/>
          <w:lang w:eastAsia="en-GB"/>
        </w:rPr>
        <w:t xml:space="preserve"> consumer</w:t>
      </w:r>
      <w:r>
        <w:rPr>
          <w:rFonts w:ascii="Times New Roman" w:eastAsia="Times New Roman" w:hAnsi="Times New Roman" w:cs="Times New Roman"/>
          <w:sz w:val="24"/>
          <w:szCs w:val="24"/>
          <w:lang w:eastAsia="en-GB"/>
        </w:rPr>
        <w:t xml:space="preserve"> protection</w:t>
      </w:r>
      <w:r w:rsidRPr="005420E5">
        <w:rPr>
          <w:rFonts w:ascii="Times New Roman" w:eastAsia="Times New Roman" w:hAnsi="Times New Roman" w:cs="Times New Roman"/>
          <w:sz w:val="24"/>
          <w:szCs w:val="24"/>
          <w:lang w:eastAsia="en-GB"/>
        </w:rPr>
        <w:t xml:space="preserve">.  </w:t>
      </w:r>
    </w:p>
    <w:p w:rsidR="006F1703" w:rsidRDefault="006F1703" w:rsidP="006F1703">
      <w:pPr>
        <w:tabs>
          <w:tab w:val="left" w:pos="284"/>
        </w:tabs>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staff number of GDCPM is not complete yet and following the approval by the Parliament of the new legal framework on non-banking credit organizations, </w:t>
      </w:r>
      <w:r w:rsidRPr="005420E5">
        <w:rPr>
          <w:rFonts w:ascii="Times New Roman" w:eastAsia="Times New Roman" w:hAnsi="Times New Roman" w:cs="Times New Roman"/>
          <w:sz w:val="24"/>
          <w:szCs w:val="24"/>
          <w:lang w:eastAsia="en-GB"/>
        </w:rPr>
        <w:t xml:space="preserve">NCFM </w:t>
      </w:r>
      <w:r w:rsidRPr="00AD65A8">
        <w:rPr>
          <w:rFonts w:ascii="Times New Roman" w:eastAsia="Times New Roman" w:hAnsi="Times New Roman" w:cs="Times New Roman"/>
          <w:sz w:val="24"/>
          <w:szCs w:val="24"/>
          <w:lang w:eastAsia="en-GB"/>
        </w:rPr>
        <w:t xml:space="preserve">shall ensure that staff are appropriately qualified and have sufficient knowledge, experience, and training to perform their responsibilities under </w:t>
      </w:r>
      <w:r>
        <w:rPr>
          <w:rFonts w:ascii="Times New Roman" w:eastAsia="Times New Roman" w:hAnsi="Times New Roman" w:cs="Times New Roman"/>
          <w:sz w:val="24"/>
          <w:szCs w:val="24"/>
          <w:lang w:eastAsia="en-GB"/>
        </w:rPr>
        <w:t>the new regulatory framework.</w:t>
      </w:r>
    </w:p>
    <w:p w:rsidR="00A04F7F" w:rsidRPr="00914B8E" w:rsidRDefault="00A04F7F" w:rsidP="00A04F7F">
      <w:pPr>
        <w:tabs>
          <w:tab w:val="left" w:pos="284"/>
        </w:tabs>
        <w:spacing w:after="120" w:line="240" w:lineRule="auto"/>
        <w:jc w:val="both"/>
        <w:rPr>
          <w:rFonts w:ascii="Times New Roman" w:eastAsia="Times New Roman" w:hAnsi="Times New Roman" w:cs="Times New Roman"/>
          <w:sz w:val="24"/>
          <w:szCs w:val="24"/>
          <w:lang w:eastAsia="en-GB"/>
        </w:rPr>
      </w:pPr>
      <w:r w:rsidRPr="00914B8E">
        <w:rPr>
          <w:rFonts w:ascii="Times New Roman" w:eastAsia="Times New Roman" w:hAnsi="Times New Roman" w:cs="Times New Roman"/>
          <w:sz w:val="24"/>
          <w:szCs w:val="24"/>
          <w:lang w:eastAsia="en-GB"/>
        </w:rPr>
        <w:t>At this moment, a real progress on non-banking credit organizations regulation and supervision was achieved:</w:t>
      </w:r>
    </w:p>
    <w:p w:rsidR="00A04F7F" w:rsidRPr="00B02402" w:rsidRDefault="00A04F7F" w:rsidP="00B02402">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eastAsia="en-GB"/>
        </w:rPr>
      </w:pPr>
      <w:r w:rsidRPr="00B02402">
        <w:rPr>
          <w:rFonts w:ascii="Times New Roman" w:eastAsia="Times New Roman" w:hAnsi="Times New Roman" w:cs="Times New Roman"/>
          <w:sz w:val="24"/>
          <w:szCs w:val="24"/>
          <w:lang w:eastAsia="en-GB"/>
        </w:rPr>
        <w:t xml:space="preserve">on </w:t>
      </w:r>
      <w:r w:rsidR="00266F18" w:rsidRPr="00B02402">
        <w:rPr>
          <w:rFonts w:ascii="Times New Roman" w:eastAsia="Times New Roman" w:hAnsi="Times New Roman" w:cs="Times New Roman"/>
          <w:sz w:val="24"/>
          <w:szCs w:val="24"/>
          <w:lang w:eastAsia="en-GB"/>
        </w:rPr>
        <w:t>1</w:t>
      </w:r>
      <w:r w:rsidR="00266F18">
        <w:rPr>
          <w:rFonts w:ascii="Times New Roman" w:eastAsia="Times New Roman" w:hAnsi="Times New Roman" w:cs="Times New Roman"/>
          <w:sz w:val="24"/>
          <w:szCs w:val="24"/>
          <w:lang w:eastAsia="en-GB"/>
        </w:rPr>
        <w:t>2</w:t>
      </w:r>
      <w:r w:rsidR="00266F18" w:rsidRPr="00B02402">
        <w:rPr>
          <w:rFonts w:ascii="Times New Roman" w:eastAsia="Times New Roman" w:hAnsi="Times New Roman" w:cs="Times New Roman"/>
          <w:sz w:val="24"/>
          <w:szCs w:val="24"/>
          <w:lang w:eastAsia="en-GB"/>
        </w:rPr>
        <w:t xml:space="preserve"> </w:t>
      </w:r>
      <w:r w:rsidR="00266F18">
        <w:rPr>
          <w:rFonts w:ascii="Times New Roman" w:eastAsia="Times New Roman" w:hAnsi="Times New Roman" w:cs="Times New Roman"/>
          <w:sz w:val="24"/>
          <w:szCs w:val="24"/>
          <w:lang w:eastAsia="en-GB"/>
        </w:rPr>
        <w:t>February</w:t>
      </w:r>
      <w:r w:rsidR="00266F18" w:rsidRPr="00B02402">
        <w:rPr>
          <w:rFonts w:ascii="Times New Roman" w:eastAsia="Times New Roman" w:hAnsi="Times New Roman" w:cs="Times New Roman"/>
          <w:sz w:val="24"/>
          <w:szCs w:val="24"/>
          <w:lang w:eastAsia="en-GB"/>
        </w:rPr>
        <w:t xml:space="preserve"> </w:t>
      </w:r>
      <w:r w:rsidRPr="00B02402">
        <w:rPr>
          <w:rFonts w:ascii="Times New Roman" w:eastAsia="Times New Roman" w:hAnsi="Times New Roman" w:cs="Times New Roman"/>
          <w:sz w:val="24"/>
          <w:szCs w:val="24"/>
          <w:lang w:eastAsia="en-GB"/>
        </w:rPr>
        <w:t>201</w:t>
      </w:r>
      <w:r w:rsidR="00266F18">
        <w:rPr>
          <w:rFonts w:ascii="Times New Roman" w:eastAsia="Times New Roman" w:hAnsi="Times New Roman" w:cs="Times New Roman"/>
          <w:sz w:val="24"/>
          <w:szCs w:val="24"/>
          <w:lang w:eastAsia="en-GB"/>
        </w:rPr>
        <w:t>8</w:t>
      </w:r>
      <w:r w:rsidRPr="00B02402">
        <w:rPr>
          <w:rFonts w:ascii="Times New Roman" w:eastAsia="Times New Roman" w:hAnsi="Times New Roman" w:cs="Times New Roman"/>
          <w:sz w:val="24"/>
          <w:szCs w:val="24"/>
          <w:lang w:eastAsia="en-GB"/>
        </w:rPr>
        <w:t xml:space="preserve">, the draft Law on non-banking credit organization was approved by the </w:t>
      </w:r>
      <w:r w:rsidR="00266F18">
        <w:rPr>
          <w:rFonts w:ascii="Times New Roman" w:eastAsia="Times New Roman" w:hAnsi="Times New Roman" w:cs="Times New Roman"/>
          <w:sz w:val="24"/>
          <w:szCs w:val="24"/>
          <w:lang w:eastAsia="en-GB"/>
        </w:rPr>
        <w:t xml:space="preserve">Parliament and it is being promulgated.  </w:t>
      </w:r>
      <w:r w:rsidRPr="00B02402">
        <w:rPr>
          <w:rFonts w:ascii="Times New Roman" w:eastAsia="Times New Roman" w:hAnsi="Times New Roman" w:cs="Times New Roman"/>
          <w:sz w:val="24"/>
          <w:szCs w:val="24"/>
          <w:lang w:eastAsia="en-GB"/>
        </w:rPr>
        <w:t>The draft law provides for a common regulatory and supervisory framework for entities carrying out the following activities: lending, including microcredits and mortgages, factoring, financial leasing, and aims at ensuring the sustainable development of the microfinancing organizations sector by reducing systemic risks and protecting consumers rights;</w:t>
      </w:r>
    </w:p>
    <w:p w:rsidR="00A04F7F" w:rsidRPr="00B02402" w:rsidRDefault="00A04F7F" w:rsidP="00B02402">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eastAsia="en-GB"/>
        </w:rPr>
      </w:pPr>
      <w:r w:rsidRPr="00B02402">
        <w:rPr>
          <w:rFonts w:ascii="Times New Roman" w:eastAsia="Times New Roman" w:hAnsi="Times New Roman" w:cs="Times New Roman"/>
          <w:sz w:val="24"/>
          <w:szCs w:val="24"/>
          <w:lang w:eastAsia="en-GB"/>
        </w:rPr>
        <w:t>With the technical assistance support for NCFM, a database system for the storage, consolidation, analysis and monitoring of financial data of the microfinancing sector (SCAs and MFOs) is under creation;</w:t>
      </w:r>
    </w:p>
    <w:p w:rsidR="00A04F7F" w:rsidRPr="00B02402" w:rsidRDefault="00A04F7F" w:rsidP="00B02402">
      <w:pPr>
        <w:pStyle w:val="ListParagraph"/>
        <w:numPr>
          <w:ilvl w:val="0"/>
          <w:numId w:val="6"/>
        </w:numPr>
        <w:tabs>
          <w:tab w:val="left" w:pos="284"/>
        </w:tabs>
        <w:spacing w:after="120" w:line="240" w:lineRule="auto"/>
        <w:jc w:val="both"/>
        <w:rPr>
          <w:rFonts w:ascii="Times New Roman" w:eastAsia="Times New Roman" w:hAnsi="Times New Roman" w:cs="Times New Roman"/>
          <w:sz w:val="24"/>
          <w:szCs w:val="24"/>
          <w:lang w:eastAsia="en-GB"/>
        </w:rPr>
      </w:pPr>
      <w:r w:rsidRPr="00B02402">
        <w:rPr>
          <w:rFonts w:ascii="Times New Roman" w:eastAsia="Times New Roman" w:hAnsi="Times New Roman" w:cs="Times New Roman"/>
          <w:sz w:val="24"/>
          <w:szCs w:val="24"/>
          <w:lang w:eastAsia="en-GB"/>
        </w:rPr>
        <w:t>on 20 October 2017 the Parliament approved in the second reading the draft Law for amending of some legislative acts in the context of the Law on Savings and Credit Associations (No. 139-XVI of 21.06.2007). The draft provides the simplification of the procedure for holding general meetings of the members of SCAs, reducing the minimum quorum threshold, completing the powers of the SCA Board and replacing the Stabilization Fund with the Saving Assets Fund for the compensation of individuals in case of forced liquidation or insolvency of SCAs.</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3.2</w:t>
      </w:r>
      <w:r w:rsidRPr="00FB7749">
        <w:rPr>
          <w:rFonts w:ascii="Times New Roman" w:eastAsia="Times New Roman" w:hAnsi="Times New Roman" w:cs="Times New Roman"/>
          <w:sz w:val="24"/>
          <w:szCs w:val="24"/>
          <w:lang w:eastAsia="en-GB"/>
        </w:rPr>
        <w:tab/>
        <w:t>Ongoing reforms:</w:t>
      </w:r>
    </w:p>
    <w:p w:rsidR="00D738AC" w:rsidRPr="009E0E07" w:rsidRDefault="003B60A9" w:rsidP="00A33292">
      <w:pPr>
        <w:autoSpaceDE w:val="0"/>
        <w:autoSpaceDN w:val="0"/>
        <w:adjustRightInd w:val="0"/>
        <w:spacing w:before="120" w:after="120" w:line="240" w:lineRule="auto"/>
        <w:jc w:val="both"/>
        <w:rPr>
          <w:rFonts w:ascii="Times New Roman" w:eastAsia="Times New Roman" w:hAnsi="Times New Roman" w:cs="Times New Roman"/>
          <w:sz w:val="24"/>
          <w:szCs w:val="20"/>
          <w:u w:val="single"/>
        </w:rPr>
      </w:pPr>
      <w:r w:rsidRPr="009E0E07">
        <w:rPr>
          <w:rFonts w:ascii="Times New Roman" w:eastAsia="Times New Roman" w:hAnsi="Times New Roman" w:cs="Times New Roman"/>
          <w:sz w:val="24"/>
          <w:szCs w:val="20"/>
          <w:u w:val="single"/>
        </w:rPr>
        <w:t>Banking</w:t>
      </w:r>
      <w:r w:rsidR="009E0E07" w:rsidRPr="009E0E07">
        <w:rPr>
          <w:rFonts w:ascii="Times New Roman" w:eastAsia="Times New Roman" w:hAnsi="Times New Roman" w:cs="Times New Roman"/>
          <w:sz w:val="24"/>
          <w:szCs w:val="20"/>
          <w:u w:val="single"/>
        </w:rPr>
        <w:t xml:space="preserve"> sector</w:t>
      </w:r>
    </w:p>
    <w:p w:rsidR="00415A5D" w:rsidRPr="00415A5D" w:rsidRDefault="008006E1" w:rsidP="00415A5D">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Under the </w:t>
      </w:r>
      <w:r w:rsidR="00415A5D" w:rsidRPr="00415A5D">
        <w:rPr>
          <w:rFonts w:ascii="Times New Roman" w:eastAsia="Times New Roman" w:hAnsi="Times New Roman" w:cs="Times New Roman"/>
          <w:sz w:val="24"/>
          <w:szCs w:val="24"/>
          <w:lang w:eastAsia="en-GB"/>
        </w:rPr>
        <w:t xml:space="preserve">IMF programme for 2017-2019 (ECF/EFF), NBM has committed to perform structural reforms in </w:t>
      </w:r>
      <w:r>
        <w:rPr>
          <w:rFonts w:ascii="Times New Roman" w:eastAsia="Times New Roman" w:hAnsi="Times New Roman" w:cs="Times New Roman"/>
          <w:sz w:val="24"/>
          <w:szCs w:val="24"/>
          <w:lang w:eastAsia="en-GB"/>
        </w:rPr>
        <w:t xml:space="preserve">the </w:t>
      </w:r>
      <w:r w:rsidR="00415A5D" w:rsidRPr="00415A5D">
        <w:rPr>
          <w:rFonts w:ascii="Times New Roman" w:eastAsia="Times New Roman" w:hAnsi="Times New Roman" w:cs="Times New Roman"/>
          <w:sz w:val="24"/>
          <w:szCs w:val="24"/>
          <w:lang w:eastAsia="en-GB"/>
        </w:rPr>
        <w:t>ba</w:t>
      </w:r>
      <w:r w:rsidR="00415A5D">
        <w:rPr>
          <w:rFonts w:ascii="Times New Roman" w:eastAsia="Times New Roman" w:hAnsi="Times New Roman" w:cs="Times New Roman"/>
          <w:sz w:val="24"/>
          <w:szCs w:val="24"/>
          <w:lang w:eastAsia="en-GB"/>
        </w:rPr>
        <w:t>nking sector for strengthening banks’</w:t>
      </w:r>
      <w:r w:rsidR="00415A5D" w:rsidRPr="00415A5D">
        <w:rPr>
          <w:rFonts w:ascii="Times New Roman" w:eastAsia="Times New Roman" w:hAnsi="Times New Roman" w:cs="Times New Roman"/>
          <w:sz w:val="24"/>
          <w:szCs w:val="24"/>
          <w:lang w:eastAsia="en-GB"/>
        </w:rPr>
        <w:t xml:space="preserve"> governance and financial conditions by bringing full transparency to bank shareholders, certifying the fit and proper status of bank owners and administrators, identifying related party lending and ensuring compliance with regulatory and capital requirements. </w:t>
      </w:r>
      <w:r w:rsidR="00415A5D">
        <w:rPr>
          <w:rFonts w:ascii="Times New Roman" w:eastAsia="Times New Roman" w:hAnsi="Times New Roman" w:cs="Times New Roman"/>
          <w:sz w:val="24"/>
          <w:szCs w:val="24"/>
          <w:lang w:eastAsia="en-GB"/>
        </w:rPr>
        <w:t>Additionally,</w:t>
      </w:r>
      <w:r>
        <w:rPr>
          <w:rFonts w:ascii="Times New Roman" w:eastAsia="Times New Roman" w:hAnsi="Times New Roman" w:cs="Times New Roman"/>
          <w:sz w:val="24"/>
          <w:szCs w:val="24"/>
          <w:lang w:eastAsia="en-GB"/>
        </w:rPr>
        <w:t xml:space="preserve"> the</w:t>
      </w:r>
      <w:r w:rsidR="00415A5D" w:rsidRPr="00415A5D">
        <w:rPr>
          <w:rFonts w:ascii="Times New Roman" w:eastAsia="Times New Roman" w:hAnsi="Times New Roman" w:cs="Times New Roman"/>
          <w:sz w:val="24"/>
          <w:szCs w:val="24"/>
          <w:lang w:eastAsia="en-GB"/>
        </w:rPr>
        <w:t xml:space="preserve"> IMF requir</w:t>
      </w:r>
      <w:r w:rsidR="00415A5D">
        <w:rPr>
          <w:rFonts w:ascii="Times New Roman" w:eastAsia="Times New Roman" w:hAnsi="Times New Roman" w:cs="Times New Roman"/>
          <w:sz w:val="24"/>
          <w:szCs w:val="24"/>
          <w:lang w:eastAsia="en-GB"/>
        </w:rPr>
        <w:t>ed</w:t>
      </w:r>
      <w:r w:rsidR="00415A5D" w:rsidRPr="00415A5D">
        <w:rPr>
          <w:rFonts w:ascii="Times New Roman" w:eastAsia="Times New Roman" w:hAnsi="Times New Roman" w:cs="Times New Roman"/>
          <w:sz w:val="24"/>
          <w:szCs w:val="24"/>
          <w:lang w:eastAsia="en-GB"/>
        </w:rPr>
        <w:t xml:space="preserve"> to enhance regulatory and supervisory frameworks and to improve the infrastructure of the financial system.  </w:t>
      </w:r>
    </w:p>
    <w:p w:rsidR="00415A5D" w:rsidRDefault="00D24284" w:rsidP="00415A5D">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Memorandum of Understanding for the proposed EU</w:t>
      </w:r>
      <w:r w:rsidR="008006E1">
        <w:rPr>
          <w:rFonts w:ascii="Times New Roman" w:eastAsia="Times New Roman" w:hAnsi="Times New Roman" w:cs="Times New Roman"/>
          <w:sz w:val="24"/>
          <w:szCs w:val="24"/>
          <w:lang w:eastAsia="en-GB"/>
        </w:rPr>
        <w:t xml:space="preserve"> </w:t>
      </w:r>
      <w:r w:rsidR="00415A5D" w:rsidRPr="00415A5D">
        <w:rPr>
          <w:rFonts w:ascii="Times New Roman" w:eastAsia="Times New Roman" w:hAnsi="Times New Roman" w:cs="Times New Roman"/>
          <w:sz w:val="24"/>
          <w:szCs w:val="24"/>
          <w:lang w:eastAsia="en-GB"/>
        </w:rPr>
        <w:t xml:space="preserve">Macro Financial Assistance </w:t>
      </w:r>
      <w:r w:rsidR="008006E1">
        <w:rPr>
          <w:rFonts w:ascii="Times New Roman" w:eastAsia="Times New Roman" w:hAnsi="Times New Roman" w:cs="Times New Roman"/>
          <w:sz w:val="24"/>
          <w:szCs w:val="24"/>
          <w:lang w:eastAsia="en-GB"/>
        </w:rPr>
        <w:t xml:space="preserve">Programme </w:t>
      </w:r>
      <w:r>
        <w:rPr>
          <w:rFonts w:ascii="Times New Roman" w:eastAsia="Times New Roman" w:hAnsi="Times New Roman" w:cs="Times New Roman"/>
          <w:sz w:val="24"/>
          <w:szCs w:val="24"/>
          <w:lang w:eastAsia="en-GB"/>
        </w:rPr>
        <w:t xml:space="preserve">includes conditions related to </w:t>
      </w:r>
      <w:r w:rsidR="00415A5D" w:rsidRPr="00415A5D">
        <w:rPr>
          <w:rFonts w:ascii="Times New Roman" w:eastAsia="Times New Roman" w:hAnsi="Times New Roman" w:cs="Times New Roman"/>
          <w:sz w:val="24"/>
          <w:szCs w:val="24"/>
          <w:lang w:eastAsia="en-GB"/>
        </w:rPr>
        <w:t xml:space="preserve">reinforcement of governance and supervision of the financial sector. Law on Banking Activity and key secondary legislation shall be adopted, identification of Ultimate Beneficiary Owners (UBOs) of qualified shareholders and diagnostic analyses of related party exposures in banks shall be done, etc. </w:t>
      </w:r>
    </w:p>
    <w:p w:rsidR="00374707" w:rsidRPr="00374707" w:rsidRDefault="00374707" w:rsidP="00415A5D">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374707">
        <w:rPr>
          <w:rFonts w:ascii="Times New Roman" w:eastAsia="Times New Roman" w:hAnsi="Times New Roman" w:cs="Times New Roman"/>
          <w:sz w:val="24"/>
          <w:szCs w:val="24"/>
          <w:lang w:eastAsia="en-GB"/>
        </w:rPr>
        <w:t>Following a Twinning project conducted in 2015-2017, a new regulatory and supervision framework was prepared, adopting Basel III requirements for entire banking sector. A new Law on banks’ activity was adopted, and enter</w:t>
      </w:r>
      <w:r w:rsidR="008A5B4A">
        <w:rPr>
          <w:rFonts w:ascii="Times New Roman" w:eastAsia="Times New Roman" w:hAnsi="Times New Roman" w:cs="Times New Roman"/>
          <w:sz w:val="24"/>
          <w:szCs w:val="24"/>
          <w:lang w:eastAsia="en-GB"/>
        </w:rPr>
        <w:t>ed</w:t>
      </w:r>
      <w:r w:rsidRPr="00374707">
        <w:rPr>
          <w:rFonts w:ascii="Times New Roman" w:eastAsia="Times New Roman" w:hAnsi="Times New Roman" w:cs="Times New Roman"/>
          <w:sz w:val="24"/>
          <w:szCs w:val="24"/>
          <w:lang w:eastAsia="en-GB"/>
        </w:rPr>
        <w:t xml:space="preserve"> into force starting from January 1, 2018. Following the Law, more than 20 secondary Regulations</w:t>
      </w:r>
      <w:r w:rsidR="00A30527">
        <w:rPr>
          <w:rFonts w:ascii="Times New Roman" w:eastAsia="Times New Roman" w:hAnsi="Times New Roman" w:cs="Times New Roman"/>
          <w:sz w:val="24"/>
          <w:szCs w:val="24"/>
          <w:lang w:eastAsia="en-GB"/>
        </w:rPr>
        <w:t xml:space="preserve"> are being prepared</w:t>
      </w:r>
      <w:r w:rsidRPr="00374707">
        <w:rPr>
          <w:rFonts w:ascii="Times New Roman" w:eastAsia="Times New Roman" w:hAnsi="Times New Roman" w:cs="Times New Roman"/>
          <w:sz w:val="24"/>
          <w:szCs w:val="24"/>
          <w:lang w:eastAsia="en-GB"/>
        </w:rPr>
        <w:t xml:space="preserve"> by NBM (some remaining in stages until June 2019). Although NBM will have all regulations on place, from practical and technical point of view it will be needed a lot of efforts, trainings and time to properly supervise the banks under new rules. The National Bank together with banks intend to gradually implement Basel III requirements.</w:t>
      </w:r>
    </w:p>
    <w:p w:rsidR="00374707" w:rsidRPr="00374707" w:rsidRDefault="00374707" w:rsidP="00374707">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374707">
        <w:rPr>
          <w:rFonts w:ascii="Times New Roman" w:eastAsia="Times New Roman" w:hAnsi="Times New Roman" w:cs="Times New Roman"/>
          <w:sz w:val="24"/>
          <w:szCs w:val="24"/>
          <w:lang w:eastAsia="en-GB"/>
        </w:rPr>
        <w:t>For increasing efficiency of banking supervision, NBM is developing a central risk monitoring system. Its first component, Credit Risk Register, is already implemented. For its second component, a company for the purchase of an IT solution to improve efficiency of the licencing, authorisation and notification process was selected and implementation of the solution is in progress. Public tender for acquire the third component - AML/CFT and Shareholders Transparency software was initiated. Further initiatives on the EU best practices in increasing the use of IT tools in supervision (for RAS/SREP/on-going supervision) needed.</w:t>
      </w:r>
    </w:p>
    <w:p w:rsidR="00374707" w:rsidRPr="00374707" w:rsidRDefault="00374707" w:rsidP="00374707">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374707">
        <w:rPr>
          <w:rFonts w:ascii="Times New Roman" w:eastAsia="Times New Roman" w:hAnsi="Times New Roman" w:cs="Times New Roman"/>
          <w:sz w:val="24"/>
          <w:szCs w:val="24"/>
          <w:lang w:eastAsia="en-GB"/>
        </w:rPr>
        <w:t xml:space="preserve">In 2017 NBM remuneration system reform started, at the end of the reform it is expected that NBM will be capable to hire qualified staff and motivate current supervisors. Consulting company </w:t>
      </w:r>
      <w:r w:rsidR="00ED7FE4" w:rsidRPr="00ED7FE4">
        <w:rPr>
          <w:rFonts w:ascii="Times New Roman" w:eastAsia="Times New Roman" w:hAnsi="Times New Roman" w:cs="Times New Roman"/>
          <w:sz w:val="24"/>
          <w:szCs w:val="24"/>
          <w:lang w:eastAsia="en-GB"/>
        </w:rPr>
        <w:t>Korn Ferry Hay Group</w:t>
      </w:r>
      <w:r w:rsidRPr="00374707">
        <w:rPr>
          <w:rFonts w:ascii="Times New Roman" w:eastAsia="Times New Roman" w:hAnsi="Times New Roman" w:cs="Times New Roman"/>
          <w:sz w:val="24"/>
          <w:szCs w:val="24"/>
          <w:lang w:eastAsia="en-GB"/>
        </w:rPr>
        <w:t xml:space="preserve"> has started to design a modern remuneration system.</w:t>
      </w:r>
    </w:p>
    <w:p w:rsidR="00C5551B" w:rsidRPr="003B60A9" w:rsidRDefault="00374707" w:rsidP="00C5551B">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374707">
        <w:rPr>
          <w:rFonts w:ascii="Times New Roman" w:eastAsia="Times New Roman" w:hAnsi="Times New Roman" w:cs="Times New Roman"/>
          <w:sz w:val="24"/>
          <w:szCs w:val="24"/>
          <w:lang w:eastAsia="en-GB"/>
        </w:rPr>
        <w:t>The Bank Recovery and Resolution Law will be used fully in the EU BRRD philosophy only from 2024, particularly for minimising losses to taxpayers (up to 2020 no bail-in, no Resolution fund; not fully will be used the mechanism of public instruments of financial stabilization). National Bank has no experience in application of new resolution tools and further assistance in this area is required.</w:t>
      </w:r>
      <w:r w:rsidR="00C5551B">
        <w:rPr>
          <w:rFonts w:ascii="Times New Roman" w:eastAsia="Times New Roman" w:hAnsi="Times New Roman" w:cs="Times New Roman"/>
          <w:sz w:val="24"/>
          <w:szCs w:val="24"/>
          <w:lang w:eastAsia="en-GB"/>
        </w:rPr>
        <w:t xml:space="preserve"> </w:t>
      </w:r>
      <w:r w:rsidR="00C5551B" w:rsidRPr="003B60A9">
        <w:rPr>
          <w:rFonts w:ascii="Times New Roman" w:eastAsia="Times New Roman" w:hAnsi="Times New Roman" w:cs="Times New Roman"/>
          <w:sz w:val="24"/>
          <w:szCs w:val="24"/>
          <w:lang w:eastAsia="en-GB"/>
        </w:rPr>
        <w:t>Until 2024, the Government has the right to decide on the financing of measures, actions and tools for resolution (issuing state securities, granting state guaranties, etc.</w:t>
      </w:r>
      <w:r w:rsidR="00F05530">
        <w:rPr>
          <w:rFonts w:ascii="Times New Roman" w:eastAsia="Times New Roman" w:hAnsi="Times New Roman" w:cs="Times New Roman"/>
          <w:sz w:val="24"/>
          <w:szCs w:val="24"/>
          <w:lang w:eastAsia="en-GB"/>
        </w:rPr>
        <w:t>).</w:t>
      </w:r>
    </w:p>
    <w:p w:rsidR="00374707" w:rsidRDefault="00374707" w:rsidP="00374707">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374707">
        <w:rPr>
          <w:rFonts w:ascii="Times New Roman" w:eastAsia="Times New Roman" w:hAnsi="Times New Roman" w:cs="Times New Roman"/>
          <w:sz w:val="24"/>
          <w:szCs w:val="24"/>
          <w:lang w:eastAsia="en-GB"/>
        </w:rPr>
        <w:t xml:space="preserve">At the same time, according to the provisions of the Law on banks’ recovery and resolution, a national macroprudential authority has to be established. The National Bank prepared a draft Law on Financial Stability Committee, which will set and coordinate macroprudential policy and </w:t>
      </w:r>
      <w:r w:rsidR="00FE7F15">
        <w:rPr>
          <w:rFonts w:ascii="Times New Roman" w:eastAsia="Times New Roman" w:hAnsi="Times New Roman" w:cs="Times New Roman"/>
          <w:sz w:val="24"/>
          <w:szCs w:val="24"/>
          <w:lang w:eastAsia="en-GB"/>
        </w:rPr>
        <w:t>coordinate</w:t>
      </w:r>
      <w:r w:rsidR="00FE7F15" w:rsidRPr="00374707">
        <w:rPr>
          <w:rFonts w:ascii="Times New Roman" w:eastAsia="Times New Roman" w:hAnsi="Times New Roman" w:cs="Times New Roman"/>
          <w:sz w:val="24"/>
          <w:szCs w:val="24"/>
          <w:lang w:eastAsia="en-GB"/>
        </w:rPr>
        <w:t xml:space="preserve"> </w:t>
      </w:r>
      <w:r w:rsidRPr="00374707">
        <w:rPr>
          <w:rFonts w:ascii="Times New Roman" w:eastAsia="Times New Roman" w:hAnsi="Times New Roman" w:cs="Times New Roman"/>
          <w:sz w:val="24"/>
          <w:szCs w:val="24"/>
          <w:lang w:eastAsia="en-GB"/>
        </w:rPr>
        <w:t xml:space="preserve">crisis </w:t>
      </w:r>
      <w:r w:rsidR="00FE7F15">
        <w:rPr>
          <w:rFonts w:ascii="Times New Roman" w:eastAsia="Times New Roman" w:hAnsi="Times New Roman" w:cs="Times New Roman"/>
          <w:sz w:val="24"/>
          <w:szCs w:val="24"/>
          <w:lang w:eastAsia="en-GB"/>
        </w:rPr>
        <w:t>preparedness and management</w:t>
      </w:r>
      <w:r w:rsidRPr="00374707">
        <w:rPr>
          <w:rFonts w:ascii="Times New Roman" w:eastAsia="Times New Roman" w:hAnsi="Times New Roman" w:cs="Times New Roman"/>
          <w:sz w:val="24"/>
          <w:szCs w:val="24"/>
          <w:lang w:eastAsia="en-GB"/>
        </w:rPr>
        <w:t>. When establishing the macroprudential mandate, ESRB recommendation on macroprudential mandate of national authorities (ESRB/2011/3) was taken into account. Due to small experience in macroprudential policy area, as well as considering the importance of financial stability objective,</w:t>
      </w:r>
      <w:r w:rsidR="00415A5D">
        <w:rPr>
          <w:rFonts w:ascii="Times New Roman" w:eastAsia="Times New Roman" w:hAnsi="Times New Roman" w:cs="Times New Roman"/>
          <w:sz w:val="24"/>
          <w:szCs w:val="24"/>
          <w:lang w:eastAsia="en-GB"/>
        </w:rPr>
        <w:t xml:space="preserve"> an international experience is help</w:t>
      </w:r>
      <w:r w:rsidR="0061777D">
        <w:rPr>
          <w:rFonts w:ascii="Times New Roman" w:eastAsia="Times New Roman" w:hAnsi="Times New Roman" w:cs="Times New Roman"/>
          <w:sz w:val="24"/>
          <w:szCs w:val="24"/>
          <w:lang w:eastAsia="en-GB"/>
        </w:rPr>
        <w:t>ful when setting macroprudential strategy and prepare all procedures for proper application of macroprudential tools.</w:t>
      </w:r>
    </w:p>
    <w:p w:rsidR="00D738AC" w:rsidRPr="00D738AC" w:rsidRDefault="00D738AC" w:rsidP="00117328">
      <w:pPr>
        <w:autoSpaceDE w:val="0"/>
        <w:autoSpaceDN w:val="0"/>
        <w:adjustRightInd w:val="0"/>
        <w:spacing w:before="120" w:after="120" w:line="240" w:lineRule="auto"/>
        <w:jc w:val="both"/>
        <w:rPr>
          <w:rFonts w:ascii="Times New Roman" w:eastAsia="Times New Roman" w:hAnsi="Times New Roman" w:cs="Times New Roman"/>
          <w:sz w:val="24"/>
          <w:szCs w:val="20"/>
          <w:u w:val="single"/>
        </w:rPr>
      </w:pPr>
      <w:r w:rsidRPr="00D738AC">
        <w:rPr>
          <w:rFonts w:ascii="Times New Roman" w:eastAsia="Times New Roman" w:hAnsi="Times New Roman" w:cs="Times New Roman"/>
          <w:sz w:val="24"/>
          <w:szCs w:val="20"/>
          <w:u w:val="single"/>
        </w:rPr>
        <w:t>Non-banking sector</w:t>
      </w:r>
    </w:p>
    <w:p w:rsidR="00B95A78" w:rsidRDefault="00B95A78" w:rsidP="00B95A78">
      <w:pPr>
        <w:pStyle w:val="Text1"/>
        <w:tabs>
          <w:tab w:val="left" w:pos="4320"/>
        </w:tabs>
        <w:spacing w:after="120"/>
        <w:ind w:left="0"/>
        <w:rPr>
          <w:szCs w:val="24"/>
        </w:rPr>
      </w:pPr>
      <w:r>
        <w:rPr>
          <w:szCs w:val="24"/>
        </w:rPr>
        <w:t xml:space="preserve">Following the commitments assumed by the Republic of Moldova in the EU-RM Association Agreement, the provisions of the Solvency II Directive and related regulations shall be transposed in the national insurance legislation within 7 years from the date of signing the Agreement. Given the aspiration of NCFM to move towards risk-based supervision, there is considerable scope to initiate with the support of the World Bank experts the development of the new insurance and MTPL insurance legislation in accordance with Directive 2009/138/EC of 25.11.2009 on the establishment and performance of insurance and reinsurance activities (Solvency II). </w:t>
      </w:r>
    </w:p>
    <w:p w:rsidR="00B95A78" w:rsidRDefault="00B95A78" w:rsidP="00B95A78">
      <w:pPr>
        <w:pStyle w:val="Text1"/>
        <w:tabs>
          <w:tab w:val="left" w:pos="4320"/>
        </w:tabs>
        <w:spacing w:after="120"/>
        <w:ind w:left="0"/>
        <w:rPr>
          <w:szCs w:val="24"/>
        </w:rPr>
      </w:pPr>
      <w:r>
        <w:rPr>
          <w:szCs w:val="24"/>
        </w:rPr>
        <w:t xml:space="preserve">Given the provisions of the EU Memorandum for Macro-financial Assistance, NCFM has to develop an Action Plan for the audit of insurance companies and to promote the new legislation on non-banking credit organizations. </w:t>
      </w:r>
    </w:p>
    <w:p w:rsidR="00B95A78" w:rsidRDefault="00B95A78" w:rsidP="00B95A78">
      <w:pPr>
        <w:pStyle w:val="Text1"/>
        <w:tabs>
          <w:tab w:val="left" w:pos="4320"/>
        </w:tabs>
        <w:spacing w:after="120"/>
        <w:ind w:left="0"/>
        <w:rPr>
          <w:szCs w:val="24"/>
        </w:rPr>
      </w:pPr>
      <w:r>
        <w:rPr>
          <w:szCs w:val="24"/>
        </w:rPr>
        <w:t>T</w:t>
      </w:r>
      <w:r w:rsidRPr="00844657">
        <w:rPr>
          <w:szCs w:val="24"/>
        </w:rPr>
        <w:t>he new draft Law on non-banking credit organizations and the draft Law amending the legislation by delegating NCFM supervisory powers over leasing sector</w:t>
      </w:r>
      <w:r>
        <w:rPr>
          <w:szCs w:val="24"/>
        </w:rPr>
        <w:t xml:space="preserve"> have been approved by Moldovan Governments and are under examination in the Parliamentary committees</w:t>
      </w:r>
      <w:r w:rsidRPr="00844657">
        <w:rPr>
          <w:szCs w:val="24"/>
        </w:rPr>
        <w:t>. The new legal framework establishes the authorization procedure for non-bank lending activity, certain prudential requirements, including minimum share capital and equity requirements, management framework as well as prudential reporting, and the application of the unique supervisory framework of the responsible authority to ensure that lending standards, risk management frameworks and loan loss provisioning practices are uniformly implemented across all participants in the sector.</w:t>
      </w:r>
    </w:p>
    <w:p w:rsidR="00D738AC" w:rsidRPr="00844657" w:rsidRDefault="00D738AC" w:rsidP="00D738AC">
      <w:pPr>
        <w:pStyle w:val="Text1"/>
        <w:tabs>
          <w:tab w:val="left" w:pos="4320"/>
        </w:tabs>
        <w:spacing w:after="120"/>
        <w:ind w:left="0"/>
        <w:rPr>
          <w:szCs w:val="24"/>
        </w:rPr>
      </w:pPr>
      <w:r w:rsidRPr="00844657">
        <w:rPr>
          <w:szCs w:val="24"/>
        </w:rPr>
        <w:t>Pending issue: according to the provisions of insurance legislation and in order to protect the interests of the insurance policyholders, insurance beneficiaries and injured third parties the Insurance Guarantee Fund shall be established and launched. The resources of the Fund shall be used to pay the compensations resulting from voluntary (optional) and mandatory insurance contracts, concluded in compliance with the above mentioned law, in case of insurer insolvency. The draft Law on national insurance guarantee fund is in the process of examination in the Parliament and no clarity on this topic exists at the moment.</w:t>
      </w:r>
    </w:p>
    <w:p w:rsidR="00D738AC" w:rsidRPr="00844657" w:rsidRDefault="00D738AC" w:rsidP="00D738AC">
      <w:pPr>
        <w:pStyle w:val="Text1"/>
        <w:tabs>
          <w:tab w:val="left" w:pos="4320"/>
        </w:tabs>
        <w:spacing w:after="120"/>
        <w:ind w:left="0"/>
        <w:rPr>
          <w:szCs w:val="24"/>
        </w:rPr>
      </w:pPr>
      <w:r w:rsidRPr="00844657">
        <w:rPr>
          <w:szCs w:val="24"/>
        </w:rPr>
        <w:t>Another important achievement is the promotion in the Government of the new draft Law on non-banking credit organizations and the draft Law amending the legislation by delegating NCFM supervisory powers over leasing sector. The new legal framework establishes the authorization procedure for non-bank lending activity, certain prudential requirements, including minimum share capital and equity requirements, management framework as well as prudential reporting, and the application of the unique supervisory framework of the responsible authority to ensure that lending standards, risk management frameworks and loan loss provisioning practices are uniformly implemented across all participants in the sector.</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3.3</w:t>
      </w:r>
      <w:r w:rsidRPr="00FB7749">
        <w:rPr>
          <w:rFonts w:ascii="Times New Roman" w:eastAsia="Times New Roman" w:hAnsi="Times New Roman" w:cs="Times New Roman"/>
          <w:sz w:val="24"/>
          <w:szCs w:val="24"/>
          <w:lang w:eastAsia="en-GB"/>
        </w:rPr>
        <w:tab/>
        <w:t xml:space="preserve">Linked activities: </w:t>
      </w:r>
    </w:p>
    <w:p w:rsidR="001A17B2" w:rsidRPr="00604927"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r w:rsidRPr="00604927">
        <w:rPr>
          <w:rFonts w:ascii="Times New Roman" w:eastAsia="Times New Roman" w:hAnsi="Times New Roman" w:cs="Times New Roman"/>
          <w:sz w:val="24"/>
          <w:szCs w:val="24"/>
          <w:u w:val="single"/>
          <w:lang w:eastAsia="en-GB"/>
        </w:rPr>
        <w:t xml:space="preserve">Banking </w:t>
      </w:r>
      <w:r w:rsidR="00EF1ADA">
        <w:rPr>
          <w:rFonts w:ascii="Times New Roman" w:eastAsia="Times New Roman" w:hAnsi="Times New Roman" w:cs="Times New Roman"/>
          <w:sz w:val="24"/>
          <w:szCs w:val="24"/>
          <w:u w:val="single"/>
          <w:lang w:eastAsia="en-GB"/>
        </w:rPr>
        <w:t>sector</w:t>
      </w:r>
    </w:p>
    <w:p w:rsidR="001A17B2" w:rsidRPr="001A17B2"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A17B2">
        <w:rPr>
          <w:rFonts w:ascii="Times New Roman" w:eastAsia="Times New Roman" w:hAnsi="Times New Roman" w:cs="Times New Roman"/>
          <w:sz w:val="24"/>
          <w:szCs w:val="24"/>
          <w:lang w:eastAsia="en-GB"/>
        </w:rPr>
        <w:t>Recently, Nation</w:t>
      </w:r>
      <w:r w:rsidR="00C20EC7">
        <w:rPr>
          <w:rFonts w:ascii="Times New Roman" w:eastAsia="Times New Roman" w:hAnsi="Times New Roman" w:cs="Times New Roman"/>
          <w:sz w:val="24"/>
          <w:szCs w:val="24"/>
          <w:lang w:eastAsia="en-GB"/>
        </w:rPr>
        <w:t>al Bank has successfully finalis</w:t>
      </w:r>
      <w:r w:rsidRPr="001A17B2">
        <w:rPr>
          <w:rFonts w:ascii="Times New Roman" w:eastAsia="Times New Roman" w:hAnsi="Times New Roman" w:cs="Times New Roman"/>
          <w:sz w:val="24"/>
          <w:szCs w:val="24"/>
          <w:lang w:eastAsia="en-GB"/>
        </w:rPr>
        <w:t>ed a two-year Twinning project “Strengthening the NBM’s capacity in the field of banking regulation and supervision in the context of EU requirements” with central banks of Romania and Netherlands. The</w:t>
      </w:r>
      <w:r w:rsidR="001734EC">
        <w:rPr>
          <w:rFonts w:ascii="Times New Roman" w:eastAsia="Times New Roman" w:hAnsi="Times New Roman" w:cs="Times New Roman"/>
          <w:sz w:val="24"/>
          <w:szCs w:val="24"/>
          <w:lang w:eastAsia="en-GB"/>
        </w:rPr>
        <w:t xml:space="preserve"> project contributed to harmonis</w:t>
      </w:r>
      <w:r w:rsidRPr="001A17B2">
        <w:rPr>
          <w:rFonts w:ascii="Times New Roman" w:eastAsia="Times New Roman" w:hAnsi="Times New Roman" w:cs="Times New Roman"/>
          <w:sz w:val="24"/>
          <w:szCs w:val="24"/>
          <w:lang w:eastAsia="en-GB"/>
        </w:rPr>
        <w:t>e prudential regulation and supervision framework with the EU standards related to EU CRDIV/CRR package (Basel III) and to prepare the base for the implementation of new standards.</w:t>
      </w:r>
    </w:p>
    <w:p w:rsidR="001A17B2" w:rsidRPr="001A17B2"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A17B2">
        <w:rPr>
          <w:rFonts w:ascii="Times New Roman" w:eastAsia="Times New Roman" w:hAnsi="Times New Roman" w:cs="Times New Roman"/>
          <w:sz w:val="24"/>
          <w:szCs w:val="24"/>
          <w:lang w:eastAsia="en-GB"/>
        </w:rPr>
        <w:t>EU H</w:t>
      </w:r>
      <w:r w:rsidR="00E06DF9">
        <w:rPr>
          <w:rFonts w:ascii="Times New Roman" w:eastAsia="Times New Roman" w:hAnsi="Times New Roman" w:cs="Times New Roman"/>
          <w:sz w:val="24"/>
          <w:szCs w:val="24"/>
          <w:lang w:eastAsia="en-GB"/>
        </w:rPr>
        <w:t xml:space="preserve">igh Level </w:t>
      </w:r>
      <w:r w:rsidRPr="001A17B2">
        <w:rPr>
          <w:rFonts w:ascii="Times New Roman" w:eastAsia="Times New Roman" w:hAnsi="Times New Roman" w:cs="Times New Roman"/>
          <w:sz w:val="24"/>
          <w:szCs w:val="24"/>
          <w:lang w:eastAsia="en-GB"/>
        </w:rPr>
        <w:t xml:space="preserve">Adviser </w:t>
      </w:r>
      <w:r w:rsidR="00E06DF9">
        <w:rPr>
          <w:rFonts w:ascii="Times New Roman" w:eastAsia="Times New Roman" w:hAnsi="Times New Roman" w:cs="Times New Roman"/>
          <w:sz w:val="24"/>
          <w:szCs w:val="24"/>
          <w:lang w:eastAsia="en-GB"/>
        </w:rPr>
        <w:t xml:space="preserve">(HLA) </w:t>
      </w:r>
      <w:r w:rsidRPr="001A17B2">
        <w:rPr>
          <w:rFonts w:ascii="Times New Roman" w:eastAsia="Times New Roman" w:hAnsi="Times New Roman" w:cs="Times New Roman"/>
          <w:sz w:val="24"/>
          <w:szCs w:val="24"/>
          <w:lang w:eastAsia="en-GB"/>
        </w:rPr>
        <w:t>on Banking sector provides policy advice to the National Bank on banking supervision reform with the main goal of creating a modern and efficient supervisory framework in line with EU standards (Basel III). Support in the strengthening of NBM communication capabilities for better informing society about banking sector and cooperation with other institutions with the aim of efficient fight against economic crimes is also provided.</w:t>
      </w:r>
    </w:p>
    <w:p w:rsidR="001A17B2" w:rsidRPr="001A17B2"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A17B2">
        <w:rPr>
          <w:rFonts w:ascii="Times New Roman" w:eastAsia="Times New Roman" w:hAnsi="Times New Roman" w:cs="Times New Roman"/>
          <w:sz w:val="24"/>
          <w:szCs w:val="24"/>
          <w:lang w:eastAsia="en-GB"/>
        </w:rPr>
        <w:t>During his mandate</w:t>
      </w:r>
      <w:r w:rsidR="001734EC">
        <w:rPr>
          <w:rFonts w:ascii="Times New Roman" w:eastAsia="Times New Roman" w:hAnsi="Times New Roman" w:cs="Times New Roman"/>
          <w:sz w:val="24"/>
          <w:szCs w:val="24"/>
          <w:lang w:eastAsia="en-GB"/>
        </w:rPr>
        <w:t xml:space="preserve"> (until end 2016)</w:t>
      </w:r>
      <w:r w:rsidRPr="001A17B2">
        <w:rPr>
          <w:rFonts w:ascii="Times New Roman" w:eastAsia="Times New Roman" w:hAnsi="Times New Roman" w:cs="Times New Roman"/>
          <w:sz w:val="24"/>
          <w:szCs w:val="24"/>
          <w:lang w:eastAsia="en-GB"/>
        </w:rPr>
        <w:t xml:space="preserve">, EU HLA on Financial System Governance was strongly involved in assistance for financial stability. In this regards, recommendations for the improvement of Financial Stability Report were presented. At the same time, a proposal for Financial Stability Committee reformation was launched and was used as a basement for the draft of the Law on Financial Stability Committee. </w:t>
      </w:r>
    </w:p>
    <w:p w:rsidR="001A17B2" w:rsidRPr="001A17B2"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A17B2">
        <w:rPr>
          <w:rFonts w:ascii="Times New Roman" w:eastAsia="Times New Roman" w:hAnsi="Times New Roman" w:cs="Times New Roman"/>
          <w:sz w:val="24"/>
          <w:szCs w:val="24"/>
          <w:lang w:eastAsia="en-GB"/>
        </w:rPr>
        <w:t xml:space="preserve">The International Monetary Fund (IMF) is periodically conducting financial sector assessment programs (FSAP). The last FSAP (2014) included an assessment of the compliance level with Core Principles for Effective Banking Supervision (Basel Core Principles methodology) and crisis management capacity. The Moldovan authorities have been working to implement the recommendations of the last assessment to increase the degree of compliance with the Basel Core Principles, and Twinning project will contribute significantly to set basis for a more effective banking supervision of the National Bank. </w:t>
      </w:r>
    </w:p>
    <w:p w:rsidR="001A17B2" w:rsidRPr="001A17B2"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A17B2">
        <w:rPr>
          <w:rFonts w:ascii="Times New Roman" w:eastAsia="Times New Roman" w:hAnsi="Times New Roman" w:cs="Times New Roman"/>
          <w:sz w:val="24"/>
          <w:szCs w:val="24"/>
          <w:lang w:eastAsia="en-GB"/>
        </w:rPr>
        <w:t>Under IMF (ECF/EFF) funding programme for three years, NBM periodically is receiving technical assistance from IMF/World Bank (</w:t>
      </w:r>
      <w:r w:rsidR="008A5B4A">
        <w:rPr>
          <w:rFonts w:ascii="Times New Roman" w:eastAsia="Times New Roman" w:hAnsi="Times New Roman" w:cs="Times New Roman"/>
          <w:sz w:val="24"/>
          <w:szCs w:val="24"/>
          <w:lang w:eastAsia="en-GB"/>
        </w:rPr>
        <w:t>in 2017</w:t>
      </w:r>
      <w:r w:rsidRPr="001A17B2">
        <w:rPr>
          <w:rFonts w:ascii="Times New Roman" w:eastAsia="Times New Roman" w:hAnsi="Times New Roman" w:cs="Times New Roman"/>
          <w:sz w:val="24"/>
          <w:szCs w:val="24"/>
          <w:lang w:eastAsia="en-GB"/>
        </w:rPr>
        <w:t xml:space="preserve"> the assistance was on related party transactions, communication on banking sector, deposit insurance scheme).</w:t>
      </w:r>
    </w:p>
    <w:p w:rsidR="001A17B2" w:rsidRPr="001A17B2"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A17B2">
        <w:rPr>
          <w:rFonts w:ascii="Times New Roman" w:eastAsia="Times New Roman" w:hAnsi="Times New Roman" w:cs="Times New Roman"/>
          <w:sz w:val="24"/>
          <w:szCs w:val="24"/>
          <w:lang w:eastAsia="en-GB"/>
        </w:rPr>
        <w:t>The National Bank has also received support from the Treasury Department of the United States on certain aspects of banking regulation, supervision and resolution. A broad ranging programme of assistance (headed by Resident Adviser) is aimed at improving methodology in the context of banks’ recovery and resolution, the implementation of international financial reporting standards and corporate governance. Additionally, US Treasury experts are advising NBM on the development Financial Stability Reports.</w:t>
      </w:r>
    </w:p>
    <w:p w:rsidR="001A17B2" w:rsidRDefault="001A17B2" w:rsidP="001A17B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A17B2">
        <w:rPr>
          <w:rFonts w:ascii="Times New Roman" w:eastAsia="Times New Roman" w:hAnsi="Times New Roman" w:cs="Times New Roman"/>
          <w:sz w:val="24"/>
          <w:szCs w:val="24"/>
          <w:lang w:eastAsia="en-GB"/>
        </w:rPr>
        <w:t xml:space="preserve">National Bank works closely with supervisors in other countries, including EU Member States in the context of the regulation and supervision of banks' activities. National Bank staff are participating in training courses and </w:t>
      </w:r>
      <w:r w:rsidRPr="00F94E9F">
        <w:rPr>
          <w:rFonts w:ascii="Times New Roman" w:eastAsia="Times New Roman" w:hAnsi="Times New Roman" w:cs="Times New Roman"/>
          <w:sz w:val="24"/>
          <w:szCs w:val="24"/>
          <w:lang w:eastAsia="en-GB"/>
        </w:rPr>
        <w:t>workshops organised by central banks in EU Member States on various topics related to banking supervision and regulation, macroprudential supervision, bank’s recovery and resolution and others</w:t>
      </w:r>
      <w:r w:rsidR="00F94E9F">
        <w:rPr>
          <w:rFonts w:ascii="Times New Roman" w:eastAsia="Times New Roman" w:hAnsi="Times New Roman" w:cs="Times New Roman"/>
          <w:sz w:val="24"/>
          <w:szCs w:val="24"/>
          <w:lang w:eastAsia="en-GB"/>
        </w:rPr>
        <w:t>.</w:t>
      </w:r>
    </w:p>
    <w:p w:rsidR="00F94E9F" w:rsidRPr="00F94E9F" w:rsidRDefault="00F94E9F" w:rsidP="001A17B2">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r w:rsidRPr="00F94E9F">
        <w:rPr>
          <w:rFonts w:ascii="Times New Roman" w:eastAsia="Times New Roman" w:hAnsi="Times New Roman" w:cs="Times New Roman"/>
          <w:sz w:val="24"/>
          <w:szCs w:val="24"/>
          <w:u w:val="single"/>
          <w:lang w:eastAsia="en-GB"/>
        </w:rPr>
        <w:t>Non-banking sector</w:t>
      </w:r>
    </w:p>
    <w:p w:rsidR="00395BEA" w:rsidRPr="001A306B" w:rsidRDefault="00395BEA" w:rsidP="001A306B">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sz w:val="24"/>
          <w:szCs w:val="24"/>
          <w:lang w:eastAsia="en-GB"/>
        </w:rPr>
        <w:t>A t</w:t>
      </w:r>
      <w:r w:rsidR="00040652" w:rsidRPr="00040652">
        <w:rPr>
          <w:rFonts w:ascii="Times New Roman" w:eastAsia="Times New Roman" w:hAnsi="Times New Roman" w:cs="Times New Roman"/>
          <w:iCs/>
          <w:sz w:val="24"/>
          <w:szCs w:val="24"/>
          <w:lang w:eastAsia="en-GB"/>
        </w:rPr>
        <w:t xml:space="preserve">winning project </w:t>
      </w:r>
      <w:r>
        <w:rPr>
          <w:rFonts w:ascii="Times New Roman" w:eastAsia="Times New Roman" w:hAnsi="Times New Roman" w:cs="Times New Roman"/>
          <w:iCs/>
          <w:sz w:val="24"/>
          <w:szCs w:val="24"/>
          <w:lang w:eastAsia="en-GB"/>
        </w:rPr>
        <w:t>"</w:t>
      </w:r>
      <w:r w:rsidR="00040652" w:rsidRPr="00395BEA">
        <w:rPr>
          <w:rFonts w:ascii="Times New Roman" w:eastAsia="Times New Roman" w:hAnsi="Times New Roman" w:cs="Times New Roman"/>
          <w:iCs/>
          <w:sz w:val="24"/>
          <w:szCs w:val="24"/>
          <w:lang w:eastAsia="en-GB"/>
        </w:rPr>
        <w:t xml:space="preserve">Development and consolidation of the National Commission for Financial Markets’ operational and institutional capacities in the field of prudential regulation </w:t>
      </w:r>
      <w:r w:rsidR="00040652" w:rsidRPr="001A306B">
        <w:rPr>
          <w:rFonts w:ascii="Times New Roman" w:eastAsia="Times New Roman" w:hAnsi="Times New Roman" w:cs="Times New Roman"/>
          <w:sz w:val="24"/>
          <w:szCs w:val="24"/>
          <w:lang w:eastAsia="en-GB"/>
        </w:rPr>
        <w:t>and supervision</w:t>
      </w:r>
      <w:r w:rsidRPr="001A306B">
        <w:rPr>
          <w:rFonts w:ascii="Times New Roman" w:eastAsia="Times New Roman" w:hAnsi="Times New Roman" w:cs="Times New Roman"/>
          <w:sz w:val="24"/>
          <w:szCs w:val="24"/>
          <w:lang w:eastAsia="en-GB"/>
        </w:rPr>
        <w:t xml:space="preserve">" was implemented in 2015-2017 in cooperation with Polish Financial Supervision Authority – KNF. </w:t>
      </w:r>
    </w:p>
    <w:p w:rsidR="00184B98" w:rsidRDefault="00184B98" w:rsidP="001A306B">
      <w:pPr>
        <w:autoSpaceDE w:val="0"/>
        <w:autoSpaceDN w:val="0"/>
        <w:adjustRightInd w:val="0"/>
        <w:spacing w:before="120" w:after="0" w:line="240" w:lineRule="auto"/>
        <w:jc w:val="both"/>
        <w:rPr>
          <w:rFonts w:ascii="Times New Roman" w:eastAsia="Times New Roman" w:hAnsi="Times New Roman" w:cs="Times New Roman"/>
          <w:iCs/>
          <w:sz w:val="24"/>
          <w:szCs w:val="24"/>
          <w:lang w:eastAsia="en-GB"/>
        </w:rPr>
      </w:pPr>
      <w:r w:rsidRPr="001A306B">
        <w:rPr>
          <w:rFonts w:ascii="Times New Roman" w:eastAsia="Times New Roman" w:hAnsi="Times New Roman" w:cs="Times New Roman"/>
          <w:sz w:val="24"/>
          <w:szCs w:val="24"/>
          <w:lang w:eastAsia="en-GB"/>
        </w:rPr>
        <w:t>Currently NCFM jointly with the World Bank team is preparing the initiation of the Insurance Market Reform Project with the financial support of FIRST Initiative. The project aims to strengthen the legal and regulatory framework for insurance in Moldova, addressing gaps in the provisions relating</w:t>
      </w:r>
      <w:r>
        <w:rPr>
          <w:rFonts w:ascii="Times New Roman" w:eastAsia="Times New Roman" w:hAnsi="Times New Roman" w:cs="Times New Roman"/>
          <w:iCs/>
          <w:sz w:val="24"/>
          <w:szCs w:val="24"/>
          <w:lang w:eastAsia="en-GB"/>
        </w:rPr>
        <w:t xml:space="preserve"> to capital adequacy, reserve requirements, claim service, auditing, corporate governance and other issues identified by the 2014 FSAP. The project shall also address the topics related to development of fit-and-proper requirements for shareholders, board members and management of insurers as well as development of minimum requirements for the audit of insurance companies. The implementation of the project has been coordinated with the EU and is in line with the commitments assumed in the EU-RM Association Agreement. The enhancement of the insurance legal and regulatory framework in line with the EU Directives and international standards together with improved supervisory capacity would serve as foundations for the sector growth in the long-term. </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3.4</w:t>
      </w:r>
      <w:r w:rsidRPr="00FB7749">
        <w:rPr>
          <w:rFonts w:ascii="Times New Roman" w:eastAsia="Times New Roman" w:hAnsi="Times New Roman" w:cs="Times New Roman"/>
          <w:sz w:val="24"/>
          <w:szCs w:val="24"/>
          <w:lang w:eastAsia="en-GB"/>
        </w:rPr>
        <w:tab/>
        <w:t xml:space="preserve">List of applicable </w:t>
      </w:r>
      <w:r w:rsidRPr="00FB7749">
        <w:rPr>
          <w:rFonts w:ascii="Times New Roman" w:eastAsia="Times New Roman" w:hAnsi="Times New Roman" w:cs="Times New Roman"/>
          <w:i/>
          <w:sz w:val="24"/>
          <w:szCs w:val="24"/>
          <w:lang w:eastAsia="en-GB"/>
        </w:rPr>
        <w:t>Union acquis</w:t>
      </w:r>
      <w:r w:rsidRPr="00FB7749">
        <w:rPr>
          <w:rFonts w:ascii="Times New Roman" w:eastAsia="Times New Roman" w:hAnsi="Times New Roman" w:cs="Times New Roman"/>
          <w:sz w:val="24"/>
          <w:szCs w:val="24"/>
          <w:lang w:eastAsia="en-GB"/>
        </w:rPr>
        <w:t>/standards/norms:</w:t>
      </w:r>
    </w:p>
    <w:p w:rsidR="00A67EF4" w:rsidRPr="00A2486C" w:rsidRDefault="00A2486C" w:rsidP="00A67EF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u w:val="single"/>
          <w:lang w:eastAsia="en-GB"/>
        </w:rPr>
        <w:t>For the b</w:t>
      </w:r>
      <w:r w:rsidR="00A67EF4" w:rsidRPr="00260C9A">
        <w:rPr>
          <w:rFonts w:ascii="Times New Roman" w:eastAsia="Times New Roman" w:hAnsi="Times New Roman" w:cs="Times New Roman"/>
          <w:sz w:val="24"/>
          <w:szCs w:val="24"/>
          <w:u w:val="single"/>
          <w:lang w:eastAsia="en-GB"/>
        </w:rPr>
        <w:t>anking sector</w:t>
      </w:r>
      <w:r>
        <w:rPr>
          <w:rFonts w:ascii="Times New Roman" w:eastAsia="Times New Roman" w:hAnsi="Times New Roman" w:cs="Times New Roman"/>
          <w:sz w:val="24"/>
          <w:szCs w:val="24"/>
          <w:u w:val="single"/>
          <w:lang w:eastAsia="en-GB"/>
        </w:rPr>
        <w:t>:</w:t>
      </w:r>
      <w:r w:rsidRPr="005B4597">
        <w:rPr>
          <w:rFonts w:ascii="Times New Roman" w:eastAsia="Times New Roman" w:hAnsi="Times New Roman" w:cs="Times New Roman"/>
          <w:sz w:val="24"/>
          <w:szCs w:val="24"/>
          <w:lang w:eastAsia="en-GB"/>
        </w:rPr>
        <w:t xml:space="preserve"> </w:t>
      </w:r>
      <w:r w:rsidRPr="00A2486C">
        <w:rPr>
          <w:rFonts w:ascii="Times New Roman" w:eastAsia="Times New Roman" w:hAnsi="Times New Roman" w:cs="Times New Roman"/>
          <w:sz w:val="24"/>
          <w:szCs w:val="24"/>
          <w:lang w:eastAsia="en-GB"/>
        </w:rPr>
        <w:t>Capital Requirements Directive (CRDIV/CRR Package), Bank Recovery and Resolution Directive (BRRD), EBA technical standards and guidance, ESRB recommendations.</w:t>
      </w:r>
    </w:p>
    <w:p w:rsidR="00A67EF4" w:rsidRPr="00A67EF4" w:rsidRDefault="00A2486C" w:rsidP="00A67EF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A2486C">
        <w:rPr>
          <w:rFonts w:ascii="Times New Roman" w:eastAsia="Times New Roman" w:hAnsi="Times New Roman" w:cs="Times New Roman"/>
          <w:sz w:val="24"/>
          <w:szCs w:val="24"/>
          <w:u w:val="single"/>
          <w:lang w:eastAsia="en-GB"/>
        </w:rPr>
        <w:t>For non-banking and insurance sectors</w:t>
      </w:r>
      <w:r>
        <w:rPr>
          <w:rFonts w:ascii="Times New Roman" w:eastAsia="Times New Roman" w:hAnsi="Times New Roman" w:cs="Times New Roman"/>
          <w:sz w:val="24"/>
          <w:szCs w:val="24"/>
          <w:lang w:eastAsia="en-GB"/>
        </w:rPr>
        <w:t xml:space="preserve">: </w:t>
      </w:r>
    </w:p>
    <w:p w:rsidR="00EF240E" w:rsidRPr="0083115C" w:rsidRDefault="00EF240E" w:rsidP="00EF240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03475">
        <w:rPr>
          <w:rFonts w:ascii="Times New Roman" w:hAnsi="Times New Roman" w:cs="Times New Roman"/>
          <w:sz w:val="24"/>
          <w:szCs w:val="24"/>
        </w:rPr>
        <w:t>Directive 2009/138/EC of 25.11.2009 on the establishment and performance of insurance and reinsurance activities (Solvency II)</w:t>
      </w:r>
      <w:r>
        <w:rPr>
          <w:rFonts w:ascii="Times New Roman" w:hAnsi="Times New Roman" w:cs="Times New Roman"/>
          <w:sz w:val="24"/>
          <w:szCs w:val="24"/>
        </w:rPr>
        <w:t>, Directive 2016/97 of 20.01.2016 on insurance distribution (</w:t>
      </w:r>
      <w:r w:rsidRPr="00803475">
        <w:rPr>
          <w:rFonts w:ascii="Times New Roman" w:hAnsi="Times New Roman" w:cs="Times New Roman"/>
          <w:sz w:val="24"/>
          <w:szCs w:val="24"/>
        </w:rPr>
        <w:t>IDD Directive</w:t>
      </w:r>
      <w:r>
        <w:rPr>
          <w:rFonts w:ascii="Times New Roman" w:hAnsi="Times New Roman" w:cs="Times New Roman"/>
          <w:sz w:val="24"/>
          <w:szCs w:val="24"/>
        </w:rPr>
        <w:t>)</w:t>
      </w:r>
      <w:r w:rsidRPr="00803475">
        <w:rPr>
          <w:rFonts w:ascii="Times New Roman" w:hAnsi="Times New Roman" w:cs="Times New Roman"/>
          <w:sz w:val="24"/>
          <w:szCs w:val="24"/>
        </w:rPr>
        <w:t>, Directiv</w:t>
      </w:r>
      <w:r>
        <w:rPr>
          <w:rFonts w:ascii="Times New Roman" w:hAnsi="Times New Roman" w:cs="Times New Roman"/>
          <w:sz w:val="24"/>
          <w:szCs w:val="24"/>
        </w:rPr>
        <w:t>e 2009/103/Ec of 16.09.2009 relating to insurance against civil liability in respect of the use of motor vehicles, and the enforcement of the obligation to insure against such liability (MTPL Directive), Directive</w:t>
      </w:r>
      <w:r w:rsidRPr="00803475">
        <w:rPr>
          <w:rFonts w:ascii="Times New Roman" w:hAnsi="Times New Roman" w:cs="Times New Roman"/>
          <w:sz w:val="24"/>
          <w:szCs w:val="24"/>
        </w:rPr>
        <w:t xml:space="preserve"> 91</w:t>
      </w:r>
      <w:r>
        <w:rPr>
          <w:rFonts w:ascii="Times New Roman" w:hAnsi="Times New Roman" w:cs="Times New Roman"/>
          <w:sz w:val="24"/>
          <w:szCs w:val="24"/>
        </w:rPr>
        <w:t xml:space="preserve">/674 of 19.12.1991 on the annual accounts and consolidated accounts of insurance undertakings. </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3.5</w:t>
      </w:r>
      <w:r w:rsidRPr="00FB7749">
        <w:rPr>
          <w:rFonts w:ascii="Times New Roman" w:eastAsia="Times New Roman" w:hAnsi="Times New Roman" w:cs="Times New Roman"/>
          <w:sz w:val="24"/>
          <w:szCs w:val="24"/>
          <w:lang w:eastAsia="en-GB"/>
        </w:rPr>
        <w:tab/>
        <w:t>Results per component</w:t>
      </w:r>
    </w:p>
    <w:p w:rsidR="00B03BBE" w:rsidRPr="00CC1C5C" w:rsidRDefault="00B03BBE" w:rsidP="00B03BBE">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CC1C5C">
        <w:rPr>
          <w:rFonts w:ascii="Times New Roman" w:eastAsia="Times New Roman" w:hAnsi="Times New Roman" w:cs="Times New Roman"/>
          <w:b/>
          <w:sz w:val="24"/>
          <w:szCs w:val="24"/>
          <w:lang w:eastAsia="en-GB"/>
        </w:rPr>
        <w:t>Component 1</w:t>
      </w:r>
      <w:r w:rsidR="00721E40" w:rsidRPr="00CC1C5C">
        <w:rPr>
          <w:rFonts w:ascii="Times New Roman" w:eastAsia="Times New Roman" w:hAnsi="Times New Roman" w:cs="Times New Roman"/>
          <w:b/>
          <w:sz w:val="24"/>
          <w:szCs w:val="24"/>
          <w:lang w:eastAsia="en-GB"/>
        </w:rPr>
        <w:t>: Implementation of new supervisory framework and application of supervisory measures and powers</w:t>
      </w:r>
    </w:p>
    <w:p w:rsidR="00B03BBE" w:rsidRPr="004848F0" w:rsidRDefault="00B03BBE" w:rsidP="00B03B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848F0">
        <w:rPr>
          <w:rFonts w:ascii="Times New Roman" w:eastAsia="Times New Roman" w:hAnsi="Times New Roman" w:cs="Times New Roman"/>
          <w:sz w:val="24"/>
          <w:szCs w:val="24"/>
          <w:lang w:eastAsia="en-GB"/>
        </w:rPr>
        <w:t>Mandatory result 1:</w:t>
      </w:r>
      <w:r w:rsidR="00721E40" w:rsidRPr="00CC1C5C">
        <w:t xml:space="preserve"> </w:t>
      </w:r>
      <w:r w:rsidR="001C7042" w:rsidRPr="004848F0">
        <w:rPr>
          <w:rFonts w:ascii="Times New Roman" w:eastAsia="Times New Roman" w:hAnsi="Times New Roman" w:cs="Times New Roman"/>
          <w:sz w:val="24"/>
          <w:szCs w:val="24"/>
          <w:lang w:eastAsia="en-GB"/>
        </w:rPr>
        <w:t>Supervision framework in line with Basel III principles is fully implemented</w:t>
      </w:r>
      <w:r w:rsidR="00011609" w:rsidRPr="004848F0">
        <w:rPr>
          <w:rFonts w:ascii="Times New Roman" w:eastAsia="Times New Roman" w:hAnsi="Times New Roman" w:cs="Times New Roman"/>
          <w:sz w:val="24"/>
          <w:szCs w:val="24"/>
          <w:lang w:eastAsia="en-GB"/>
        </w:rPr>
        <w:t xml:space="preserve">. </w:t>
      </w:r>
    </w:p>
    <w:p w:rsidR="00721E40" w:rsidRPr="00CC1C5C" w:rsidRDefault="00721E40" w:rsidP="00B03B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In the context of Result 1 the following benchmarks will be achieved:</w:t>
      </w:r>
    </w:p>
    <w:p w:rsidR="00721E40" w:rsidRPr="00CC1C5C" w:rsidRDefault="00721E40" w:rsidP="00060A98">
      <w:pPr>
        <w:pStyle w:val="ListParagraph"/>
        <w:numPr>
          <w:ilvl w:val="0"/>
          <w:numId w:val="14"/>
        </w:numPr>
        <w:tabs>
          <w:tab w:val="left" w:pos="1080"/>
        </w:tabs>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Decreas</w:t>
      </w:r>
      <w:r w:rsidR="00011609">
        <w:rPr>
          <w:rFonts w:ascii="Times New Roman" w:eastAsia="Times New Roman" w:hAnsi="Times New Roman" w:cs="Times New Roman"/>
          <w:sz w:val="24"/>
          <w:szCs w:val="24"/>
          <w:lang w:eastAsia="en-GB"/>
        </w:rPr>
        <w:t>ed</w:t>
      </w:r>
      <w:r w:rsidRPr="00CC1C5C">
        <w:rPr>
          <w:rFonts w:ascii="Times New Roman" w:eastAsia="Times New Roman" w:hAnsi="Times New Roman" w:cs="Times New Roman"/>
          <w:sz w:val="24"/>
          <w:szCs w:val="24"/>
          <w:lang w:eastAsia="en-GB"/>
        </w:rPr>
        <w:t xml:space="preserve"> number of banks, which present to NBM non-accurate reports (COREP) for </w:t>
      </w:r>
      <w:r w:rsidR="00D6258C" w:rsidRPr="00CC1C5C">
        <w:rPr>
          <w:rFonts w:ascii="Times New Roman" w:eastAsia="Times New Roman" w:hAnsi="Times New Roman" w:cs="Times New Roman"/>
          <w:sz w:val="24"/>
          <w:szCs w:val="24"/>
          <w:lang w:eastAsia="en-GB"/>
        </w:rPr>
        <w:t>risks identif</w:t>
      </w:r>
      <w:r w:rsidRPr="00CC1C5C">
        <w:rPr>
          <w:rFonts w:ascii="Times New Roman" w:eastAsia="Times New Roman" w:hAnsi="Times New Roman" w:cs="Times New Roman"/>
          <w:sz w:val="24"/>
          <w:szCs w:val="24"/>
          <w:lang w:eastAsia="en-GB"/>
        </w:rPr>
        <w:t>i</w:t>
      </w:r>
      <w:r w:rsidR="00D6258C" w:rsidRPr="00CC1C5C">
        <w:rPr>
          <w:rFonts w:ascii="Times New Roman" w:eastAsia="Times New Roman" w:hAnsi="Times New Roman" w:cs="Times New Roman"/>
          <w:sz w:val="24"/>
          <w:szCs w:val="24"/>
          <w:lang w:eastAsia="en-GB"/>
        </w:rPr>
        <w:t>cation</w:t>
      </w:r>
      <w:r w:rsidRPr="00CC1C5C">
        <w:rPr>
          <w:rFonts w:ascii="Times New Roman" w:eastAsia="Times New Roman" w:hAnsi="Times New Roman" w:cs="Times New Roman"/>
          <w:sz w:val="24"/>
          <w:szCs w:val="24"/>
          <w:lang w:eastAsia="en-GB"/>
        </w:rPr>
        <w:t xml:space="preserve"> at an early stage</w:t>
      </w:r>
      <w:r w:rsidR="00C76C36">
        <w:rPr>
          <w:rFonts w:ascii="Times New Roman" w:eastAsia="Times New Roman" w:hAnsi="Times New Roman" w:cs="Times New Roman"/>
          <w:sz w:val="24"/>
          <w:szCs w:val="24"/>
          <w:lang w:eastAsia="en-GB"/>
        </w:rPr>
        <w:t>;</w:t>
      </w:r>
    </w:p>
    <w:p w:rsidR="00721E40" w:rsidRPr="00CC1C5C" w:rsidRDefault="00011609" w:rsidP="00060A98">
      <w:pPr>
        <w:pStyle w:val="ListParagraph"/>
        <w:numPr>
          <w:ilvl w:val="0"/>
          <w:numId w:val="14"/>
        </w:numPr>
        <w:tabs>
          <w:tab w:val="left" w:pos="1080"/>
        </w:tabs>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Decreas</w:t>
      </w:r>
      <w:r>
        <w:rPr>
          <w:rFonts w:ascii="Times New Roman" w:eastAsia="Times New Roman" w:hAnsi="Times New Roman" w:cs="Times New Roman"/>
          <w:sz w:val="24"/>
          <w:szCs w:val="24"/>
          <w:lang w:eastAsia="en-GB"/>
        </w:rPr>
        <w:t>ed</w:t>
      </w:r>
      <w:r w:rsidRPr="00CC1C5C">
        <w:rPr>
          <w:rFonts w:ascii="Times New Roman" w:eastAsia="Times New Roman" w:hAnsi="Times New Roman" w:cs="Times New Roman"/>
          <w:sz w:val="24"/>
          <w:szCs w:val="24"/>
          <w:lang w:eastAsia="en-GB"/>
        </w:rPr>
        <w:t xml:space="preserve"> </w:t>
      </w:r>
      <w:r w:rsidR="00721E40" w:rsidRPr="00CC1C5C">
        <w:rPr>
          <w:rFonts w:ascii="Times New Roman" w:eastAsia="Times New Roman" w:hAnsi="Times New Roman" w:cs="Times New Roman"/>
          <w:sz w:val="24"/>
          <w:szCs w:val="24"/>
          <w:lang w:eastAsia="en-GB"/>
        </w:rPr>
        <w:t>number of banks with the highest (riskiest) overall SREP score for less risk-taking</w:t>
      </w:r>
      <w:r w:rsidR="00C76C36">
        <w:rPr>
          <w:rFonts w:ascii="Times New Roman" w:eastAsia="Times New Roman" w:hAnsi="Times New Roman" w:cs="Times New Roman"/>
          <w:sz w:val="24"/>
          <w:szCs w:val="24"/>
          <w:lang w:eastAsia="en-GB"/>
        </w:rPr>
        <w:t>;</w:t>
      </w:r>
    </w:p>
    <w:p w:rsidR="00721E40" w:rsidRPr="00CC1C5C" w:rsidRDefault="00011609" w:rsidP="00060A98">
      <w:pPr>
        <w:pStyle w:val="ListParagraph"/>
        <w:numPr>
          <w:ilvl w:val="0"/>
          <w:numId w:val="14"/>
        </w:numPr>
        <w:tabs>
          <w:tab w:val="left" w:pos="1080"/>
        </w:tabs>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Increas</w:t>
      </w:r>
      <w:r>
        <w:rPr>
          <w:rFonts w:ascii="Times New Roman" w:eastAsia="Times New Roman" w:hAnsi="Times New Roman" w:cs="Times New Roman"/>
          <w:sz w:val="24"/>
          <w:szCs w:val="24"/>
          <w:lang w:eastAsia="en-GB"/>
        </w:rPr>
        <w:t>ed</w:t>
      </w:r>
      <w:r w:rsidRPr="00CC1C5C">
        <w:rPr>
          <w:rFonts w:ascii="Times New Roman" w:eastAsia="Times New Roman" w:hAnsi="Times New Roman" w:cs="Times New Roman"/>
          <w:sz w:val="24"/>
          <w:szCs w:val="24"/>
          <w:lang w:eastAsia="en-GB"/>
        </w:rPr>
        <w:t xml:space="preserve"> </w:t>
      </w:r>
      <w:r w:rsidR="00721E40" w:rsidRPr="00CC1C5C">
        <w:rPr>
          <w:rFonts w:ascii="Times New Roman" w:eastAsia="Times New Roman" w:hAnsi="Times New Roman" w:cs="Times New Roman"/>
          <w:sz w:val="24"/>
          <w:szCs w:val="24"/>
          <w:lang w:eastAsia="en-GB"/>
        </w:rPr>
        <w:t>number of banks with additional own funds requirements determined by NBM’s SREP capital assessment for higher capitalization</w:t>
      </w:r>
      <w:r w:rsidR="00C76C36">
        <w:rPr>
          <w:rFonts w:ascii="Times New Roman" w:eastAsia="Times New Roman" w:hAnsi="Times New Roman" w:cs="Times New Roman"/>
          <w:sz w:val="24"/>
          <w:szCs w:val="24"/>
          <w:lang w:eastAsia="en-GB"/>
        </w:rPr>
        <w:t>;</w:t>
      </w:r>
    </w:p>
    <w:p w:rsidR="00721E40" w:rsidRPr="00CC1C5C" w:rsidRDefault="00011609" w:rsidP="00060A98">
      <w:pPr>
        <w:pStyle w:val="ListParagraph"/>
        <w:numPr>
          <w:ilvl w:val="0"/>
          <w:numId w:val="14"/>
        </w:numPr>
        <w:tabs>
          <w:tab w:val="left" w:pos="1080"/>
        </w:tabs>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Decreas</w:t>
      </w:r>
      <w:r>
        <w:rPr>
          <w:rFonts w:ascii="Times New Roman" w:eastAsia="Times New Roman" w:hAnsi="Times New Roman" w:cs="Times New Roman"/>
          <w:sz w:val="24"/>
          <w:szCs w:val="24"/>
          <w:lang w:eastAsia="en-GB"/>
        </w:rPr>
        <w:t>ed</w:t>
      </w:r>
      <w:r w:rsidRPr="00CC1C5C">
        <w:rPr>
          <w:rFonts w:ascii="Times New Roman" w:eastAsia="Times New Roman" w:hAnsi="Times New Roman" w:cs="Times New Roman"/>
          <w:sz w:val="24"/>
          <w:szCs w:val="24"/>
          <w:lang w:eastAsia="en-GB"/>
        </w:rPr>
        <w:t xml:space="preserve"> </w:t>
      </w:r>
      <w:r w:rsidR="00721E40" w:rsidRPr="00CC1C5C">
        <w:rPr>
          <w:rFonts w:ascii="Times New Roman" w:eastAsia="Times New Roman" w:hAnsi="Times New Roman" w:cs="Times New Roman"/>
          <w:sz w:val="24"/>
          <w:szCs w:val="24"/>
          <w:lang w:eastAsia="en-GB"/>
        </w:rPr>
        <w:t>number of banks w</w:t>
      </w:r>
      <w:r w:rsidR="00D04E0B" w:rsidRPr="00CC1C5C">
        <w:rPr>
          <w:rFonts w:ascii="Times New Roman" w:eastAsia="Times New Roman" w:hAnsi="Times New Roman" w:cs="Times New Roman"/>
          <w:sz w:val="24"/>
          <w:szCs w:val="24"/>
          <w:lang w:eastAsia="en-GB"/>
        </w:rPr>
        <w:t>ith weak</w:t>
      </w:r>
      <w:r w:rsidR="00721E40" w:rsidRPr="00CC1C5C">
        <w:rPr>
          <w:rFonts w:ascii="Times New Roman" w:eastAsia="Times New Roman" w:hAnsi="Times New Roman" w:cs="Times New Roman"/>
          <w:sz w:val="24"/>
          <w:szCs w:val="24"/>
          <w:lang w:eastAsia="en-GB"/>
        </w:rPr>
        <w:t xml:space="preserve"> compl</w:t>
      </w:r>
      <w:r w:rsidR="00D04E0B" w:rsidRPr="00CC1C5C">
        <w:rPr>
          <w:rFonts w:ascii="Times New Roman" w:eastAsia="Times New Roman" w:hAnsi="Times New Roman" w:cs="Times New Roman"/>
          <w:sz w:val="24"/>
          <w:szCs w:val="24"/>
          <w:lang w:eastAsia="en-GB"/>
        </w:rPr>
        <w:t>iance</w:t>
      </w:r>
      <w:r w:rsidR="00721E40" w:rsidRPr="00CC1C5C">
        <w:rPr>
          <w:rFonts w:ascii="Times New Roman" w:eastAsia="Times New Roman" w:hAnsi="Times New Roman" w:cs="Times New Roman"/>
          <w:sz w:val="24"/>
          <w:szCs w:val="24"/>
          <w:lang w:eastAsia="en-GB"/>
        </w:rPr>
        <w:t xml:space="preserve"> with requirements regarding internal governance and risk management determined by </w:t>
      </w:r>
      <w:r w:rsidR="003F3C67" w:rsidRPr="00CC1C5C">
        <w:rPr>
          <w:rFonts w:ascii="Times New Roman" w:eastAsia="Times New Roman" w:hAnsi="Times New Roman" w:cs="Times New Roman"/>
          <w:sz w:val="24"/>
          <w:szCs w:val="24"/>
          <w:lang w:eastAsia="en-GB"/>
        </w:rPr>
        <w:t>NBM ‘</w:t>
      </w:r>
      <w:r w:rsidR="00721E40" w:rsidRPr="00CC1C5C">
        <w:rPr>
          <w:rFonts w:ascii="Times New Roman" w:eastAsia="Times New Roman" w:hAnsi="Times New Roman" w:cs="Times New Roman"/>
          <w:sz w:val="24"/>
          <w:szCs w:val="24"/>
          <w:lang w:eastAsia="en-GB"/>
        </w:rPr>
        <w:t>s SREP risk assessment</w:t>
      </w:r>
      <w:r w:rsidR="00C76C36">
        <w:t>;</w:t>
      </w:r>
    </w:p>
    <w:p w:rsidR="00721E40" w:rsidRPr="00CC1C5C" w:rsidRDefault="00011609" w:rsidP="00060A98">
      <w:pPr>
        <w:pStyle w:val="ListParagraph"/>
        <w:numPr>
          <w:ilvl w:val="0"/>
          <w:numId w:val="14"/>
        </w:numPr>
        <w:tabs>
          <w:tab w:val="left" w:pos="1080"/>
        </w:tabs>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Increas</w:t>
      </w:r>
      <w:r>
        <w:rPr>
          <w:rFonts w:ascii="Times New Roman" w:eastAsia="Times New Roman" w:hAnsi="Times New Roman" w:cs="Times New Roman"/>
          <w:sz w:val="24"/>
          <w:szCs w:val="24"/>
          <w:lang w:eastAsia="en-GB"/>
        </w:rPr>
        <w:t>ed</w:t>
      </w:r>
      <w:r w:rsidRPr="00CC1C5C">
        <w:rPr>
          <w:rFonts w:ascii="Times New Roman" w:eastAsia="Times New Roman" w:hAnsi="Times New Roman" w:cs="Times New Roman"/>
          <w:sz w:val="24"/>
          <w:szCs w:val="24"/>
          <w:lang w:eastAsia="en-GB"/>
        </w:rPr>
        <w:t xml:space="preserve"> </w:t>
      </w:r>
      <w:r w:rsidR="00721E40" w:rsidRPr="00CC1C5C">
        <w:rPr>
          <w:rFonts w:ascii="Times New Roman" w:eastAsia="Times New Roman" w:hAnsi="Times New Roman" w:cs="Times New Roman"/>
          <w:sz w:val="24"/>
          <w:szCs w:val="24"/>
          <w:lang w:eastAsia="en-GB"/>
        </w:rPr>
        <w:t>number of</w:t>
      </w:r>
      <w:r w:rsidR="00D04E0B" w:rsidRPr="00CC1C5C">
        <w:rPr>
          <w:rFonts w:ascii="Times New Roman" w:eastAsia="Times New Roman" w:hAnsi="Times New Roman" w:cs="Times New Roman"/>
          <w:sz w:val="24"/>
          <w:szCs w:val="24"/>
          <w:lang w:eastAsia="en-GB"/>
        </w:rPr>
        <w:t xml:space="preserve"> prompt and effective</w:t>
      </w:r>
      <w:r w:rsidR="00721E40" w:rsidRPr="00CC1C5C">
        <w:rPr>
          <w:rFonts w:ascii="Times New Roman" w:eastAsia="Times New Roman" w:hAnsi="Times New Roman" w:cs="Times New Roman"/>
          <w:sz w:val="24"/>
          <w:szCs w:val="24"/>
          <w:lang w:eastAsia="en-GB"/>
        </w:rPr>
        <w:t xml:space="preserve"> corrective and sanctioning measures for banks applied by NBM for acting at an early stage to address unsafe and unsound practices</w:t>
      </w:r>
      <w:r w:rsidR="00C76C36">
        <w:rPr>
          <w:rFonts w:ascii="Times New Roman" w:eastAsia="Times New Roman" w:hAnsi="Times New Roman" w:cs="Times New Roman"/>
          <w:sz w:val="24"/>
          <w:szCs w:val="24"/>
          <w:lang w:eastAsia="en-GB"/>
        </w:rPr>
        <w:t>;</w:t>
      </w:r>
    </w:p>
    <w:p w:rsidR="00721E40" w:rsidRPr="00CC1C5C" w:rsidRDefault="00011609" w:rsidP="00060A98">
      <w:pPr>
        <w:pStyle w:val="ListParagraph"/>
        <w:numPr>
          <w:ilvl w:val="0"/>
          <w:numId w:val="14"/>
        </w:numPr>
        <w:tabs>
          <w:tab w:val="left" w:pos="1080"/>
        </w:tabs>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D6258C" w:rsidRPr="00CC1C5C">
        <w:rPr>
          <w:rFonts w:ascii="Times New Roman" w:eastAsia="Times New Roman" w:hAnsi="Times New Roman" w:cs="Times New Roman"/>
          <w:sz w:val="24"/>
          <w:szCs w:val="24"/>
          <w:lang w:eastAsia="en-GB"/>
        </w:rPr>
        <w:t xml:space="preserve"> “Largely compliant” level of compliance with BCBS Core Principle for Effective Banking Supervision (Principles 8, 9, 10, 11, 13, 14-26) </w:t>
      </w:r>
      <w:r>
        <w:rPr>
          <w:rFonts w:ascii="Times New Roman" w:eastAsia="Times New Roman" w:hAnsi="Times New Roman" w:cs="Times New Roman"/>
          <w:sz w:val="24"/>
          <w:szCs w:val="24"/>
          <w:lang w:eastAsia="en-GB"/>
        </w:rPr>
        <w:t>is achieved by</w:t>
      </w:r>
      <w:r w:rsidR="00D6258C" w:rsidRPr="00CC1C5C">
        <w:rPr>
          <w:rFonts w:ascii="Times New Roman" w:eastAsia="Times New Roman" w:hAnsi="Times New Roman" w:cs="Times New Roman"/>
          <w:sz w:val="24"/>
          <w:szCs w:val="24"/>
          <w:lang w:eastAsia="en-GB"/>
        </w:rPr>
        <w:t xml:space="preserve"> the next </w:t>
      </w:r>
      <w:r w:rsidR="00721E40" w:rsidRPr="00CC1C5C">
        <w:rPr>
          <w:rFonts w:ascii="Times New Roman" w:eastAsia="Times New Roman" w:hAnsi="Times New Roman" w:cs="Times New Roman"/>
          <w:sz w:val="24"/>
          <w:szCs w:val="24"/>
          <w:lang w:eastAsia="en-GB"/>
        </w:rPr>
        <w:t>IMF/WB FSAP assess</w:t>
      </w:r>
      <w:r w:rsidR="00D6258C" w:rsidRPr="00CC1C5C">
        <w:rPr>
          <w:rFonts w:ascii="Times New Roman" w:eastAsia="Times New Roman" w:hAnsi="Times New Roman" w:cs="Times New Roman"/>
          <w:sz w:val="24"/>
          <w:szCs w:val="24"/>
          <w:lang w:eastAsia="en-GB"/>
        </w:rPr>
        <w:t>ment of NBM banking supervision</w:t>
      </w:r>
      <w:r>
        <w:rPr>
          <w:rFonts w:ascii="Times New Roman" w:eastAsia="Times New Roman" w:hAnsi="Times New Roman" w:cs="Times New Roman"/>
          <w:sz w:val="24"/>
          <w:szCs w:val="24"/>
          <w:lang w:eastAsia="en-GB"/>
        </w:rPr>
        <w:t>.</w:t>
      </w:r>
    </w:p>
    <w:p w:rsidR="00011609" w:rsidRDefault="009B22E5" w:rsidP="00B03B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terms of outcome, t</w:t>
      </w:r>
      <w:r w:rsidR="003735AB">
        <w:rPr>
          <w:rFonts w:ascii="Times New Roman" w:eastAsia="Times New Roman" w:hAnsi="Times New Roman" w:cs="Times New Roman"/>
          <w:sz w:val="24"/>
          <w:szCs w:val="24"/>
          <w:lang w:eastAsia="en-GB"/>
        </w:rPr>
        <w:t xml:space="preserve">he assistance under this component </w:t>
      </w:r>
      <w:r>
        <w:rPr>
          <w:rFonts w:ascii="Times New Roman" w:eastAsia="Times New Roman" w:hAnsi="Times New Roman" w:cs="Times New Roman"/>
          <w:sz w:val="24"/>
          <w:szCs w:val="24"/>
          <w:lang w:eastAsia="en-GB"/>
        </w:rPr>
        <w:t>s</w:t>
      </w:r>
      <w:r w:rsidR="00011609">
        <w:rPr>
          <w:rFonts w:ascii="Times New Roman" w:eastAsia="Times New Roman" w:hAnsi="Times New Roman" w:cs="Times New Roman"/>
          <w:sz w:val="24"/>
          <w:szCs w:val="24"/>
          <w:lang w:eastAsia="en-GB"/>
        </w:rPr>
        <w:t xml:space="preserve">hould lead to an increased </w:t>
      </w:r>
      <w:r w:rsidR="00011609" w:rsidRPr="00CC1C5C">
        <w:rPr>
          <w:rFonts w:ascii="Times New Roman" w:eastAsia="Times New Roman" w:hAnsi="Times New Roman" w:cs="Times New Roman"/>
          <w:sz w:val="24"/>
          <w:szCs w:val="24"/>
          <w:lang w:eastAsia="en-GB"/>
        </w:rPr>
        <w:t xml:space="preserve">safety and soundness of banks due to their </w:t>
      </w:r>
      <w:r w:rsidR="008A2A02">
        <w:rPr>
          <w:rFonts w:ascii="Times New Roman" w:eastAsia="Times New Roman" w:hAnsi="Times New Roman" w:cs="Times New Roman"/>
          <w:sz w:val="24"/>
          <w:szCs w:val="24"/>
          <w:lang w:eastAsia="en-GB"/>
        </w:rPr>
        <w:t>adequate</w:t>
      </w:r>
      <w:r w:rsidR="00011609" w:rsidRPr="00CC1C5C">
        <w:rPr>
          <w:rFonts w:ascii="Times New Roman" w:eastAsia="Times New Roman" w:hAnsi="Times New Roman" w:cs="Times New Roman"/>
          <w:sz w:val="24"/>
          <w:szCs w:val="24"/>
          <w:lang w:eastAsia="en-GB"/>
        </w:rPr>
        <w:t xml:space="preserve"> capitalization and stronger governance</w:t>
      </w:r>
      <w:r w:rsidR="0083564E">
        <w:rPr>
          <w:rFonts w:ascii="Times New Roman" w:eastAsia="Times New Roman" w:hAnsi="Times New Roman" w:cs="Times New Roman"/>
          <w:sz w:val="24"/>
          <w:szCs w:val="24"/>
          <w:lang w:eastAsia="en-GB"/>
        </w:rPr>
        <w:t>.</w:t>
      </w:r>
    </w:p>
    <w:p w:rsidR="00B03BBE" w:rsidRPr="00CC1C5C" w:rsidRDefault="00D6258C" w:rsidP="00B03B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T</w:t>
      </w:r>
      <w:r w:rsidR="00B03BBE" w:rsidRPr="00CC1C5C">
        <w:rPr>
          <w:rFonts w:ascii="Times New Roman" w:eastAsia="Times New Roman" w:hAnsi="Times New Roman" w:cs="Times New Roman"/>
          <w:sz w:val="24"/>
          <w:szCs w:val="24"/>
          <w:lang w:eastAsia="en-GB"/>
        </w:rPr>
        <w:t xml:space="preserve">he above-mentioned result </w:t>
      </w:r>
      <w:r w:rsidR="00012EE1">
        <w:rPr>
          <w:rFonts w:ascii="Times New Roman" w:eastAsia="Times New Roman" w:hAnsi="Times New Roman" w:cs="Times New Roman"/>
          <w:sz w:val="24"/>
          <w:szCs w:val="24"/>
          <w:lang w:eastAsia="en-GB"/>
        </w:rPr>
        <w:t>will</w:t>
      </w:r>
      <w:r w:rsidR="00012EE1" w:rsidRPr="00CC1C5C">
        <w:rPr>
          <w:rFonts w:ascii="Times New Roman" w:eastAsia="Times New Roman" w:hAnsi="Times New Roman" w:cs="Times New Roman"/>
          <w:sz w:val="24"/>
          <w:szCs w:val="24"/>
          <w:lang w:eastAsia="en-GB"/>
        </w:rPr>
        <w:t xml:space="preserve"> </w:t>
      </w:r>
      <w:r w:rsidR="00B03BBE" w:rsidRPr="00CC1C5C">
        <w:rPr>
          <w:rFonts w:ascii="Times New Roman" w:eastAsia="Times New Roman" w:hAnsi="Times New Roman" w:cs="Times New Roman"/>
          <w:sz w:val="24"/>
          <w:szCs w:val="24"/>
          <w:lang w:eastAsia="en-GB"/>
        </w:rPr>
        <w:t>be achieved</w:t>
      </w:r>
      <w:r w:rsidR="00012EE1">
        <w:rPr>
          <w:rFonts w:ascii="Times New Roman" w:eastAsia="Times New Roman" w:hAnsi="Times New Roman" w:cs="Times New Roman"/>
          <w:sz w:val="24"/>
          <w:szCs w:val="24"/>
          <w:lang w:eastAsia="en-GB"/>
        </w:rPr>
        <w:t xml:space="preserve"> by</w:t>
      </w:r>
      <w:r w:rsidR="00B03BBE" w:rsidRPr="00CC1C5C">
        <w:rPr>
          <w:rFonts w:ascii="Times New Roman" w:eastAsia="Times New Roman" w:hAnsi="Times New Roman" w:cs="Times New Roman"/>
          <w:sz w:val="24"/>
          <w:szCs w:val="24"/>
          <w:lang w:eastAsia="en-GB"/>
        </w:rPr>
        <w:t>:</w:t>
      </w:r>
    </w:p>
    <w:p w:rsidR="00DE480F" w:rsidRPr="00CC1C5C" w:rsidRDefault="00DE480F" w:rsidP="00AE758B">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Development, approval, implementation and monitoring of effectiveness of the new regulations/internal procedures/guidelines/framework for prudential banking supervision, in order to be aligned with Pillar I and Pillar II requir</w:t>
      </w:r>
      <w:r w:rsidR="0064776D">
        <w:rPr>
          <w:rFonts w:ascii="Times New Roman" w:eastAsia="Times New Roman" w:hAnsi="Times New Roman" w:cs="Times New Roman"/>
          <w:sz w:val="24"/>
          <w:szCs w:val="24"/>
          <w:lang w:eastAsia="en-GB"/>
        </w:rPr>
        <w:t>e</w:t>
      </w:r>
      <w:r w:rsidRPr="00CC1C5C">
        <w:rPr>
          <w:rFonts w:ascii="Times New Roman" w:eastAsia="Times New Roman" w:hAnsi="Times New Roman" w:cs="Times New Roman"/>
          <w:sz w:val="24"/>
          <w:szCs w:val="24"/>
          <w:lang w:eastAsia="en-GB"/>
        </w:rPr>
        <w:t>ments of EU CRDIV/CRR (Basel III), BCBS Core Principle for Effective Banking Supervision and best practices (Risk Assessment System (RAS); Annual Supervisory Examination Programme (SEP); On-site inspection plan, programme, report in using SREP concept; Risk-based, forward-looking, judgment supervision; cooperation with foreign supervisory authorities)</w:t>
      </w:r>
      <w:r>
        <w:rPr>
          <w:rFonts w:ascii="Times New Roman" w:eastAsia="Times New Roman" w:hAnsi="Times New Roman" w:cs="Times New Roman"/>
          <w:sz w:val="24"/>
          <w:szCs w:val="24"/>
          <w:lang w:eastAsia="en-GB"/>
        </w:rPr>
        <w:t>;</w:t>
      </w:r>
    </w:p>
    <w:p w:rsidR="0096534D" w:rsidRPr="00CC1C5C" w:rsidRDefault="00DE480F" w:rsidP="00AE758B">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Capacity building (</w:t>
      </w:r>
      <w:r w:rsidR="00493A1A" w:rsidRPr="00CC1C5C">
        <w:rPr>
          <w:rFonts w:ascii="Times New Roman" w:eastAsia="Times New Roman" w:hAnsi="Times New Roman" w:cs="Times New Roman"/>
          <w:sz w:val="24"/>
          <w:szCs w:val="24"/>
          <w:lang w:eastAsia="en-GB"/>
        </w:rPr>
        <w:t>seminars</w:t>
      </w:r>
      <w:r>
        <w:rPr>
          <w:rFonts w:ascii="Times New Roman" w:eastAsia="Times New Roman" w:hAnsi="Times New Roman" w:cs="Times New Roman"/>
          <w:sz w:val="24"/>
          <w:szCs w:val="24"/>
          <w:lang w:eastAsia="en-GB"/>
        </w:rPr>
        <w:t>, tr</w:t>
      </w:r>
      <w:r w:rsidR="00493A1A" w:rsidRPr="00CC1C5C">
        <w:rPr>
          <w:rFonts w:ascii="Times New Roman" w:eastAsia="Times New Roman" w:hAnsi="Times New Roman" w:cs="Times New Roman"/>
          <w:sz w:val="24"/>
          <w:szCs w:val="24"/>
          <w:lang w:eastAsia="en-GB"/>
        </w:rPr>
        <w:t>aining</w:t>
      </w:r>
      <w:r>
        <w:rPr>
          <w:rFonts w:ascii="Times New Roman" w:eastAsia="Times New Roman" w:hAnsi="Times New Roman" w:cs="Times New Roman"/>
          <w:sz w:val="24"/>
          <w:szCs w:val="24"/>
          <w:lang w:eastAsia="en-GB"/>
        </w:rPr>
        <w:t>, on-job training) to</w:t>
      </w:r>
      <w:r w:rsidR="00493A1A" w:rsidRPr="00CC1C5C">
        <w:rPr>
          <w:rFonts w:ascii="Times New Roman" w:eastAsia="Times New Roman" w:hAnsi="Times New Roman" w:cs="Times New Roman"/>
          <w:sz w:val="24"/>
          <w:szCs w:val="24"/>
          <w:lang w:eastAsia="en-GB"/>
        </w:rPr>
        <w:t xml:space="preserve"> the NBM banking supervisors and banks on Pillar I requirements (standardized approach), on assessing bank’s internal governance, risk profile and control (credit, </w:t>
      </w:r>
      <w:r w:rsidR="00FE7F15">
        <w:rPr>
          <w:rFonts w:ascii="Times New Roman" w:eastAsia="Times New Roman" w:hAnsi="Times New Roman" w:cs="Times New Roman"/>
          <w:sz w:val="24"/>
          <w:szCs w:val="24"/>
          <w:lang w:eastAsia="en-GB"/>
        </w:rPr>
        <w:t xml:space="preserve">related party, </w:t>
      </w:r>
      <w:r w:rsidR="00493A1A" w:rsidRPr="00CC1C5C">
        <w:rPr>
          <w:rFonts w:ascii="Times New Roman" w:eastAsia="Times New Roman" w:hAnsi="Times New Roman" w:cs="Times New Roman"/>
          <w:sz w:val="24"/>
          <w:szCs w:val="24"/>
          <w:lang w:eastAsia="en-GB"/>
        </w:rPr>
        <w:t>market, operational (including IT risk), liquidity, concentration, reputational, strategic) and on calculating additional capital for these risks, on SREP approach, on ICAAP and stress tests</w:t>
      </w:r>
      <w:r>
        <w:rPr>
          <w:rFonts w:ascii="Times New Roman" w:eastAsia="Times New Roman" w:hAnsi="Times New Roman" w:cs="Times New Roman"/>
          <w:sz w:val="24"/>
          <w:szCs w:val="24"/>
          <w:lang w:eastAsia="en-GB"/>
        </w:rPr>
        <w:t>;</w:t>
      </w:r>
    </w:p>
    <w:p w:rsidR="00693B96" w:rsidRPr="00CC1C5C" w:rsidRDefault="000D0377" w:rsidP="00AE758B">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Assistance in f</w:t>
      </w:r>
      <w:r w:rsidR="00693B96" w:rsidRPr="00CC1C5C">
        <w:rPr>
          <w:rFonts w:ascii="Times New Roman" w:eastAsia="Times New Roman" w:hAnsi="Times New Roman" w:cs="Times New Roman"/>
          <w:sz w:val="24"/>
          <w:szCs w:val="24"/>
          <w:lang w:eastAsia="en-GB"/>
        </w:rPr>
        <w:t>ull implementation of an annual SREP cycle</w:t>
      </w:r>
      <w:r w:rsidR="00DE480F">
        <w:rPr>
          <w:rFonts w:ascii="Times New Roman" w:eastAsia="Times New Roman" w:hAnsi="Times New Roman" w:cs="Times New Roman"/>
          <w:sz w:val="24"/>
          <w:szCs w:val="24"/>
          <w:lang w:eastAsia="en-GB"/>
        </w:rPr>
        <w:t>;</w:t>
      </w:r>
      <w:r w:rsidR="0096534D" w:rsidRPr="00CC1C5C">
        <w:rPr>
          <w:rFonts w:ascii="Times New Roman" w:eastAsia="Times New Roman" w:hAnsi="Times New Roman" w:cs="Times New Roman"/>
          <w:sz w:val="24"/>
          <w:szCs w:val="24"/>
          <w:lang w:eastAsia="en-GB"/>
        </w:rPr>
        <w:t xml:space="preserve"> </w:t>
      </w:r>
    </w:p>
    <w:p w:rsidR="00493A1A" w:rsidRPr="00CC1C5C" w:rsidRDefault="000D0377" w:rsidP="00AE758B">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Assistance in d</w:t>
      </w:r>
      <w:r w:rsidR="00693B96" w:rsidRPr="00CC1C5C">
        <w:rPr>
          <w:rFonts w:ascii="Times New Roman" w:eastAsia="Times New Roman" w:hAnsi="Times New Roman" w:cs="Times New Roman"/>
          <w:sz w:val="24"/>
          <w:szCs w:val="24"/>
          <w:lang w:eastAsia="en-GB"/>
        </w:rPr>
        <w:t>evelopment and usage of e</w:t>
      </w:r>
      <w:r w:rsidR="0096534D" w:rsidRPr="00CC1C5C">
        <w:rPr>
          <w:rFonts w:ascii="Times New Roman" w:eastAsia="Times New Roman" w:hAnsi="Times New Roman" w:cs="Times New Roman"/>
          <w:sz w:val="24"/>
          <w:szCs w:val="24"/>
          <w:lang w:eastAsia="en-GB"/>
        </w:rPr>
        <w:t>nforcement and supervisory measures matrix based on SREP</w:t>
      </w:r>
      <w:r w:rsidR="00693B96" w:rsidRPr="00CC1C5C">
        <w:rPr>
          <w:rFonts w:ascii="Times New Roman" w:eastAsia="Times New Roman" w:hAnsi="Times New Roman" w:cs="Times New Roman"/>
          <w:sz w:val="24"/>
          <w:szCs w:val="24"/>
          <w:lang w:eastAsia="en-GB"/>
        </w:rPr>
        <w:t xml:space="preserve"> and on-site inspection results</w:t>
      </w:r>
      <w:r w:rsidR="00DE480F">
        <w:rPr>
          <w:rFonts w:ascii="Times New Roman" w:eastAsia="Times New Roman" w:hAnsi="Times New Roman" w:cs="Times New Roman"/>
          <w:sz w:val="24"/>
          <w:szCs w:val="24"/>
          <w:lang w:eastAsia="en-GB"/>
        </w:rPr>
        <w:t>.</w:t>
      </w:r>
    </w:p>
    <w:p w:rsidR="00B03BBE" w:rsidRPr="00CC1C5C" w:rsidRDefault="00B03BBE" w:rsidP="00B03BBE">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CC1C5C">
        <w:rPr>
          <w:rFonts w:ascii="Times New Roman" w:eastAsia="Times New Roman" w:hAnsi="Times New Roman" w:cs="Times New Roman"/>
          <w:b/>
          <w:sz w:val="24"/>
          <w:szCs w:val="24"/>
          <w:lang w:eastAsia="en-GB"/>
        </w:rPr>
        <w:t>Component 2</w:t>
      </w:r>
      <w:r w:rsidR="00721E40" w:rsidRPr="00CC1C5C">
        <w:rPr>
          <w:rFonts w:ascii="Times New Roman" w:eastAsia="Times New Roman" w:hAnsi="Times New Roman" w:cs="Times New Roman"/>
          <w:b/>
          <w:sz w:val="24"/>
          <w:szCs w:val="24"/>
          <w:lang w:eastAsia="en-GB"/>
        </w:rPr>
        <w:t xml:space="preserve">: </w:t>
      </w:r>
      <w:r w:rsidR="00702FC4">
        <w:rPr>
          <w:rFonts w:ascii="Times New Roman" w:eastAsia="Times New Roman" w:hAnsi="Times New Roman" w:cs="Times New Roman"/>
          <w:b/>
          <w:sz w:val="24"/>
          <w:szCs w:val="24"/>
          <w:lang w:eastAsia="en-GB"/>
        </w:rPr>
        <w:t xml:space="preserve">Enhancement of </w:t>
      </w:r>
      <w:r w:rsidR="00721E40" w:rsidRPr="00CC1C5C">
        <w:rPr>
          <w:rFonts w:ascii="Times New Roman" w:eastAsia="Times New Roman" w:hAnsi="Times New Roman" w:cs="Times New Roman"/>
          <w:b/>
          <w:sz w:val="24"/>
          <w:szCs w:val="24"/>
          <w:lang w:eastAsia="en-GB"/>
        </w:rPr>
        <w:t xml:space="preserve">macroprudential </w:t>
      </w:r>
      <w:r w:rsidR="00702FC4">
        <w:rPr>
          <w:rFonts w:ascii="Times New Roman" w:eastAsia="Times New Roman" w:hAnsi="Times New Roman" w:cs="Times New Roman"/>
          <w:b/>
          <w:sz w:val="24"/>
          <w:szCs w:val="24"/>
          <w:lang w:eastAsia="en-GB"/>
        </w:rPr>
        <w:t>framework</w:t>
      </w:r>
    </w:p>
    <w:p w:rsidR="001D3A5B" w:rsidRDefault="00B03BBE" w:rsidP="00D6258C">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 xml:space="preserve">Mandatory result </w:t>
      </w:r>
      <w:r w:rsidR="00D6258C" w:rsidRPr="00CC1C5C">
        <w:rPr>
          <w:rFonts w:ascii="Times New Roman" w:eastAsia="Times New Roman" w:hAnsi="Times New Roman" w:cs="Times New Roman"/>
          <w:sz w:val="24"/>
          <w:szCs w:val="24"/>
          <w:lang w:eastAsia="en-GB"/>
        </w:rPr>
        <w:t>2</w:t>
      </w:r>
      <w:r w:rsidRPr="00CC1C5C">
        <w:rPr>
          <w:rFonts w:ascii="Times New Roman" w:eastAsia="Times New Roman" w:hAnsi="Times New Roman" w:cs="Times New Roman"/>
          <w:sz w:val="24"/>
          <w:szCs w:val="24"/>
          <w:lang w:eastAsia="en-GB"/>
        </w:rPr>
        <w:t>:</w:t>
      </w:r>
      <w:r w:rsidR="00693B96" w:rsidRPr="00CC1C5C">
        <w:rPr>
          <w:rFonts w:ascii="Times New Roman" w:eastAsia="Times New Roman" w:hAnsi="Times New Roman" w:cs="Times New Roman"/>
          <w:sz w:val="24"/>
          <w:szCs w:val="24"/>
          <w:lang w:eastAsia="en-GB"/>
        </w:rPr>
        <w:t xml:space="preserve"> </w:t>
      </w:r>
      <w:r w:rsidR="002841E7">
        <w:rPr>
          <w:rFonts w:ascii="Times New Roman" w:eastAsia="Times New Roman" w:hAnsi="Times New Roman" w:cs="Times New Roman"/>
          <w:sz w:val="24"/>
          <w:szCs w:val="24"/>
          <w:lang w:eastAsia="en-GB"/>
        </w:rPr>
        <w:t xml:space="preserve">The macro prudential framework is enhanced </w:t>
      </w:r>
      <w:r w:rsidR="00B93F45">
        <w:rPr>
          <w:rFonts w:ascii="Times New Roman" w:eastAsia="Times New Roman" w:hAnsi="Times New Roman" w:cs="Times New Roman"/>
          <w:sz w:val="24"/>
          <w:szCs w:val="24"/>
          <w:lang w:eastAsia="en-GB"/>
        </w:rPr>
        <w:t xml:space="preserve">through improved capacities of the regulators to mitigate </w:t>
      </w:r>
      <w:r w:rsidR="006954E9">
        <w:rPr>
          <w:rFonts w:ascii="Times New Roman" w:eastAsia="Times New Roman" w:hAnsi="Times New Roman" w:cs="Times New Roman"/>
          <w:sz w:val="24"/>
          <w:szCs w:val="24"/>
          <w:lang w:eastAsia="en-GB"/>
        </w:rPr>
        <w:t xml:space="preserve">a build-up of </w:t>
      </w:r>
      <w:r w:rsidR="00B93F45">
        <w:rPr>
          <w:rFonts w:ascii="Times New Roman" w:eastAsia="Times New Roman" w:hAnsi="Times New Roman" w:cs="Times New Roman"/>
          <w:sz w:val="24"/>
          <w:szCs w:val="24"/>
          <w:lang w:eastAsia="en-GB"/>
        </w:rPr>
        <w:t>systemic risks</w:t>
      </w:r>
      <w:r w:rsidR="006954E9">
        <w:rPr>
          <w:rFonts w:ascii="Times New Roman" w:eastAsia="Times New Roman" w:hAnsi="Times New Roman" w:cs="Times New Roman"/>
          <w:sz w:val="24"/>
          <w:szCs w:val="24"/>
          <w:lang w:eastAsia="en-GB"/>
        </w:rPr>
        <w:t>.</w:t>
      </w:r>
    </w:p>
    <w:p w:rsidR="00D6258C" w:rsidRPr="00CC1C5C" w:rsidRDefault="00D6258C" w:rsidP="00D6258C">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In the context of Result</w:t>
      </w:r>
      <w:r w:rsidR="00693B96" w:rsidRPr="00CC1C5C">
        <w:rPr>
          <w:rFonts w:ascii="Times New Roman" w:eastAsia="Times New Roman" w:hAnsi="Times New Roman" w:cs="Times New Roman"/>
          <w:sz w:val="24"/>
          <w:szCs w:val="24"/>
          <w:lang w:eastAsia="en-GB"/>
        </w:rPr>
        <w:t xml:space="preserve"> 2</w:t>
      </w:r>
      <w:r w:rsidRPr="00CC1C5C">
        <w:rPr>
          <w:rFonts w:ascii="Times New Roman" w:eastAsia="Times New Roman" w:hAnsi="Times New Roman" w:cs="Times New Roman"/>
          <w:sz w:val="24"/>
          <w:szCs w:val="24"/>
          <w:lang w:eastAsia="en-GB"/>
        </w:rPr>
        <w:t xml:space="preserve"> the following benchmarks will be achieved:</w:t>
      </w:r>
    </w:p>
    <w:p w:rsidR="00572CB0" w:rsidRDefault="00572CB0" w:rsidP="00E634BA">
      <w:pPr>
        <w:pStyle w:val="ListParagraph"/>
        <w:numPr>
          <w:ilvl w:val="0"/>
          <w:numId w:val="29"/>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052145">
        <w:rPr>
          <w:rFonts w:ascii="Times New Roman" w:eastAsia="Times New Roman" w:hAnsi="Times New Roman" w:cs="Times New Roman"/>
          <w:sz w:val="24"/>
          <w:szCs w:val="24"/>
          <w:lang w:eastAsia="en-GB"/>
        </w:rPr>
        <w:t>Macroprudential Policy S</w:t>
      </w:r>
      <w:r>
        <w:rPr>
          <w:rFonts w:ascii="Times New Roman" w:eastAsia="Times New Roman" w:hAnsi="Times New Roman" w:cs="Times New Roman"/>
          <w:sz w:val="24"/>
          <w:szCs w:val="24"/>
          <w:lang w:eastAsia="en-GB"/>
        </w:rPr>
        <w:t>trategy is developed and approved</w:t>
      </w:r>
      <w:r w:rsidR="00C76C3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rsidR="00C22B3B" w:rsidRDefault="00CE66A1" w:rsidP="00E634BA">
      <w:pPr>
        <w:pStyle w:val="ListParagraph"/>
        <w:numPr>
          <w:ilvl w:val="0"/>
          <w:numId w:val="29"/>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quality of Annual Financial Stability Reports is improved</w:t>
      </w:r>
      <w:r w:rsidR="00C76C36">
        <w:rPr>
          <w:rFonts w:ascii="Times New Roman" w:eastAsia="Times New Roman" w:hAnsi="Times New Roman" w:cs="Times New Roman"/>
          <w:sz w:val="24"/>
          <w:szCs w:val="24"/>
          <w:lang w:eastAsia="en-GB"/>
        </w:rPr>
        <w:t>;</w:t>
      </w:r>
    </w:p>
    <w:p w:rsidR="006F3896" w:rsidRPr="00CC1C5C" w:rsidRDefault="006F3896" w:rsidP="00E634BA">
      <w:pPr>
        <w:pStyle w:val="ListParagraph"/>
        <w:numPr>
          <w:ilvl w:val="0"/>
          <w:numId w:val="29"/>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 xml:space="preserve">Increasing number of macroprudential tools used and of </w:t>
      </w:r>
      <w:r w:rsidR="00CA4786" w:rsidRPr="00CC1C5C">
        <w:rPr>
          <w:rFonts w:ascii="Times New Roman" w:eastAsia="Times New Roman" w:hAnsi="Times New Roman" w:cs="Times New Roman"/>
          <w:sz w:val="24"/>
          <w:szCs w:val="24"/>
          <w:lang w:eastAsia="en-GB"/>
        </w:rPr>
        <w:t>National Bank</w:t>
      </w:r>
      <w:r w:rsidR="00450F64" w:rsidRPr="00CC1C5C">
        <w:rPr>
          <w:rFonts w:ascii="Times New Roman" w:eastAsia="Times New Roman" w:hAnsi="Times New Roman" w:cs="Times New Roman"/>
          <w:sz w:val="24"/>
          <w:szCs w:val="24"/>
          <w:lang w:eastAsia="en-GB"/>
        </w:rPr>
        <w:t>’s</w:t>
      </w:r>
      <w:r w:rsidR="00CA4786" w:rsidRPr="00CC1C5C">
        <w:rPr>
          <w:rFonts w:ascii="Times New Roman" w:eastAsia="Times New Roman" w:hAnsi="Times New Roman" w:cs="Times New Roman"/>
          <w:sz w:val="24"/>
          <w:szCs w:val="24"/>
          <w:lang w:eastAsia="en-GB"/>
        </w:rPr>
        <w:t xml:space="preserve"> </w:t>
      </w:r>
      <w:r w:rsidRPr="00CC1C5C">
        <w:rPr>
          <w:rFonts w:ascii="Times New Roman" w:eastAsia="Times New Roman" w:hAnsi="Times New Roman" w:cs="Times New Roman"/>
          <w:sz w:val="24"/>
          <w:szCs w:val="24"/>
          <w:lang w:eastAsia="en-GB"/>
        </w:rPr>
        <w:t xml:space="preserve">publications on </w:t>
      </w:r>
      <w:r w:rsidR="00712612" w:rsidRPr="00CC1C5C">
        <w:rPr>
          <w:rFonts w:ascii="Times New Roman" w:eastAsia="Times New Roman" w:hAnsi="Times New Roman" w:cs="Times New Roman"/>
          <w:sz w:val="24"/>
          <w:szCs w:val="24"/>
          <w:lang w:eastAsia="en-GB"/>
        </w:rPr>
        <w:t xml:space="preserve">the implementation of </w:t>
      </w:r>
      <w:r w:rsidRPr="00CC1C5C">
        <w:rPr>
          <w:rFonts w:ascii="Times New Roman" w:eastAsia="Times New Roman" w:hAnsi="Times New Roman" w:cs="Times New Roman"/>
          <w:sz w:val="24"/>
          <w:szCs w:val="24"/>
          <w:lang w:eastAsia="en-GB"/>
        </w:rPr>
        <w:t>macroprudential policy</w:t>
      </w:r>
      <w:r w:rsidR="00C76C36">
        <w:rPr>
          <w:rFonts w:ascii="Times New Roman" w:eastAsia="Times New Roman" w:hAnsi="Times New Roman" w:cs="Times New Roman"/>
          <w:sz w:val="24"/>
          <w:szCs w:val="24"/>
          <w:lang w:eastAsia="en-GB"/>
        </w:rPr>
        <w:t>.</w:t>
      </w:r>
    </w:p>
    <w:p w:rsidR="00B03BBE" w:rsidRPr="00CC1C5C" w:rsidRDefault="00D6258C" w:rsidP="00B03B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T</w:t>
      </w:r>
      <w:r w:rsidR="00B03BBE" w:rsidRPr="00CC1C5C">
        <w:rPr>
          <w:rFonts w:ascii="Times New Roman" w:eastAsia="Times New Roman" w:hAnsi="Times New Roman" w:cs="Times New Roman"/>
          <w:sz w:val="24"/>
          <w:szCs w:val="24"/>
          <w:lang w:eastAsia="en-GB"/>
        </w:rPr>
        <w:t>he above-mentioned result</w:t>
      </w:r>
      <w:r w:rsidR="009D1AA8">
        <w:rPr>
          <w:rFonts w:ascii="Times New Roman" w:eastAsia="Times New Roman" w:hAnsi="Times New Roman" w:cs="Times New Roman"/>
          <w:sz w:val="24"/>
          <w:szCs w:val="24"/>
          <w:lang w:eastAsia="en-GB"/>
        </w:rPr>
        <w:t>s</w:t>
      </w:r>
      <w:r w:rsidR="00B03BBE" w:rsidRPr="00CC1C5C">
        <w:rPr>
          <w:rFonts w:ascii="Times New Roman" w:eastAsia="Times New Roman" w:hAnsi="Times New Roman" w:cs="Times New Roman"/>
          <w:sz w:val="24"/>
          <w:szCs w:val="24"/>
          <w:lang w:eastAsia="en-GB"/>
        </w:rPr>
        <w:t xml:space="preserve"> </w:t>
      </w:r>
      <w:r w:rsidR="009D1AA8">
        <w:rPr>
          <w:rFonts w:ascii="Times New Roman" w:eastAsia="Times New Roman" w:hAnsi="Times New Roman" w:cs="Times New Roman"/>
          <w:sz w:val="24"/>
          <w:szCs w:val="24"/>
          <w:lang w:eastAsia="en-GB"/>
        </w:rPr>
        <w:t>will</w:t>
      </w:r>
      <w:r w:rsidR="009D1AA8" w:rsidRPr="00CC1C5C">
        <w:rPr>
          <w:rFonts w:ascii="Times New Roman" w:eastAsia="Times New Roman" w:hAnsi="Times New Roman" w:cs="Times New Roman"/>
          <w:sz w:val="24"/>
          <w:szCs w:val="24"/>
          <w:lang w:eastAsia="en-GB"/>
        </w:rPr>
        <w:t xml:space="preserve"> </w:t>
      </w:r>
      <w:r w:rsidR="00B03BBE" w:rsidRPr="00CC1C5C">
        <w:rPr>
          <w:rFonts w:ascii="Times New Roman" w:eastAsia="Times New Roman" w:hAnsi="Times New Roman" w:cs="Times New Roman"/>
          <w:sz w:val="24"/>
          <w:szCs w:val="24"/>
          <w:lang w:eastAsia="en-GB"/>
        </w:rPr>
        <w:t>be achieved</w:t>
      </w:r>
      <w:r w:rsidR="009D1AA8">
        <w:rPr>
          <w:rFonts w:ascii="Times New Roman" w:eastAsia="Times New Roman" w:hAnsi="Times New Roman" w:cs="Times New Roman"/>
          <w:sz w:val="24"/>
          <w:szCs w:val="24"/>
          <w:lang w:eastAsia="en-GB"/>
        </w:rPr>
        <w:t xml:space="preserve"> by</w:t>
      </w:r>
      <w:r w:rsidR="00B03BBE" w:rsidRPr="00CC1C5C">
        <w:rPr>
          <w:rFonts w:ascii="Times New Roman" w:eastAsia="Times New Roman" w:hAnsi="Times New Roman" w:cs="Times New Roman"/>
          <w:sz w:val="24"/>
          <w:szCs w:val="24"/>
          <w:lang w:eastAsia="en-GB"/>
        </w:rPr>
        <w:t>:</w:t>
      </w:r>
    </w:p>
    <w:p w:rsidR="00B03BBE" w:rsidRPr="00CC1C5C" w:rsidRDefault="00572CB0" w:rsidP="00B33479">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Assistance for d</w:t>
      </w:r>
      <w:r w:rsidR="00693B96" w:rsidRPr="00CC1C5C">
        <w:rPr>
          <w:rFonts w:ascii="Times New Roman" w:eastAsia="Times New Roman" w:hAnsi="Times New Roman" w:cs="Times New Roman"/>
          <w:sz w:val="24"/>
          <w:szCs w:val="24"/>
          <w:lang w:eastAsia="en-GB"/>
        </w:rPr>
        <w:t xml:space="preserve">evelopment of </w:t>
      </w:r>
      <w:r w:rsidR="00844078" w:rsidRPr="00CC1C5C">
        <w:rPr>
          <w:rFonts w:ascii="Times New Roman" w:eastAsia="Times New Roman" w:hAnsi="Times New Roman" w:cs="Times New Roman"/>
          <w:sz w:val="24"/>
          <w:szCs w:val="24"/>
          <w:lang w:eastAsia="en-GB"/>
        </w:rPr>
        <w:t>macroprudential policy strategy</w:t>
      </w:r>
      <w:r w:rsidR="0001535F">
        <w:rPr>
          <w:rFonts w:ascii="Times New Roman" w:eastAsia="Times New Roman" w:hAnsi="Times New Roman" w:cs="Times New Roman"/>
          <w:sz w:val="24"/>
          <w:szCs w:val="24"/>
          <w:lang w:eastAsia="en-GB"/>
        </w:rPr>
        <w:t xml:space="preserve"> and Annual Financial S</w:t>
      </w:r>
      <w:r w:rsidR="00CB4F9E">
        <w:rPr>
          <w:rFonts w:ascii="Times New Roman" w:eastAsia="Times New Roman" w:hAnsi="Times New Roman" w:cs="Times New Roman"/>
          <w:sz w:val="24"/>
          <w:szCs w:val="24"/>
          <w:lang w:eastAsia="en-GB"/>
        </w:rPr>
        <w:t>tability reports</w:t>
      </w:r>
      <w:r w:rsidR="00C76C36">
        <w:rPr>
          <w:rFonts w:ascii="Times New Roman" w:eastAsia="Times New Roman" w:hAnsi="Times New Roman" w:cs="Times New Roman"/>
          <w:sz w:val="24"/>
          <w:szCs w:val="24"/>
          <w:lang w:eastAsia="en-GB"/>
        </w:rPr>
        <w:t>;</w:t>
      </w:r>
    </w:p>
    <w:p w:rsidR="00693B96" w:rsidRPr="00CC1C5C" w:rsidRDefault="00CB4F9E" w:rsidP="00B33479">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Capacity building (seminars, training, on-job training) </w:t>
      </w:r>
      <w:r w:rsidR="00693B96" w:rsidRPr="00CC1C5C">
        <w:rPr>
          <w:rFonts w:ascii="Times New Roman" w:eastAsia="Times New Roman" w:hAnsi="Times New Roman" w:cs="Times New Roman"/>
          <w:sz w:val="24"/>
          <w:szCs w:val="24"/>
          <w:lang w:eastAsia="en-GB"/>
        </w:rPr>
        <w:t xml:space="preserve">on </w:t>
      </w:r>
      <w:r w:rsidR="006E4B70" w:rsidRPr="00CC1C5C">
        <w:rPr>
          <w:rFonts w:ascii="Times New Roman" w:eastAsia="Times New Roman" w:hAnsi="Times New Roman" w:cs="Times New Roman"/>
          <w:sz w:val="24"/>
          <w:szCs w:val="24"/>
          <w:lang w:eastAsia="en-GB"/>
        </w:rPr>
        <w:t xml:space="preserve">early identification of risks and vulnerabilities to financial sector, </w:t>
      </w:r>
      <w:r w:rsidR="00693B96" w:rsidRPr="00CC1C5C">
        <w:rPr>
          <w:rFonts w:ascii="Times New Roman" w:eastAsia="Times New Roman" w:hAnsi="Times New Roman" w:cs="Times New Roman"/>
          <w:sz w:val="24"/>
          <w:szCs w:val="24"/>
          <w:lang w:eastAsia="en-GB"/>
        </w:rPr>
        <w:t>timely</w:t>
      </w:r>
      <w:r w:rsidR="006E4B70" w:rsidRPr="00CC1C5C">
        <w:rPr>
          <w:rFonts w:ascii="Times New Roman" w:eastAsia="Times New Roman" w:hAnsi="Times New Roman" w:cs="Times New Roman"/>
          <w:sz w:val="24"/>
          <w:szCs w:val="24"/>
          <w:lang w:eastAsia="en-GB"/>
        </w:rPr>
        <w:t xml:space="preserve"> and properly</w:t>
      </w:r>
      <w:r w:rsidR="00693B96" w:rsidRPr="00CC1C5C">
        <w:rPr>
          <w:rFonts w:ascii="Times New Roman" w:eastAsia="Times New Roman" w:hAnsi="Times New Roman" w:cs="Times New Roman"/>
          <w:sz w:val="24"/>
          <w:szCs w:val="24"/>
          <w:lang w:eastAsia="en-GB"/>
        </w:rPr>
        <w:t xml:space="preserve"> applying capital buffers, other macroprudential instruments, </w:t>
      </w:r>
      <w:r w:rsidR="006E4B70" w:rsidRPr="00CC1C5C">
        <w:rPr>
          <w:rFonts w:ascii="Times New Roman" w:eastAsia="Times New Roman" w:hAnsi="Times New Roman" w:cs="Times New Roman"/>
          <w:sz w:val="24"/>
          <w:szCs w:val="24"/>
          <w:lang w:eastAsia="en-GB"/>
        </w:rPr>
        <w:t xml:space="preserve">assessing </w:t>
      </w:r>
      <w:r w:rsidR="00693B96" w:rsidRPr="00CC1C5C">
        <w:rPr>
          <w:rFonts w:ascii="Times New Roman" w:eastAsia="Times New Roman" w:hAnsi="Times New Roman" w:cs="Times New Roman"/>
          <w:sz w:val="24"/>
          <w:szCs w:val="24"/>
          <w:lang w:eastAsia="en-GB"/>
        </w:rPr>
        <w:t>systemic risk</w:t>
      </w:r>
      <w:r w:rsidR="00C76C36">
        <w:rPr>
          <w:rFonts w:ascii="Times New Roman" w:eastAsia="Times New Roman" w:hAnsi="Times New Roman" w:cs="Times New Roman"/>
          <w:sz w:val="24"/>
          <w:szCs w:val="24"/>
          <w:lang w:eastAsia="en-GB"/>
        </w:rPr>
        <w:t>;</w:t>
      </w:r>
    </w:p>
    <w:p w:rsidR="00C95F39" w:rsidRDefault="00693B96" w:rsidP="00B33479">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Development and/or improvement of internal methodologies on capital buffers (countercyclical buffer, systemically important banks buffer, systemic risk buffer)</w:t>
      </w:r>
      <w:r w:rsidR="00C76C36">
        <w:rPr>
          <w:rFonts w:ascii="Times New Roman" w:eastAsia="Times New Roman" w:hAnsi="Times New Roman" w:cs="Times New Roman"/>
          <w:sz w:val="24"/>
          <w:szCs w:val="24"/>
          <w:lang w:eastAsia="en-GB"/>
        </w:rPr>
        <w:t>;</w:t>
      </w:r>
      <w:r w:rsidR="006E4B70" w:rsidRPr="00CC1C5C">
        <w:rPr>
          <w:rFonts w:ascii="Times New Roman" w:eastAsia="Times New Roman" w:hAnsi="Times New Roman" w:cs="Times New Roman"/>
          <w:sz w:val="24"/>
          <w:szCs w:val="24"/>
          <w:lang w:eastAsia="en-GB"/>
        </w:rPr>
        <w:t xml:space="preserve"> on other macroprudential instruments (LTV, DTI, liquidity indicators, instruments limiting FX risk, restricting large exposure concentration by type of economic activities, asset</w:t>
      </w:r>
      <w:r w:rsidR="00844078" w:rsidRPr="00CC1C5C">
        <w:rPr>
          <w:rFonts w:ascii="Times New Roman" w:eastAsia="Times New Roman" w:hAnsi="Times New Roman" w:cs="Times New Roman"/>
          <w:sz w:val="24"/>
          <w:szCs w:val="24"/>
          <w:lang w:eastAsia="en-GB"/>
        </w:rPr>
        <w:t xml:space="preserve"> class or other criteria, etc.)</w:t>
      </w:r>
      <w:r w:rsidR="00C76C36">
        <w:rPr>
          <w:rFonts w:ascii="Times New Roman" w:eastAsia="Times New Roman" w:hAnsi="Times New Roman" w:cs="Times New Roman"/>
          <w:sz w:val="24"/>
          <w:szCs w:val="24"/>
          <w:lang w:eastAsia="en-GB"/>
        </w:rPr>
        <w:t>.</w:t>
      </w:r>
    </w:p>
    <w:p w:rsidR="00DF3DDA" w:rsidRPr="009E1000" w:rsidRDefault="0028782A" w:rsidP="009E1000">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terms of outcomes, the </w:t>
      </w:r>
      <w:r w:rsidR="00DF3DDA" w:rsidRPr="009E1000">
        <w:rPr>
          <w:rFonts w:ascii="Times New Roman" w:eastAsia="Times New Roman" w:hAnsi="Times New Roman" w:cs="Times New Roman"/>
          <w:sz w:val="24"/>
          <w:szCs w:val="24"/>
          <w:lang w:eastAsia="en-GB"/>
        </w:rPr>
        <w:t>assistance</w:t>
      </w:r>
      <w:r>
        <w:rPr>
          <w:rFonts w:ascii="Times New Roman" w:eastAsia="Times New Roman" w:hAnsi="Times New Roman" w:cs="Times New Roman"/>
          <w:sz w:val="24"/>
          <w:szCs w:val="24"/>
          <w:lang w:eastAsia="en-GB"/>
        </w:rPr>
        <w:t xml:space="preserve"> under this Component should lead to l</w:t>
      </w:r>
      <w:r w:rsidR="00DF3DDA" w:rsidRPr="00DF3DDA">
        <w:rPr>
          <w:rFonts w:ascii="Times New Roman" w:eastAsia="Times New Roman" w:hAnsi="Times New Roman" w:cs="Times New Roman"/>
          <w:sz w:val="24"/>
          <w:szCs w:val="24"/>
          <w:lang w:eastAsia="en-GB"/>
        </w:rPr>
        <w:t>imiting and preventing excessive credit growth, leverage and exposure concentrations by type of economic activities or asset class in the financial system</w:t>
      </w:r>
      <w:r w:rsidR="00DD01F9">
        <w:rPr>
          <w:rFonts w:ascii="Times New Roman" w:eastAsia="Times New Roman" w:hAnsi="Times New Roman" w:cs="Times New Roman"/>
          <w:sz w:val="24"/>
          <w:szCs w:val="24"/>
          <w:lang w:eastAsia="en-GB"/>
        </w:rPr>
        <w:t>; l</w:t>
      </w:r>
      <w:r w:rsidR="00DF3DDA" w:rsidRPr="00DF3DDA">
        <w:rPr>
          <w:rFonts w:ascii="Times New Roman" w:eastAsia="Times New Roman" w:hAnsi="Times New Roman" w:cs="Times New Roman"/>
          <w:sz w:val="24"/>
          <w:szCs w:val="24"/>
          <w:lang w:eastAsia="en-GB"/>
        </w:rPr>
        <w:t>imiting and preventing excessive currency and liquidity risk, maturity mismatch in the financial system</w:t>
      </w:r>
      <w:r w:rsidR="00DD01F9">
        <w:rPr>
          <w:rFonts w:ascii="Times New Roman" w:eastAsia="Times New Roman" w:hAnsi="Times New Roman" w:cs="Times New Roman"/>
          <w:sz w:val="24"/>
          <w:szCs w:val="24"/>
          <w:lang w:eastAsia="en-GB"/>
        </w:rPr>
        <w:t>; maintaining a well-capitalis</w:t>
      </w:r>
      <w:r w:rsidR="00DF3DDA" w:rsidRPr="00DF3DDA">
        <w:rPr>
          <w:rFonts w:ascii="Times New Roman" w:eastAsia="Times New Roman" w:hAnsi="Times New Roman" w:cs="Times New Roman"/>
          <w:sz w:val="24"/>
          <w:szCs w:val="24"/>
          <w:lang w:eastAsia="en-GB"/>
        </w:rPr>
        <w:t>ed banking sector through setting necessary capital buffers</w:t>
      </w:r>
      <w:r w:rsidR="008A2A02">
        <w:rPr>
          <w:rFonts w:ascii="Times New Roman" w:eastAsia="Times New Roman" w:hAnsi="Times New Roman" w:cs="Times New Roman"/>
          <w:sz w:val="24"/>
          <w:szCs w:val="24"/>
          <w:lang w:eastAsia="en-GB"/>
        </w:rPr>
        <w:t>; sound financial indicators (capital adequacy, asset quality, risk concentration, exposure to FX risk, profitability) reported by banks</w:t>
      </w:r>
      <w:r w:rsidR="00DD01F9">
        <w:rPr>
          <w:rFonts w:ascii="Times New Roman" w:eastAsia="Times New Roman" w:hAnsi="Times New Roman" w:cs="Times New Roman"/>
          <w:sz w:val="24"/>
          <w:szCs w:val="24"/>
          <w:lang w:eastAsia="en-GB"/>
        </w:rPr>
        <w:t xml:space="preserve">. </w:t>
      </w:r>
    </w:p>
    <w:p w:rsidR="00B03BBE" w:rsidRPr="00CC1C5C" w:rsidRDefault="00B03BBE" w:rsidP="00B03BBE">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CC1C5C">
        <w:rPr>
          <w:rFonts w:ascii="Times New Roman" w:eastAsia="Times New Roman" w:hAnsi="Times New Roman" w:cs="Times New Roman"/>
          <w:b/>
          <w:sz w:val="24"/>
          <w:szCs w:val="24"/>
          <w:lang w:eastAsia="en-GB"/>
        </w:rPr>
        <w:t>Component 3</w:t>
      </w:r>
      <w:r w:rsidR="00721E40" w:rsidRPr="00CC1C5C">
        <w:rPr>
          <w:rFonts w:ascii="Times New Roman" w:eastAsia="Times New Roman" w:hAnsi="Times New Roman" w:cs="Times New Roman"/>
          <w:b/>
          <w:sz w:val="24"/>
          <w:szCs w:val="24"/>
          <w:lang w:eastAsia="en-GB"/>
        </w:rPr>
        <w:t>: Implementation of bank’s recovery and resolution framework</w:t>
      </w:r>
      <w:r w:rsidR="00BA579C">
        <w:rPr>
          <w:rFonts w:ascii="Times New Roman" w:eastAsia="Times New Roman" w:hAnsi="Times New Roman" w:cs="Times New Roman"/>
          <w:b/>
          <w:sz w:val="24"/>
          <w:szCs w:val="24"/>
          <w:lang w:eastAsia="en-GB"/>
        </w:rPr>
        <w:t xml:space="preserve"> </w:t>
      </w:r>
    </w:p>
    <w:p w:rsidR="00B03BBE" w:rsidRPr="00CC1C5C" w:rsidRDefault="00B03BBE" w:rsidP="00B03B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 xml:space="preserve">Mandatory result </w:t>
      </w:r>
      <w:r w:rsidR="00D6258C" w:rsidRPr="00CC1C5C">
        <w:rPr>
          <w:rFonts w:ascii="Times New Roman" w:eastAsia="Times New Roman" w:hAnsi="Times New Roman" w:cs="Times New Roman"/>
          <w:sz w:val="24"/>
          <w:szCs w:val="24"/>
          <w:lang w:eastAsia="en-GB"/>
        </w:rPr>
        <w:t>3</w:t>
      </w:r>
      <w:r w:rsidRPr="00CC1C5C">
        <w:rPr>
          <w:rFonts w:ascii="Times New Roman" w:eastAsia="Times New Roman" w:hAnsi="Times New Roman" w:cs="Times New Roman"/>
          <w:sz w:val="24"/>
          <w:szCs w:val="24"/>
          <w:lang w:eastAsia="en-GB"/>
        </w:rPr>
        <w:t>:</w:t>
      </w:r>
      <w:r w:rsidR="00076DE6" w:rsidRPr="00CC1C5C">
        <w:rPr>
          <w:rFonts w:ascii="Times New Roman" w:eastAsia="Times New Roman" w:hAnsi="Times New Roman" w:cs="Times New Roman"/>
          <w:sz w:val="24"/>
          <w:szCs w:val="24"/>
          <w:lang w:eastAsia="en-GB"/>
        </w:rPr>
        <w:t xml:space="preserve"> </w:t>
      </w:r>
      <w:r w:rsidR="004E5E38" w:rsidRPr="004E5E38">
        <w:rPr>
          <w:rFonts w:ascii="Times New Roman" w:eastAsia="Times New Roman" w:hAnsi="Times New Roman" w:cs="Times New Roman"/>
          <w:sz w:val="24"/>
          <w:szCs w:val="24"/>
          <w:lang w:eastAsia="en-GB"/>
        </w:rPr>
        <w:t xml:space="preserve">Bank recovery and resolution framework in line with EU standards </w:t>
      </w:r>
      <w:r w:rsidR="008A3E0C">
        <w:rPr>
          <w:rFonts w:ascii="Times New Roman" w:eastAsia="Times New Roman" w:hAnsi="Times New Roman" w:cs="Times New Roman"/>
          <w:sz w:val="24"/>
          <w:szCs w:val="24"/>
          <w:lang w:eastAsia="en-GB"/>
        </w:rPr>
        <w:t>(EU</w:t>
      </w:r>
      <w:r w:rsidR="005B4597">
        <w:rPr>
          <w:rFonts w:ascii="Times New Roman" w:eastAsia="Times New Roman" w:hAnsi="Times New Roman" w:cs="Times New Roman"/>
          <w:sz w:val="24"/>
          <w:szCs w:val="24"/>
          <w:lang w:eastAsia="en-GB"/>
        </w:rPr>
        <w:t xml:space="preserve"> </w:t>
      </w:r>
      <w:r w:rsidR="005B4597" w:rsidRPr="005B4597">
        <w:rPr>
          <w:rFonts w:ascii="Times New Roman" w:eastAsia="Times New Roman" w:hAnsi="Times New Roman" w:cs="Times New Roman"/>
          <w:sz w:val="24"/>
          <w:szCs w:val="24"/>
          <w:lang w:eastAsia="en-GB"/>
        </w:rPr>
        <w:t xml:space="preserve">Directive 2014/59/EU </w:t>
      </w:r>
      <w:r w:rsidR="005B4597">
        <w:rPr>
          <w:rFonts w:ascii="Times New Roman" w:eastAsia="Times New Roman" w:hAnsi="Times New Roman" w:cs="Times New Roman"/>
          <w:sz w:val="24"/>
          <w:szCs w:val="24"/>
          <w:lang w:eastAsia="en-GB"/>
        </w:rPr>
        <w:t>on</w:t>
      </w:r>
      <w:r w:rsidR="005B4597" w:rsidRPr="005B4597">
        <w:rPr>
          <w:rFonts w:ascii="Times New Roman" w:eastAsia="Times New Roman" w:hAnsi="Times New Roman" w:cs="Times New Roman"/>
          <w:sz w:val="24"/>
          <w:szCs w:val="24"/>
          <w:lang w:eastAsia="en-GB"/>
        </w:rPr>
        <w:t xml:space="preserve"> recovery and resolution of credit institutions and investment firms</w:t>
      </w:r>
      <w:r w:rsidR="008A3E0C">
        <w:rPr>
          <w:rFonts w:ascii="Times New Roman" w:eastAsia="Times New Roman" w:hAnsi="Times New Roman" w:cs="Times New Roman"/>
          <w:sz w:val="24"/>
          <w:szCs w:val="24"/>
          <w:lang w:eastAsia="en-GB"/>
        </w:rPr>
        <w:t>)</w:t>
      </w:r>
      <w:r w:rsidR="004E5E38" w:rsidRPr="004E5E38">
        <w:rPr>
          <w:rFonts w:ascii="Times New Roman" w:eastAsia="Times New Roman" w:hAnsi="Times New Roman" w:cs="Times New Roman"/>
          <w:sz w:val="24"/>
          <w:szCs w:val="24"/>
          <w:lang w:eastAsia="en-GB"/>
        </w:rPr>
        <w:t xml:space="preserve"> implemented and enforced</w:t>
      </w:r>
      <w:r w:rsidR="008A3E0C">
        <w:rPr>
          <w:rFonts w:ascii="Times New Roman" w:eastAsia="Times New Roman" w:hAnsi="Times New Roman" w:cs="Times New Roman"/>
          <w:sz w:val="24"/>
          <w:szCs w:val="24"/>
          <w:lang w:eastAsia="en-GB"/>
        </w:rPr>
        <w:t>.</w:t>
      </w:r>
    </w:p>
    <w:p w:rsidR="00D6258C" w:rsidRPr="00CC1C5C" w:rsidRDefault="00D6258C" w:rsidP="00D6258C">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 xml:space="preserve">In the context of Result </w:t>
      </w:r>
      <w:r w:rsidR="00693B96" w:rsidRPr="00CC1C5C">
        <w:rPr>
          <w:rFonts w:ascii="Times New Roman" w:eastAsia="Times New Roman" w:hAnsi="Times New Roman" w:cs="Times New Roman"/>
          <w:sz w:val="24"/>
          <w:szCs w:val="24"/>
          <w:lang w:eastAsia="en-GB"/>
        </w:rPr>
        <w:t>3</w:t>
      </w:r>
      <w:r w:rsidRPr="00CC1C5C">
        <w:rPr>
          <w:rFonts w:ascii="Times New Roman" w:eastAsia="Times New Roman" w:hAnsi="Times New Roman" w:cs="Times New Roman"/>
          <w:sz w:val="24"/>
          <w:szCs w:val="24"/>
          <w:lang w:eastAsia="en-GB"/>
        </w:rPr>
        <w:t xml:space="preserve"> the following benchmarks will be achieved:</w:t>
      </w:r>
    </w:p>
    <w:p w:rsidR="00CA4786" w:rsidRPr="00CC1C5C" w:rsidRDefault="002113FD" w:rsidP="00723A05">
      <w:pPr>
        <w:pStyle w:val="ListParagraph"/>
        <w:numPr>
          <w:ilvl w:val="0"/>
          <w:numId w:val="30"/>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00CA4786" w:rsidRPr="00CC1C5C">
        <w:rPr>
          <w:rFonts w:ascii="Times New Roman" w:eastAsia="Times New Roman" w:hAnsi="Times New Roman" w:cs="Times New Roman"/>
          <w:sz w:val="24"/>
          <w:szCs w:val="24"/>
          <w:lang w:eastAsia="en-GB"/>
        </w:rPr>
        <w:t xml:space="preserve">ank’s recovery and </w:t>
      </w:r>
      <w:r w:rsidR="00C95F39" w:rsidRPr="00CC1C5C">
        <w:rPr>
          <w:rFonts w:ascii="Times New Roman" w:eastAsia="Times New Roman" w:hAnsi="Times New Roman" w:cs="Times New Roman"/>
          <w:sz w:val="24"/>
          <w:szCs w:val="24"/>
          <w:lang w:eastAsia="en-GB"/>
        </w:rPr>
        <w:t>r</w:t>
      </w:r>
      <w:r w:rsidR="00CA4786" w:rsidRPr="00CC1C5C">
        <w:rPr>
          <w:rFonts w:ascii="Times New Roman" w:eastAsia="Times New Roman" w:hAnsi="Times New Roman" w:cs="Times New Roman"/>
          <w:sz w:val="24"/>
          <w:szCs w:val="24"/>
          <w:lang w:eastAsia="en-GB"/>
        </w:rPr>
        <w:t>esolution</w:t>
      </w:r>
      <w:r w:rsidR="00C95F39" w:rsidRPr="00CC1C5C">
        <w:rPr>
          <w:rFonts w:ascii="Times New Roman" w:eastAsia="Times New Roman" w:hAnsi="Times New Roman" w:cs="Times New Roman"/>
          <w:sz w:val="24"/>
          <w:szCs w:val="24"/>
          <w:lang w:eastAsia="en-GB"/>
        </w:rPr>
        <w:t xml:space="preserve"> </w:t>
      </w:r>
      <w:r w:rsidR="009309E3" w:rsidRPr="00CC1C5C">
        <w:rPr>
          <w:rFonts w:ascii="Times New Roman" w:eastAsia="Times New Roman" w:hAnsi="Times New Roman" w:cs="Times New Roman"/>
          <w:sz w:val="24"/>
          <w:szCs w:val="24"/>
          <w:lang w:eastAsia="en-GB"/>
        </w:rPr>
        <w:t xml:space="preserve">framework </w:t>
      </w:r>
      <w:r w:rsidR="002066B1">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developed and enhanced</w:t>
      </w:r>
      <w:r w:rsidR="00C76C36">
        <w:rPr>
          <w:rFonts w:ascii="Times New Roman" w:eastAsia="Times New Roman" w:hAnsi="Times New Roman" w:cs="Times New Roman"/>
          <w:sz w:val="24"/>
          <w:szCs w:val="24"/>
          <w:lang w:eastAsia="en-GB"/>
        </w:rPr>
        <w:t>;</w:t>
      </w:r>
      <w:r w:rsidR="002066B1">
        <w:rPr>
          <w:rFonts w:ascii="Times New Roman" w:eastAsia="Times New Roman" w:hAnsi="Times New Roman" w:cs="Times New Roman"/>
          <w:sz w:val="24"/>
          <w:szCs w:val="24"/>
          <w:lang w:eastAsia="en-GB"/>
        </w:rPr>
        <w:t xml:space="preserve"> </w:t>
      </w:r>
    </w:p>
    <w:p w:rsidR="00CE2A1E" w:rsidRPr="00CC1C5C" w:rsidRDefault="00CE2A1E" w:rsidP="00723A05">
      <w:pPr>
        <w:pStyle w:val="ListParagraph"/>
        <w:numPr>
          <w:ilvl w:val="0"/>
          <w:numId w:val="30"/>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NBM is capacitated to apply </w:t>
      </w:r>
      <w:r w:rsidR="00681FA3">
        <w:rPr>
          <w:rFonts w:ascii="Times New Roman" w:eastAsia="Times New Roman" w:hAnsi="Times New Roman" w:cs="Times New Roman"/>
          <w:sz w:val="24"/>
          <w:szCs w:val="24"/>
          <w:lang w:eastAsia="en-GB"/>
        </w:rPr>
        <w:t xml:space="preserve">the appropriate </w:t>
      </w:r>
      <w:r>
        <w:rPr>
          <w:rFonts w:ascii="Times New Roman" w:eastAsia="Times New Roman" w:hAnsi="Times New Roman" w:cs="Times New Roman"/>
          <w:sz w:val="24"/>
          <w:szCs w:val="24"/>
          <w:lang w:eastAsia="en-GB"/>
        </w:rPr>
        <w:t>resolution tools timely and</w:t>
      </w:r>
      <w:r w:rsidR="00C76C36">
        <w:rPr>
          <w:rFonts w:ascii="Times New Roman" w:eastAsia="Times New Roman" w:hAnsi="Times New Roman" w:cs="Times New Roman"/>
          <w:sz w:val="24"/>
          <w:szCs w:val="24"/>
          <w:lang w:eastAsia="en-GB"/>
        </w:rPr>
        <w:t xml:space="preserve"> effectively, whenever required;</w:t>
      </w:r>
      <w:r>
        <w:rPr>
          <w:rFonts w:ascii="Times New Roman" w:eastAsia="Times New Roman" w:hAnsi="Times New Roman" w:cs="Times New Roman"/>
          <w:sz w:val="24"/>
          <w:szCs w:val="24"/>
          <w:lang w:eastAsia="en-GB"/>
        </w:rPr>
        <w:t xml:space="preserve"> </w:t>
      </w:r>
    </w:p>
    <w:p w:rsidR="00CA4786" w:rsidRPr="00CC1C5C" w:rsidRDefault="00CA4786" w:rsidP="00723A05">
      <w:pPr>
        <w:pStyle w:val="ListParagraph"/>
        <w:numPr>
          <w:ilvl w:val="0"/>
          <w:numId w:val="30"/>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Improv</w:t>
      </w:r>
      <w:r w:rsidR="00E96FA0">
        <w:rPr>
          <w:rFonts w:ascii="Times New Roman" w:eastAsia="Times New Roman" w:hAnsi="Times New Roman" w:cs="Times New Roman"/>
          <w:sz w:val="24"/>
          <w:szCs w:val="24"/>
          <w:lang w:eastAsia="en-GB"/>
        </w:rPr>
        <w:t>ed</w:t>
      </w:r>
      <w:r w:rsidRPr="00CC1C5C">
        <w:rPr>
          <w:rFonts w:ascii="Times New Roman" w:eastAsia="Times New Roman" w:hAnsi="Times New Roman" w:cs="Times New Roman"/>
          <w:sz w:val="24"/>
          <w:szCs w:val="24"/>
          <w:lang w:eastAsia="en-GB"/>
        </w:rPr>
        <w:t xml:space="preserve"> quality of banks’ recovery and resolution plans for being prepared to act </w:t>
      </w:r>
      <w:r w:rsidR="009C7E0D">
        <w:rPr>
          <w:rFonts w:ascii="Times New Roman" w:eastAsia="Times New Roman" w:hAnsi="Times New Roman" w:cs="Times New Roman"/>
          <w:sz w:val="24"/>
          <w:szCs w:val="24"/>
          <w:lang w:eastAsia="en-GB"/>
        </w:rPr>
        <w:t>in case</w:t>
      </w:r>
      <w:r w:rsidRPr="00CC1C5C">
        <w:rPr>
          <w:rFonts w:ascii="Times New Roman" w:eastAsia="Times New Roman" w:hAnsi="Times New Roman" w:cs="Times New Roman"/>
          <w:sz w:val="24"/>
          <w:szCs w:val="24"/>
          <w:lang w:eastAsia="en-GB"/>
        </w:rPr>
        <w:t xml:space="preserve"> a bank enters in financial distress</w:t>
      </w:r>
      <w:r w:rsidR="00C76C36">
        <w:rPr>
          <w:rFonts w:ascii="Times New Roman" w:eastAsia="Times New Roman" w:hAnsi="Times New Roman" w:cs="Times New Roman"/>
          <w:sz w:val="24"/>
          <w:szCs w:val="24"/>
          <w:lang w:eastAsia="en-GB"/>
        </w:rPr>
        <w:t>.</w:t>
      </w:r>
      <w:r w:rsidR="00AF0D50">
        <w:rPr>
          <w:rFonts w:ascii="Times New Roman" w:eastAsia="Times New Roman" w:hAnsi="Times New Roman" w:cs="Times New Roman"/>
          <w:sz w:val="24"/>
          <w:szCs w:val="24"/>
          <w:lang w:eastAsia="en-GB"/>
        </w:rPr>
        <w:t xml:space="preserve"> </w:t>
      </w:r>
      <w:r w:rsidR="009C7E0D">
        <w:rPr>
          <w:rFonts w:ascii="Times New Roman" w:eastAsia="Times New Roman" w:hAnsi="Times New Roman" w:cs="Times New Roman"/>
          <w:sz w:val="24"/>
          <w:szCs w:val="24"/>
          <w:lang w:eastAsia="en-GB"/>
        </w:rPr>
        <w:t xml:space="preserve"> </w:t>
      </w:r>
    </w:p>
    <w:p w:rsidR="00B03BBE" w:rsidRPr="00CC1C5C" w:rsidRDefault="00D6258C" w:rsidP="00B03B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T</w:t>
      </w:r>
      <w:r w:rsidR="00B03BBE" w:rsidRPr="00CC1C5C">
        <w:rPr>
          <w:rFonts w:ascii="Times New Roman" w:eastAsia="Times New Roman" w:hAnsi="Times New Roman" w:cs="Times New Roman"/>
          <w:sz w:val="24"/>
          <w:szCs w:val="24"/>
          <w:lang w:eastAsia="en-GB"/>
        </w:rPr>
        <w:t>he above-mentioned result</w:t>
      </w:r>
      <w:r w:rsidR="00B329F5">
        <w:rPr>
          <w:rFonts w:ascii="Times New Roman" w:eastAsia="Times New Roman" w:hAnsi="Times New Roman" w:cs="Times New Roman"/>
          <w:sz w:val="24"/>
          <w:szCs w:val="24"/>
          <w:lang w:eastAsia="en-GB"/>
        </w:rPr>
        <w:t xml:space="preserve"> will </w:t>
      </w:r>
      <w:r w:rsidR="00B03BBE" w:rsidRPr="00CC1C5C">
        <w:rPr>
          <w:rFonts w:ascii="Times New Roman" w:eastAsia="Times New Roman" w:hAnsi="Times New Roman" w:cs="Times New Roman"/>
          <w:sz w:val="24"/>
          <w:szCs w:val="24"/>
          <w:lang w:eastAsia="en-GB"/>
        </w:rPr>
        <w:t>be achieved</w:t>
      </w:r>
      <w:r w:rsidR="00B329F5">
        <w:rPr>
          <w:rFonts w:ascii="Times New Roman" w:eastAsia="Times New Roman" w:hAnsi="Times New Roman" w:cs="Times New Roman"/>
          <w:sz w:val="24"/>
          <w:szCs w:val="24"/>
          <w:lang w:eastAsia="en-GB"/>
        </w:rPr>
        <w:t xml:space="preserve"> by</w:t>
      </w:r>
      <w:r w:rsidR="00B03BBE" w:rsidRPr="00CC1C5C">
        <w:rPr>
          <w:rFonts w:ascii="Times New Roman" w:eastAsia="Times New Roman" w:hAnsi="Times New Roman" w:cs="Times New Roman"/>
          <w:sz w:val="24"/>
          <w:szCs w:val="24"/>
          <w:lang w:eastAsia="en-GB"/>
        </w:rPr>
        <w:t>:</w:t>
      </w:r>
    </w:p>
    <w:p w:rsidR="00CA4786" w:rsidRPr="00CC1C5C" w:rsidRDefault="00CA4786" w:rsidP="00253E74">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Development, approval, implementation and monitoring of effectiveness of the secondary legislation /internal regulations and procedures/guidelines/framework for recovery and resolution, in order to be aligned with EU BRRD requirements and best practices (secondary legislation for the implementation of the Law on Bank Recovery and Resolution; internal regulations for implementation the mentioned Law and secondary legislation; internal procedure for assessment if a bank is failing or likely to fail; improvement of the internal procedure for assessment of recovery plans</w:t>
      </w:r>
      <w:r w:rsidR="00937837">
        <w:rPr>
          <w:rFonts w:ascii="Times New Roman" w:eastAsia="Times New Roman" w:hAnsi="Times New Roman" w:cs="Times New Roman"/>
          <w:sz w:val="24"/>
          <w:szCs w:val="24"/>
          <w:lang w:eastAsia="en-GB"/>
        </w:rPr>
        <w:t xml:space="preserve">, </w:t>
      </w:r>
      <w:r w:rsidR="00937837" w:rsidRPr="00937837">
        <w:rPr>
          <w:rFonts w:ascii="Times New Roman" w:eastAsia="Times New Roman" w:hAnsi="Times New Roman" w:cs="Times New Roman"/>
          <w:sz w:val="24"/>
          <w:szCs w:val="24"/>
          <w:lang w:eastAsia="en-GB"/>
        </w:rPr>
        <w:t>improvement of the internal procedure for drafting resolution plans</w:t>
      </w:r>
      <w:r w:rsidR="00C76C36">
        <w:rPr>
          <w:rFonts w:ascii="Times New Roman" w:eastAsia="Times New Roman" w:hAnsi="Times New Roman" w:cs="Times New Roman"/>
          <w:sz w:val="24"/>
          <w:szCs w:val="24"/>
          <w:lang w:eastAsia="en-GB"/>
        </w:rPr>
        <w:t>);</w:t>
      </w:r>
    </w:p>
    <w:p w:rsidR="00CA4786" w:rsidRDefault="008C5421" w:rsidP="00253E74">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Capacity building (seminars, training, on-job training) </w:t>
      </w:r>
      <w:r w:rsidR="00CA4786" w:rsidRPr="00CC1C5C">
        <w:rPr>
          <w:rFonts w:ascii="Times New Roman" w:eastAsia="Times New Roman" w:hAnsi="Times New Roman" w:cs="Times New Roman"/>
          <w:sz w:val="24"/>
          <w:szCs w:val="24"/>
          <w:lang w:eastAsia="en-GB"/>
        </w:rPr>
        <w:t>for the NBM banking supervisors on early intervention regime, on assessment of recovery plans and if a bank is failing or likely to fail; for the NBM Banking Resolution Division – on drafting resolution plans and on application of four resolution tools: bail-in, bridge-bank, asset separation and sale of business, for banks – on drafting recovery plans.</w:t>
      </w:r>
    </w:p>
    <w:p w:rsidR="00772322" w:rsidRPr="00EF708D" w:rsidRDefault="00772322" w:rsidP="00EF708D">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F708D">
        <w:rPr>
          <w:rFonts w:ascii="Times New Roman" w:eastAsia="Times New Roman" w:hAnsi="Times New Roman" w:cs="Times New Roman"/>
          <w:sz w:val="24"/>
          <w:szCs w:val="24"/>
          <w:lang w:eastAsia="en-GB"/>
        </w:rPr>
        <w:t>In terms of outcomes, the assistance under this Component should lead</w:t>
      </w:r>
      <w:r w:rsidR="0062134F">
        <w:rPr>
          <w:rFonts w:ascii="Times New Roman" w:eastAsia="Times New Roman" w:hAnsi="Times New Roman" w:cs="Times New Roman"/>
          <w:sz w:val="24"/>
          <w:szCs w:val="24"/>
          <w:lang w:eastAsia="en-GB"/>
        </w:rPr>
        <w:t xml:space="preserve"> to </w:t>
      </w:r>
      <w:r w:rsidR="00BF4E93">
        <w:rPr>
          <w:rFonts w:ascii="Times New Roman" w:eastAsia="Times New Roman" w:hAnsi="Times New Roman" w:cs="Times New Roman"/>
          <w:sz w:val="24"/>
          <w:szCs w:val="24"/>
          <w:lang w:eastAsia="en-GB"/>
        </w:rPr>
        <w:t>a timely and decisive response by the regulator to</w:t>
      </w:r>
      <w:r w:rsidR="00410304">
        <w:rPr>
          <w:rFonts w:ascii="Times New Roman" w:eastAsia="Times New Roman" w:hAnsi="Times New Roman" w:cs="Times New Roman"/>
          <w:sz w:val="24"/>
          <w:szCs w:val="24"/>
          <w:lang w:eastAsia="en-GB"/>
        </w:rPr>
        <w:t xml:space="preserve"> a bank in financial distress</w:t>
      </w:r>
      <w:r w:rsidR="005A2A4A" w:rsidRPr="00CC1C5C">
        <w:rPr>
          <w:rFonts w:ascii="Times New Roman" w:eastAsia="Times New Roman" w:hAnsi="Times New Roman" w:cs="Times New Roman"/>
          <w:sz w:val="24"/>
          <w:szCs w:val="24"/>
          <w:lang w:eastAsia="en-GB"/>
        </w:rPr>
        <w:t xml:space="preserve"> </w:t>
      </w:r>
      <w:r w:rsidR="00410304">
        <w:rPr>
          <w:rFonts w:ascii="Times New Roman" w:eastAsia="Times New Roman" w:hAnsi="Times New Roman" w:cs="Times New Roman"/>
          <w:sz w:val="24"/>
          <w:szCs w:val="24"/>
          <w:lang w:eastAsia="en-GB"/>
        </w:rPr>
        <w:t xml:space="preserve">while </w:t>
      </w:r>
      <w:r w:rsidR="005A2A4A" w:rsidRPr="00CC1C5C">
        <w:rPr>
          <w:rFonts w:ascii="Times New Roman" w:eastAsia="Times New Roman" w:hAnsi="Times New Roman" w:cs="Times New Roman"/>
          <w:sz w:val="24"/>
          <w:szCs w:val="24"/>
          <w:lang w:eastAsia="en-GB"/>
        </w:rPr>
        <w:t>maintain</w:t>
      </w:r>
      <w:r w:rsidR="00410304">
        <w:rPr>
          <w:rFonts w:ascii="Times New Roman" w:eastAsia="Times New Roman" w:hAnsi="Times New Roman" w:cs="Times New Roman"/>
          <w:sz w:val="24"/>
          <w:szCs w:val="24"/>
          <w:lang w:eastAsia="en-GB"/>
        </w:rPr>
        <w:t>ing financial stability and minimising</w:t>
      </w:r>
      <w:r w:rsidR="005A2A4A" w:rsidRPr="00CC1C5C">
        <w:rPr>
          <w:rFonts w:ascii="Times New Roman" w:eastAsia="Times New Roman" w:hAnsi="Times New Roman" w:cs="Times New Roman"/>
          <w:sz w:val="24"/>
          <w:szCs w:val="24"/>
          <w:lang w:eastAsia="en-GB"/>
        </w:rPr>
        <w:t xml:space="preserve"> losses to the public</w:t>
      </w:r>
      <w:r w:rsidR="00410304">
        <w:rPr>
          <w:rFonts w:ascii="Times New Roman" w:eastAsia="Times New Roman" w:hAnsi="Times New Roman" w:cs="Times New Roman"/>
          <w:sz w:val="24"/>
          <w:szCs w:val="24"/>
          <w:lang w:eastAsia="en-GB"/>
        </w:rPr>
        <w:t xml:space="preserve">. </w:t>
      </w:r>
    </w:p>
    <w:p w:rsidR="00B601CC" w:rsidRPr="00EF708D" w:rsidRDefault="00B601CC" w:rsidP="00B601CC">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EF708D">
        <w:rPr>
          <w:rFonts w:ascii="Times New Roman" w:eastAsia="Times New Roman" w:hAnsi="Times New Roman" w:cs="Times New Roman"/>
          <w:b/>
          <w:sz w:val="24"/>
          <w:szCs w:val="24"/>
          <w:lang w:eastAsia="en-GB"/>
        </w:rPr>
        <w:t xml:space="preserve">Component 4: </w:t>
      </w:r>
      <w:r w:rsidR="009D4D6F" w:rsidRPr="00EF708D">
        <w:rPr>
          <w:rFonts w:ascii="Times New Roman" w:eastAsia="Times New Roman" w:hAnsi="Times New Roman" w:cs="Times New Roman"/>
          <w:b/>
          <w:sz w:val="24"/>
          <w:szCs w:val="24"/>
          <w:lang w:eastAsia="en-GB"/>
        </w:rPr>
        <w:t xml:space="preserve">Introduction of a new legal framework on supervision of insurance sector and third party motor insurance  </w:t>
      </w:r>
    </w:p>
    <w:p w:rsidR="00B601CC" w:rsidRPr="004848F0" w:rsidRDefault="00B601CC" w:rsidP="00B601CC">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848F0">
        <w:rPr>
          <w:rFonts w:ascii="Times New Roman" w:eastAsia="Times New Roman" w:hAnsi="Times New Roman" w:cs="Times New Roman"/>
          <w:sz w:val="24"/>
          <w:szCs w:val="24"/>
          <w:lang w:eastAsia="en-GB"/>
        </w:rPr>
        <w:t>Mandatory result</w:t>
      </w:r>
      <w:r w:rsidR="008A3E0C">
        <w:rPr>
          <w:rFonts w:ascii="Times New Roman" w:eastAsia="Times New Roman" w:hAnsi="Times New Roman" w:cs="Times New Roman"/>
          <w:sz w:val="24"/>
          <w:szCs w:val="24"/>
          <w:lang w:eastAsia="en-GB"/>
        </w:rPr>
        <w:t xml:space="preserve"> 4</w:t>
      </w:r>
      <w:r w:rsidRPr="004848F0">
        <w:rPr>
          <w:rFonts w:ascii="Times New Roman" w:eastAsia="Times New Roman" w:hAnsi="Times New Roman" w:cs="Times New Roman"/>
          <w:sz w:val="24"/>
          <w:szCs w:val="24"/>
          <w:lang w:eastAsia="en-GB"/>
        </w:rPr>
        <w:t>:</w:t>
      </w:r>
      <w:r w:rsidR="00DF6E63" w:rsidRPr="004848F0">
        <w:rPr>
          <w:rFonts w:ascii="Times New Roman" w:eastAsia="Times New Roman" w:hAnsi="Times New Roman" w:cs="Times New Roman"/>
          <w:sz w:val="24"/>
          <w:szCs w:val="24"/>
          <w:lang w:eastAsia="en-GB"/>
        </w:rPr>
        <w:t xml:space="preserve"> New legislation on supervision of insurance sector and on third party liability motor insurance aligned to EU acquis is </w:t>
      </w:r>
      <w:r w:rsidR="00E945C2" w:rsidRPr="004848F0">
        <w:rPr>
          <w:rFonts w:ascii="Times New Roman" w:eastAsia="Times New Roman" w:hAnsi="Times New Roman" w:cs="Times New Roman"/>
          <w:sz w:val="24"/>
          <w:szCs w:val="24"/>
          <w:lang w:eastAsia="en-GB"/>
        </w:rPr>
        <w:t xml:space="preserve">developed and </w:t>
      </w:r>
      <w:r w:rsidR="00DF6E63" w:rsidRPr="004848F0">
        <w:rPr>
          <w:rFonts w:ascii="Times New Roman" w:eastAsia="Times New Roman" w:hAnsi="Times New Roman" w:cs="Times New Roman"/>
          <w:sz w:val="24"/>
          <w:szCs w:val="24"/>
          <w:lang w:eastAsia="en-GB"/>
        </w:rPr>
        <w:t>enforced.</w:t>
      </w:r>
    </w:p>
    <w:p w:rsidR="00A600DB" w:rsidRPr="00CC1C5C" w:rsidRDefault="00A600DB" w:rsidP="00A600DB">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 xml:space="preserve">In the context of </w:t>
      </w:r>
      <w:r>
        <w:rPr>
          <w:rFonts w:ascii="Times New Roman" w:eastAsia="Times New Roman" w:hAnsi="Times New Roman" w:cs="Times New Roman"/>
          <w:sz w:val="24"/>
          <w:szCs w:val="24"/>
          <w:lang w:eastAsia="en-GB"/>
        </w:rPr>
        <w:t>Result 4</w:t>
      </w:r>
      <w:r w:rsidRPr="00CC1C5C">
        <w:rPr>
          <w:rFonts w:ascii="Times New Roman" w:eastAsia="Times New Roman" w:hAnsi="Times New Roman" w:cs="Times New Roman"/>
          <w:sz w:val="24"/>
          <w:szCs w:val="24"/>
          <w:lang w:eastAsia="en-GB"/>
        </w:rPr>
        <w:t xml:space="preserve"> the following benchmarks will be achieved:</w:t>
      </w:r>
    </w:p>
    <w:p w:rsidR="00B601CC" w:rsidRPr="00C1676B" w:rsidRDefault="00B601CC" w:rsidP="00DA2467">
      <w:pPr>
        <w:pStyle w:val="ListParagraph"/>
        <w:numPr>
          <w:ilvl w:val="0"/>
          <w:numId w:val="31"/>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1676B">
        <w:rPr>
          <w:rFonts w:ascii="Times New Roman" w:eastAsia="Times New Roman" w:hAnsi="Times New Roman" w:cs="Times New Roman"/>
          <w:sz w:val="24"/>
          <w:szCs w:val="24"/>
          <w:lang w:eastAsia="en-GB"/>
        </w:rPr>
        <w:t xml:space="preserve">New </w:t>
      </w:r>
      <w:r w:rsidR="004327ED" w:rsidRPr="00C1676B">
        <w:rPr>
          <w:rFonts w:ascii="Times New Roman" w:eastAsia="Times New Roman" w:hAnsi="Times New Roman" w:cs="Times New Roman"/>
          <w:sz w:val="24"/>
          <w:szCs w:val="24"/>
          <w:lang w:eastAsia="en-GB"/>
        </w:rPr>
        <w:t xml:space="preserve">draft </w:t>
      </w:r>
      <w:r w:rsidRPr="00C1676B">
        <w:rPr>
          <w:rFonts w:ascii="Times New Roman" w:eastAsia="Times New Roman" w:hAnsi="Times New Roman" w:cs="Times New Roman"/>
          <w:sz w:val="24"/>
          <w:szCs w:val="24"/>
          <w:lang w:eastAsia="en-GB"/>
        </w:rPr>
        <w:t>primary</w:t>
      </w:r>
      <w:r w:rsidR="00DF6E63" w:rsidRPr="00C1676B">
        <w:rPr>
          <w:rFonts w:ascii="Times New Roman" w:eastAsia="Times New Roman" w:hAnsi="Times New Roman" w:cs="Times New Roman"/>
          <w:sz w:val="24"/>
          <w:szCs w:val="24"/>
          <w:lang w:eastAsia="en-GB"/>
        </w:rPr>
        <w:t xml:space="preserve"> </w:t>
      </w:r>
      <w:r w:rsidRPr="00C1676B">
        <w:rPr>
          <w:rFonts w:ascii="Times New Roman" w:eastAsia="Times New Roman" w:hAnsi="Times New Roman" w:cs="Times New Roman"/>
          <w:sz w:val="24"/>
          <w:szCs w:val="24"/>
          <w:lang w:eastAsia="en-GB"/>
        </w:rPr>
        <w:t xml:space="preserve">legislation on insurance assessed regarding the compliance </w:t>
      </w:r>
      <w:r w:rsidR="004327ED" w:rsidRPr="00C1676B">
        <w:rPr>
          <w:rFonts w:ascii="Times New Roman" w:eastAsia="Times New Roman" w:hAnsi="Times New Roman" w:cs="Times New Roman"/>
          <w:sz w:val="24"/>
          <w:szCs w:val="24"/>
          <w:lang w:eastAsia="en-GB"/>
        </w:rPr>
        <w:t xml:space="preserve">with EU </w:t>
      </w:r>
      <w:r w:rsidRPr="00C1676B">
        <w:rPr>
          <w:rFonts w:ascii="Times New Roman" w:eastAsia="Times New Roman" w:hAnsi="Times New Roman" w:cs="Times New Roman"/>
          <w:sz w:val="24"/>
          <w:szCs w:val="24"/>
          <w:lang w:eastAsia="en-GB"/>
        </w:rPr>
        <w:t>Solvency II Directive and related framework;</w:t>
      </w:r>
    </w:p>
    <w:p w:rsidR="00B601CC" w:rsidRPr="00DA2467" w:rsidRDefault="00B601CC" w:rsidP="00DA2467">
      <w:pPr>
        <w:pStyle w:val="ListParagraph"/>
        <w:numPr>
          <w:ilvl w:val="0"/>
          <w:numId w:val="31"/>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1676B">
        <w:rPr>
          <w:rFonts w:ascii="Times New Roman" w:eastAsia="Times New Roman" w:hAnsi="Times New Roman" w:cs="Times New Roman"/>
          <w:sz w:val="24"/>
          <w:szCs w:val="24"/>
          <w:lang w:eastAsia="en-GB"/>
        </w:rPr>
        <w:t xml:space="preserve">New secondary </w:t>
      </w:r>
      <w:r w:rsidR="00023533">
        <w:rPr>
          <w:rFonts w:ascii="Times New Roman" w:eastAsia="Times New Roman" w:hAnsi="Times New Roman" w:cs="Times New Roman"/>
          <w:sz w:val="24"/>
          <w:szCs w:val="24"/>
          <w:lang w:eastAsia="en-GB"/>
        </w:rPr>
        <w:t xml:space="preserve">legal </w:t>
      </w:r>
      <w:r w:rsidRPr="00C1676B">
        <w:rPr>
          <w:rFonts w:ascii="Times New Roman" w:eastAsia="Times New Roman" w:hAnsi="Times New Roman" w:cs="Times New Roman"/>
          <w:sz w:val="24"/>
          <w:szCs w:val="24"/>
          <w:lang w:eastAsia="en-GB"/>
        </w:rPr>
        <w:t>framework</w:t>
      </w:r>
      <w:r w:rsidR="00F00920" w:rsidRPr="00C1676B">
        <w:rPr>
          <w:rFonts w:ascii="Times New Roman" w:eastAsia="Times New Roman" w:hAnsi="Times New Roman" w:cs="Times New Roman"/>
          <w:sz w:val="24"/>
          <w:szCs w:val="24"/>
          <w:lang w:eastAsia="en-GB"/>
        </w:rPr>
        <w:t xml:space="preserve"> </w:t>
      </w:r>
      <w:r w:rsidRPr="00C1676B">
        <w:rPr>
          <w:rFonts w:ascii="Times New Roman" w:eastAsia="Times New Roman" w:hAnsi="Times New Roman" w:cs="Times New Roman"/>
          <w:sz w:val="24"/>
          <w:szCs w:val="24"/>
          <w:lang w:eastAsia="en-GB"/>
        </w:rPr>
        <w:t>on supervision of insurance sector and on third party liability motor insurance aligned to EU acquis is developed and approved</w:t>
      </w:r>
      <w:r w:rsidR="009F0F79">
        <w:rPr>
          <w:rFonts w:ascii="Times New Roman" w:eastAsia="Times New Roman" w:hAnsi="Times New Roman" w:cs="Times New Roman"/>
          <w:sz w:val="24"/>
          <w:szCs w:val="24"/>
          <w:lang w:eastAsia="en-GB"/>
        </w:rPr>
        <w:t>;</w:t>
      </w:r>
      <w:r w:rsidR="00D64F2C">
        <w:rPr>
          <w:rFonts w:ascii="Times New Roman" w:eastAsia="Times New Roman" w:hAnsi="Times New Roman" w:cs="Times New Roman"/>
          <w:sz w:val="24"/>
          <w:szCs w:val="24"/>
          <w:lang w:eastAsia="en-GB"/>
        </w:rPr>
        <w:t xml:space="preserve"> </w:t>
      </w:r>
    </w:p>
    <w:p w:rsidR="00B601CC" w:rsidRPr="00C1676B" w:rsidRDefault="002262CB" w:rsidP="00DA2467">
      <w:pPr>
        <w:pStyle w:val="ListParagraph"/>
        <w:numPr>
          <w:ilvl w:val="0"/>
          <w:numId w:val="31"/>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relevant e</w:t>
      </w:r>
      <w:r w:rsidR="00B601CC" w:rsidRPr="00C1676B">
        <w:rPr>
          <w:rFonts w:ascii="Times New Roman" w:eastAsia="Times New Roman" w:hAnsi="Times New Roman" w:cs="Times New Roman"/>
          <w:sz w:val="24"/>
          <w:szCs w:val="24"/>
          <w:lang w:eastAsia="en-GB"/>
        </w:rPr>
        <w:t>mployees responsible for insurance licensing, authori</w:t>
      </w:r>
      <w:r w:rsidR="00373A39">
        <w:rPr>
          <w:rFonts w:ascii="Times New Roman" w:eastAsia="Times New Roman" w:hAnsi="Times New Roman" w:cs="Times New Roman"/>
          <w:sz w:val="24"/>
          <w:szCs w:val="24"/>
          <w:lang w:eastAsia="en-GB"/>
        </w:rPr>
        <w:t>s</w:t>
      </w:r>
      <w:r w:rsidR="00B601CC" w:rsidRPr="00C1676B">
        <w:rPr>
          <w:rFonts w:ascii="Times New Roman" w:eastAsia="Times New Roman" w:hAnsi="Times New Roman" w:cs="Times New Roman"/>
          <w:sz w:val="24"/>
          <w:szCs w:val="24"/>
          <w:lang w:eastAsia="en-GB"/>
        </w:rPr>
        <w:t xml:space="preserve">ation and supervision </w:t>
      </w:r>
      <w:r w:rsidR="00373A39">
        <w:rPr>
          <w:rFonts w:ascii="Times New Roman" w:eastAsia="Times New Roman" w:hAnsi="Times New Roman" w:cs="Times New Roman"/>
          <w:sz w:val="24"/>
          <w:szCs w:val="24"/>
          <w:lang w:eastAsia="en-GB"/>
        </w:rPr>
        <w:t xml:space="preserve">are capacitated to effectively enforce </w:t>
      </w:r>
      <w:r w:rsidR="00BB34A7">
        <w:rPr>
          <w:rFonts w:ascii="Times New Roman" w:eastAsia="Times New Roman" w:hAnsi="Times New Roman" w:cs="Times New Roman"/>
          <w:sz w:val="24"/>
          <w:szCs w:val="24"/>
          <w:lang w:eastAsia="en-GB"/>
        </w:rPr>
        <w:t xml:space="preserve">the </w:t>
      </w:r>
      <w:r w:rsidR="00B601CC" w:rsidRPr="00C1676B">
        <w:rPr>
          <w:rFonts w:ascii="Times New Roman" w:eastAsia="Times New Roman" w:hAnsi="Times New Roman" w:cs="Times New Roman"/>
          <w:sz w:val="24"/>
          <w:szCs w:val="24"/>
          <w:lang w:eastAsia="en-GB"/>
        </w:rPr>
        <w:t>new regulatory framework</w:t>
      </w:r>
      <w:r w:rsidR="008A3E0C">
        <w:rPr>
          <w:rFonts w:ascii="Times New Roman" w:eastAsia="Times New Roman" w:hAnsi="Times New Roman" w:cs="Times New Roman"/>
          <w:sz w:val="24"/>
          <w:szCs w:val="24"/>
          <w:lang w:eastAsia="en-GB"/>
        </w:rPr>
        <w:t>;</w:t>
      </w:r>
    </w:p>
    <w:p w:rsidR="00B601CC" w:rsidRPr="00C1676B" w:rsidRDefault="00B601CC" w:rsidP="00DA2467">
      <w:pPr>
        <w:pStyle w:val="ListParagraph"/>
        <w:numPr>
          <w:ilvl w:val="0"/>
          <w:numId w:val="31"/>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1676B">
        <w:rPr>
          <w:rFonts w:ascii="Times New Roman" w:eastAsia="Times New Roman" w:hAnsi="Times New Roman" w:cs="Times New Roman"/>
          <w:sz w:val="24"/>
          <w:szCs w:val="24"/>
          <w:lang w:eastAsia="en-GB"/>
        </w:rPr>
        <w:t>Risk matrixes per each insurance company and per sector as a whole developed and enforced</w:t>
      </w:r>
      <w:r w:rsidR="008A3E0C">
        <w:rPr>
          <w:rFonts w:ascii="Times New Roman" w:eastAsia="Times New Roman" w:hAnsi="Times New Roman" w:cs="Times New Roman"/>
          <w:sz w:val="24"/>
          <w:szCs w:val="24"/>
          <w:lang w:eastAsia="en-GB"/>
        </w:rPr>
        <w:t>;</w:t>
      </w:r>
    </w:p>
    <w:p w:rsidR="00B601CC" w:rsidRDefault="00B601CC" w:rsidP="00DA2467">
      <w:pPr>
        <w:pStyle w:val="ListParagraph"/>
        <w:numPr>
          <w:ilvl w:val="0"/>
          <w:numId w:val="31"/>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1676B">
        <w:rPr>
          <w:rFonts w:ascii="Times New Roman" w:eastAsia="Times New Roman" w:hAnsi="Times New Roman" w:cs="Times New Roman"/>
          <w:sz w:val="24"/>
          <w:szCs w:val="24"/>
          <w:lang w:eastAsia="en-GB"/>
        </w:rPr>
        <w:t>Solvency Capital Requirements enforced and reported to NCFM by all insurers</w:t>
      </w:r>
      <w:r w:rsidR="008A3E0C">
        <w:rPr>
          <w:rFonts w:ascii="Times New Roman" w:eastAsia="Times New Roman" w:hAnsi="Times New Roman" w:cs="Times New Roman"/>
          <w:sz w:val="24"/>
          <w:szCs w:val="24"/>
          <w:lang w:eastAsia="en-GB"/>
        </w:rPr>
        <w:t>.</w:t>
      </w:r>
    </w:p>
    <w:p w:rsidR="005319C6" w:rsidRPr="00CC1C5C" w:rsidRDefault="005319C6" w:rsidP="005319C6">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The above-mentioned result</w:t>
      </w:r>
      <w:r w:rsidR="00732326">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will </w:t>
      </w:r>
      <w:r w:rsidRPr="00CC1C5C">
        <w:rPr>
          <w:rFonts w:ascii="Times New Roman" w:eastAsia="Times New Roman" w:hAnsi="Times New Roman" w:cs="Times New Roman"/>
          <w:sz w:val="24"/>
          <w:szCs w:val="24"/>
          <w:lang w:eastAsia="en-GB"/>
        </w:rPr>
        <w:t>be achieved</w:t>
      </w:r>
      <w:r>
        <w:rPr>
          <w:rFonts w:ascii="Times New Roman" w:eastAsia="Times New Roman" w:hAnsi="Times New Roman" w:cs="Times New Roman"/>
          <w:sz w:val="24"/>
          <w:szCs w:val="24"/>
          <w:lang w:eastAsia="en-GB"/>
        </w:rPr>
        <w:t xml:space="preserve"> by</w:t>
      </w:r>
      <w:r w:rsidRPr="00CC1C5C">
        <w:rPr>
          <w:rFonts w:ascii="Times New Roman" w:eastAsia="Times New Roman" w:hAnsi="Times New Roman" w:cs="Times New Roman"/>
          <w:sz w:val="24"/>
          <w:szCs w:val="24"/>
          <w:lang w:eastAsia="en-GB"/>
        </w:rPr>
        <w:t>:</w:t>
      </w:r>
    </w:p>
    <w:p w:rsidR="00D64F2C" w:rsidRPr="00C1676B" w:rsidRDefault="00D64F2C" w:rsidP="00732326">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C1676B">
        <w:rPr>
          <w:rFonts w:ascii="Times New Roman" w:eastAsia="Times New Roman" w:hAnsi="Times New Roman" w:cs="Times New Roman"/>
          <w:sz w:val="24"/>
          <w:szCs w:val="24"/>
          <w:lang w:eastAsia="en-GB"/>
        </w:rPr>
        <w:t xml:space="preserve">Assessment </w:t>
      </w:r>
      <w:r w:rsidR="001129B5" w:rsidRPr="00C1676B">
        <w:rPr>
          <w:rFonts w:ascii="Times New Roman" w:eastAsia="Times New Roman" w:hAnsi="Times New Roman" w:cs="Times New Roman"/>
          <w:sz w:val="24"/>
          <w:szCs w:val="24"/>
          <w:lang w:eastAsia="en-GB"/>
        </w:rPr>
        <w:t xml:space="preserve">by the twinning partners </w:t>
      </w:r>
      <w:r w:rsidRPr="00C1676B">
        <w:rPr>
          <w:rFonts w:ascii="Times New Roman" w:eastAsia="Times New Roman" w:hAnsi="Times New Roman" w:cs="Times New Roman"/>
          <w:sz w:val="24"/>
          <w:szCs w:val="24"/>
          <w:lang w:eastAsia="en-GB"/>
        </w:rPr>
        <w:t xml:space="preserve">of the draft primary legislation and assistance to </w:t>
      </w:r>
      <w:r w:rsidR="001129B5" w:rsidRPr="00C1676B">
        <w:rPr>
          <w:rFonts w:ascii="Times New Roman" w:eastAsia="Times New Roman" w:hAnsi="Times New Roman" w:cs="Times New Roman"/>
          <w:sz w:val="24"/>
          <w:szCs w:val="24"/>
          <w:lang w:eastAsia="en-GB"/>
        </w:rPr>
        <w:t xml:space="preserve">the </w:t>
      </w:r>
      <w:r w:rsidRPr="00C1676B">
        <w:rPr>
          <w:rFonts w:ascii="Times New Roman" w:eastAsia="Times New Roman" w:hAnsi="Times New Roman" w:cs="Times New Roman"/>
          <w:sz w:val="24"/>
          <w:szCs w:val="24"/>
          <w:lang w:eastAsia="en-GB"/>
        </w:rPr>
        <w:t xml:space="preserve">NCFM in case further adjustment to the draft are needed. </w:t>
      </w:r>
    </w:p>
    <w:p w:rsidR="001129B5" w:rsidRPr="00C1676B" w:rsidRDefault="008803FC" w:rsidP="00732326">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Assistance in drafting the following by-laws (the list may be updated, if needed): </w:t>
      </w:r>
      <w:r w:rsidR="001129B5" w:rsidRPr="00C1676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1. Regulation to shareholders requirements</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2. Regulation for administrative bodies</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3. Regulation for the establishment of an insurance company</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4. Regulation for the calculation of technical provisions</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5. Regulation and methodology of valuation of assets and liabilities</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6. Regulations on Solvency Capital, Minimum Capital and Own Funds of Insurers</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7. Risk-based supervision in insurance</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8. Separate regulations</w:t>
      </w:r>
      <w:r>
        <w:rPr>
          <w:rFonts w:ascii="Times New Roman" w:eastAsia="Times New Roman" w:hAnsi="Times New Roman" w:cs="Times New Roman"/>
          <w:i/>
          <w:sz w:val="24"/>
          <w:szCs w:val="24"/>
          <w:lang w:val="en-US" w:eastAsia="en-GB"/>
        </w:rPr>
        <w:t xml:space="preserve"> </w:t>
      </w:r>
      <w:r w:rsidRPr="00EF708D">
        <w:rPr>
          <w:rFonts w:ascii="Times New Roman" w:eastAsia="Times New Roman" w:hAnsi="Times New Roman" w:cs="Times New Roman"/>
          <w:i/>
          <w:sz w:val="24"/>
          <w:szCs w:val="24"/>
          <w:lang w:val="en-US" w:eastAsia="en-GB"/>
        </w:rPr>
        <w:t>on requirements to actuaries (reports, risk management, internal control, internal and external</w:t>
      </w:r>
      <w:r>
        <w:rPr>
          <w:rFonts w:ascii="Times New Roman" w:eastAsia="Times New Roman" w:hAnsi="Times New Roman" w:cs="Times New Roman"/>
          <w:i/>
          <w:sz w:val="24"/>
          <w:szCs w:val="24"/>
          <w:lang w:val="en-US" w:eastAsia="en-GB"/>
        </w:rPr>
        <w:t xml:space="preserve"> </w:t>
      </w:r>
      <w:r w:rsidRPr="00EF708D">
        <w:rPr>
          <w:rFonts w:ascii="Times New Roman" w:eastAsia="Times New Roman" w:hAnsi="Times New Roman" w:cs="Times New Roman"/>
          <w:i/>
          <w:sz w:val="24"/>
          <w:szCs w:val="24"/>
          <w:lang w:val="en-US" w:eastAsia="en-GB"/>
        </w:rPr>
        <w:t>audit etc.)</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9. Requirements for prudential reporting</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10. Regulations on MTPL insurance, requirements, liberalization of tariffs, bonus malus system, etc.</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11. Regulations on NBMI</w:t>
      </w:r>
      <w:r>
        <w:rPr>
          <w:rFonts w:ascii="Times New Roman" w:eastAsia="Times New Roman" w:hAnsi="Times New Roman" w:cs="Times New Roman"/>
          <w:i/>
          <w:sz w:val="24"/>
          <w:szCs w:val="24"/>
          <w:lang w:val="en-US" w:eastAsia="en-GB"/>
        </w:rPr>
        <w:t xml:space="preserve"> </w:t>
      </w:r>
      <w:r w:rsidRPr="00EF708D">
        <w:rPr>
          <w:rFonts w:ascii="Times New Roman" w:eastAsia="Times New Roman" w:hAnsi="Times New Roman" w:cs="Times New Roman"/>
          <w:i/>
          <w:sz w:val="24"/>
          <w:szCs w:val="24"/>
          <w:lang w:val="en-US" w:eastAsia="en-GB"/>
        </w:rPr>
        <w:t>activity</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12.</w:t>
      </w:r>
      <w:r>
        <w:rPr>
          <w:rFonts w:ascii="Times New Roman" w:eastAsia="Times New Roman" w:hAnsi="Times New Roman" w:cs="Times New Roman"/>
          <w:i/>
          <w:sz w:val="24"/>
          <w:szCs w:val="24"/>
          <w:lang w:val="en-US" w:eastAsia="en-GB"/>
        </w:rPr>
        <w:t xml:space="preserve"> </w:t>
      </w:r>
      <w:r w:rsidRPr="00EF708D">
        <w:rPr>
          <w:rFonts w:ascii="Times New Roman" w:eastAsia="Times New Roman" w:hAnsi="Times New Roman" w:cs="Times New Roman"/>
          <w:i/>
          <w:sz w:val="24"/>
          <w:szCs w:val="24"/>
          <w:lang w:val="en-US" w:eastAsia="en-GB"/>
        </w:rPr>
        <w:t>Revision of the regulations on the Street Victims Protection Fund and the Compensation Fund</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13. Regulation on simultaneous activity requirements</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 xml:space="preserve">14. Requirements for reinsurance cession and risks reinsurance </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15. Regulation of insurance intermediaries</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16.</w:t>
      </w:r>
      <w:r>
        <w:rPr>
          <w:rFonts w:ascii="Times New Roman" w:eastAsia="Times New Roman" w:hAnsi="Times New Roman" w:cs="Times New Roman"/>
          <w:i/>
          <w:sz w:val="24"/>
          <w:szCs w:val="24"/>
          <w:lang w:val="en-US" w:eastAsia="en-GB"/>
        </w:rPr>
        <w:t xml:space="preserve"> </w:t>
      </w:r>
      <w:r w:rsidRPr="00EF708D">
        <w:rPr>
          <w:rFonts w:ascii="Times New Roman" w:eastAsia="Times New Roman" w:hAnsi="Times New Roman" w:cs="Times New Roman"/>
          <w:i/>
          <w:sz w:val="24"/>
          <w:szCs w:val="24"/>
          <w:lang w:val="en-US" w:eastAsia="en-GB"/>
        </w:rPr>
        <w:t>Regulation on insurance resolution framework, including recovering, restructuring and remediation</w:t>
      </w:r>
    </w:p>
    <w:p w:rsidR="001129B5" w:rsidRPr="00EF708D" w:rsidRDefault="001129B5" w:rsidP="00732326">
      <w:pPr>
        <w:autoSpaceDE w:val="0"/>
        <w:autoSpaceDN w:val="0"/>
        <w:adjustRightInd w:val="0"/>
        <w:spacing w:before="120" w:after="0" w:line="240" w:lineRule="auto"/>
        <w:ind w:left="1440"/>
        <w:jc w:val="both"/>
        <w:rPr>
          <w:rFonts w:ascii="Times New Roman" w:eastAsia="Times New Roman" w:hAnsi="Times New Roman" w:cs="Times New Roman"/>
          <w:i/>
          <w:sz w:val="24"/>
          <w:szCs w:val="24"/>
          <w:lang w:val="en-US" w:eastAsia="en-GB"/>
        </w:rPr>
      </w:pPr>
      <w:r w:rsidRPr="00EF708D">
        <w:rPr>
          <w:rFonts w:ascii="Times New Roman" w:eastAsia="Times New Roman" w:hAnsi="Times New Roman" w:cs="Times New Roman"/>
          <w:i/>
          <w:sz w:val="24"/>
          <w:szCs w:val="24"/>
          <w:lang w:val="en-US" w:eastAsia="en-GB"/>
        </w:rPr>
        <w:t xml:space="preserve">17. Liquidation of insurance undertakings </w:t>
      </w:r>
    </w:p>
    <w:p w:rsidR="000712FA" w:rsidRPr="00DF3574" w:rsidRDefault="00010DBB" w:rsidP="00623757">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Capacity building (seminars, training, on-job training) to NCFM staff </w:t>
      </w:r>
      <w:r w:rsidR="000712FA">
        <w:rPr>
          <w:rFonts w:ascii="Times New Roman" w:eastAsia="Times New Roman" w:hAnsi="Times New Roman" w:cs="Times New Roman"/>
          <w:sz w:val="24"/>
          <w:szCs w:val="24"/>
          <w:lang w:eastAsia="en-GB"/>
        </w:rPr>
        <w:t xml:space="preserve">to </w:t>
      </w:r>
      <w:r w:rsidR="000712FA" w:rsidRPr="00DF3574">
        <w:rPr>
          <w:rFonts w:ascii="Times New Roman" w:eastAsia="Times New Roman" w:hAnsi="Times New Roman" w:cs="Times New Roman"/>
          <w:sz w:val="24"/>
          <w:szCs w:val="24"/>
          <w:lang w:eastAsia="en-GB"/>
        </w:rPr>
        <w:t xml:space="preserve">ensure that </w:t>
      </w:r>
      <w:r w:rsidR="000712FA">
        <w:rPr>
          <w:rFonts w:ascii="Times New Roman" w:eastAsia="Times New Roman" w:hAnsi="Times New Roman" w:cs="Times New Roman"/>
          <w:sz w:val="24"/>
          <w:szCs w:val="24"/>
          <w:lang w:eastAsia="en-GB"/>
        </w:rPr>
        <w:t xml:space="preserve">the </w:t>
      </w:r>
      <w:r w:rsidR="000712FA" w:rsidRPr="00DF3574">
        <w:rPr>
          <w:rFonts w:ascii="Times New Roman" w:eastAsia="Times New Roman" w:hAnsi="Times New Roman" w:cs="Times New Roman"/>
          <w:sz w:val="24"/>
          <w:szCs w:val="24"/>
          <w:lang w:eastAsia="en-GB"/>
        </w:rPr>
        <w:t>staff are appropriately qualified and have sufficient knowledge, experience, and training to perform their responsibilities under the new Solvency II framework, including Solvency capital, minimum capital and Own Funds requirements, on assessing insurers corporate governance and internal control requirements, risk assessment and monitoring, stress tests and resolution framework as well as requirements for MTPL insurance.</w:t>
      </w:r>
    </w:p>
    <w:p w:rsidR="00CB6DF2" w:rsidRPr="001866DF" w:rsidRDefault="00CB6DF2" w:rsidP="001866DF">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866DF">
        <w:rPr>
          <w:rFonts w:ascii="Times New Roman" w:eastAsia="Times New Roman" w:hAnsi="Times New Roman" w:cs="Times New Roman"/>
          <w:sz w:val="24"/>
          <w:szCs w:val="24"/>
          <w:lang w:eastAsia="en-GB"/>
        </w:rPr>
        <w:t xml:space="preserve">In terms of outcomes, the assistance under this Component should lead to </w:t>
      </w:r>
      <w:r w:rsidR="004034E6" w:rsidRPr="001866DF">
        <w:rPr>
          <w:rFonts w:ascii="Times New Roman" w:eastAsia="Times New Roman" w:hAnsi="Times New Roman" w:cs="Times New Roman"/>
          <w:sz w:val="24"/>
          <w:szCs w:val="24"/>
          <w:lang w:eastAsia="en-GB"/>
        </w:rPr>
        <w:t xml:space="preserve">an improved governance and financial </w:t>
      </w:r>
      <w:r w:rsidR="001866DF" w:rsidRPr="001866DF">
        <w:rPr>
          <w:rFonts w:ascii="Times New Roman" w:eastAsia="Times New Roman" w:hAnsi="Times New Roman" w:cs="Times New Roman"/>
          <w:sz w:val="24"/>
          <w:szCs w:val="24"/>
          <w:lang w:eastAsia="en-GB"/>
        </w:rPr>
        <w:t>stability of the insurance companies as well as to an</w:t>
      </w:r>
      <w:r w:rsidRPr="001866DF">
        <w:rPr>
          <w:rFonts w:ascii="Times New Roman" w:eastAsia="Times New Roman" w:hAnsi="Times New Roman" w:cs="Times New Roman"/>
          <w:sz w:val="24"/>
          <w:szCs w:val="24"/>
          <w:lang w:eastAsia="en-GB"/>
        </w:rPr>
        <w:t xml:space="preserve"> adequate financial capacity of insurers to honour their claims and compensations in case of resolution</w:t>
      </w:r>
      <w:r w:rsidR="0075294A" w:rsidRPr="001866DF">
        <w:rPr>
          <w:rFonts w:ascii="Times New Roman" w:eastAsia="Times New Roman" w:hAnsi="Times New Roman" w:cs="Times New Roman"/>
          <w:sz w:val="24"/>
          <w:szCs w:val="24"/>
          <w:lang w:eastAsia="en-GB"/>
        </w:rPr>
        <w:t>.</w:t>
      </w:r>
    </w:p>
    <w:p w:rsidR="00B601CC" w:rsidRPr="002529CB" w:rsidRDefault="00B601CC" w:rsidP="00B601CC">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2529CB">
        <w:rPr>
          <w:rFonts w:ascii="Times New Roman" w:eastAsia="Times New Roman" w:hAnsi="Times New Roman" w:cs="Times New Roman"/>
          <w:b/>
          <w:sz w:val="24"/>
          <w:szCs w:val="24"/>
          <w:lang w:eastAsia="en-GB"/>
        </w:rPr>
        <w:t xml:space="preserve">Component 5: </w:t>
      </w:r>
      <w:r w:rsidR="00E1259F">
        <w:rPr>
          <w:rFonts w:ascii="Times New Roman" w:eastAsia="Times New Roman" w:hAnsi="Times New Roman" w:cs="Times New Roman"/>
          <w:b/>
          <w:sz w:val="24"/>
          <w:szCs w:val="24"/>
          <w:lang w:eastAsia="en-GB"/>
        </w:rPr>
        <w:t xml:space="preserve">Enhancement of </w:t>
      </w:r>
      <w:r w:rsidR="008008D3">
        <w:rPr>
          <w:rFonts w:ascii="Times New Roman" w:eastAsia="Times New Roman" w:hAnsi="Times New Roman" w:cs="Times New Roman"/>
          <w:b/>
          <w:sz w:val="24"/>
          <w:szCs w:val="24"/>
          <w:lang w:eastAsia="en-GB"/>
        </w:rPr>
        <w:t xml:space="preserve">the </w:t>
      </w:r>
      <w:r w:rsidR="00E1259F">
        <w:rPr>
          <w:rFonts w:ascii="Times New Roman" w:eastAsia="Times New Roman" w:hAnsi="Times New Roman" w:cs="Times New Roman"/>
          <w:b/>
          <w:sz w:val="24"/>
          <w:szCs w:val="24"/>
          <w:lang w:eastAsia="en-GB"/>
        </w:rPr>
        <w:t xml:space="preserve">supervisory framework for </w:t>
      </w:r>
      <w:r w:rsidR="008376DD" w:rsidRPr="002529CB">
        <w:rPr>
          <w:rFonts w:ascii="Times New Roman" w:eastAsia="Times New Roman" w:hAnsi="Times New Roman" w:cs="Times New Roman"/>
          <w:b/>
          <w:sz w:val="24"/>
          <w:szCs w:val="24"/>
          <w:lang w:eastAsia="en-GB"/>
        </w:rPr>
        <w:t>n</w:t>
      </w:r>
      <w:r w:rsidRPr="002529CB">
        <w:rPr>
          <w:rFonts w:ascii="Times New Roman" w:eastAsia="Times New Roman" w:hAnsi="Times New Roman" w:cs="Times New Roman"/>
          <w:b/>
          <w:sz w:val="24"/>
          <w:szCs w:val="24"/>
          <w:lang w:eastAsia="en-GB"/>
        </w:rPr>
        <w:t>on-banking credit institutions</w:t>
      </w:r>
    </w:p>
    <w:p w:rsidR="00B601CC" w:rsidRPr="004848F0" w:rsidRDefault="00B601CC" w:rsidP="00B601CC">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4848F0">
        <w:rPr>
          <w:rFonts w:ascii="Times New Roman" w:eastAsia="Times New Roman" w:hAnsi="Times New Roman" w:cs="Times New Roman"/>
          <w:sz w:val="24"/>
          <w:szCs w:val="24"/>
          <w:lang w:eastAsia="en-GB"/>
        </w:rPr>
        <w:t>Mandatory result</w:t>
      </w:r>
      <w:r w:rsidR="008A3E0C">
        <w:rPr>
          <w:rFonts w:ascii="Times New Roman" w:eastAsia="Times New Roman" w:hAnsi="Times New Roman" w:cs="Times New Roman"/>
          <w:sz w:val="24"/>
          <w:szCs w:val="24"/>
          <w:lang w:eastAsia="en-GB"/>
        </w:rPr>
        <w:t xml:space="preserve"> 5</w:t>
      </w:r>
      <w:r w:rsidRPr="004848F0">
        <w:rPr>
          <w:rFonts w:ascii="Times New Roman" w:eastAsia="Times New Roman" w:hAnsi="Times New Roman" w:cs="Times New Roman"/>
          <w:sz w:val="24"/>
          <w:szCs w:val="24"/>
          <w:lang w:eastAsia="en-GB"/>
        </w:rPr>
        <w:t xml:space="preserve">: A new legal framework strengthening supervision of non-bank credit organisations is </w:t>
      </w:r>
      <w:r w:rsidR="00CA0002" w:rsidRPr="004848F0">
        <w:rPr>
          <w:rFonts w:ascii="Times New Roman" w:eastAsia="Times New Roman" w:hAnsi="Times New Roman" w:cs="Times New Roman"/>
          <w:sz w:val="24"/>
          <w:szCs w:val="24"/>
          <w:lang w:eastAsia="en-GB"/>
        </w:rPr>
        <w:t xml:space="preserve">developed and </w:t>
      </w:r>
      <w:r w:rsidRPr="004848F0">
        <w:rPr>
          <w:rFonts w:ascii="Times New Roman" w:eastAsia="Times New Roman" w:hAnsi="Times New Roman" w:cs="Times New Roman"/>
          <w:sz w:val="24"/>
          <w:szCs w:val="24"/>
          <w:lang w:eastAsia="en-GB"/>
        </w:rPr>
        <w:t>enforced</w:t>
      </w:r>
      <w:r w:rsidR="00056A7A">
        <w:rPr>
          <w:rFonts w:ascii="Times New Roman" w:eastAsia="Times New Roman" w:hAnsi="Times New Roman" w:cs="Times New Roman"/>
          <w:sz w:val="24"/>
          <w:szCs w:val="24"/>
          <w:lang w:eastAsia="en-GB"/>
        </w:rPr>
        <w:t>.</w:t>
      </w:r>
      <w:r w:rsidRPr="004848F0">
        <w:rPr>
          <w:rFonts w:ascii="Times New Roman" w:eastAsia="Times New Roman" w:hAnsi="Times New Roman" w:cs="Times New Roman"/>
          <w:sz w:val="24"/>
          <w:szCs w:val="24"/>
          <w:lang w:eastAsia="en-GB"/>
        </w:rPr>
        <w:t xml:space="preserve"> </w:t>
      </w:r>
    </w:p>
    <w:p w:rsidR="004568A7" w:rsidRPr="00CC1C5C" w:rsidRDefault="004568A7" w:rsidP="004568A7">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 xml:space="preserve">In the context of </w:t>
      </w:r>
      <w:r>
        <w:rPr>
          <w:rFonts w:ascii="Times New Roman" w:eastAsia="Times New Roman" w:hAnsi="Times New Roman" w:cs="Times New Roman"/>
          <w:sz w:val="24"/>
          <w:szCs w:val="24"/>
          <w:lang w:eastAsia="en-GB"/>
        </w:rPr>
        <w:t>Result 5</w:t>
      </w:r>
      <w:r w:rsidRPr="00CC1C5C">
        <w:rPr>
          <w:rFonts w:ascii="Times New Roman" w:eastAsia="Times New Roman" w:hAnsi="Times New Roman" w:cs="Times New Roman"/>
          <w:sz w:val="24"/>
          <w:szCs w:val="24"/>
          <w:lang w:eastAsia="en-GB"/>
        </w:rPr>
        <w:t xml:space="preserve"> the following benchmarks will be achieved:</w:t>
      </w:r>
    </w:p>
    <w:p w:rsidR="008A4573" w:rsidRPr="004F2647" w:rsidRDefault="008A4573" w:rsidP="004F2647">
      <w:pPr>
        <w:pStyle w:val="ListParagraph"/>
        <w:numPr>
          <w:ilvl w:val="0"/>
          <w:numId w:val="33"/>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F2647">
        <w:rPr>
          <w:rFonts w:ascii="Times New Roman" w:eastAsia="Times New Roman" w:hAnsi="Times New Roman" w:cs="Times New Roman"/>
          <w:sz w:val="24"/>
          <w:szCs w:val="24"/>
          <w:lang w:eastAsia="en-GB"/>
        </w:rPr>
        <w:t>Necessary methodologies, regulatory and supervisory tools under the new legal framework (primary and secondary legislation) are fully developed and enforced, including</w:t>
      </w:r>
      <w:r w:rsidR="00B725DA">
        <w:rPr>
          <w:rFonts w:ascii="Times New Roman" w:eastAsia="Times New Roman" w:hAnsi="Times New Roman" w:cs="Times New Roman"/>
          <w:sz w:val="24"/>
          <w:szCs w:val="24"/>
          <w:lang w:eastAsia="en-GB"/>
        </w:rPr>
        <w:t xml:space="preserve">: </w:t>
      </w:r>
    </w:p>
    <w:p w:rsidR="008A4573" w:rsidRPr="004F2647" w:rsidRDefault="008A4573" w:rsidP="00B725DA">
      <w:pPr>
        <w:tabs>
          <w:tab w:val="left" w:pos="1080"/>
        </w:tabs>
        <w:autoSpaceDE w:val="0"/>
        <w:autoSpaceDN w:val="0"/>
        <w:adjustRightInd w:val="0"/>
        <w:spacing w:before="120" w:after="0" w:line="240" w:lineRule="auto"/>
        <w:ind w:left="1440"/>
        <w:jc w:val="both"/>
        <w:rPr>
          <w:rFonts w:ascii="Times New Roman" w:eastAsia="Times New Roman" w:hAnsi="Times New Roman" w:cs="Times New Roman"/>
          <w:sz w:val="24"/>
          <w:szCs w:val="24"/>
          <w:lang w:eastAsia="en-GB"/>
        </w:rPr>
      </w:pPr>
      <w:r w:rsidRPr="004F2647">
        <w:rPr>
          <w:rFonts w:ascii="Times New Roman" w:eastAsia="Times New Roman" w:hAnsi="Times New Roman" w:cs="Times New Roman"/>
          <w:sz w:val="24"/>
          <w:szCs w:val="24"/>
          <w:lang w:eastAsia="en-GB"/>
        </w:rPr>
        <w:t>- Guidelines for assessing the transparency of the ownership structure of the non-bank credit organisations and updating of information about founders (ultimate beneficiaries) prepared and enforced;</w:t>
      </w:r>
    </w:p>
    <w:p w:rsidR="008A4573" w:rsidRPr="00422F68" w:rsidRDefault="008A4573" w:rsidP="00B725DA">
      <w:pPr>
        <w:autoSpaceDE w:val="0"/>
        <w:autoSpaceDN w:val="0"/>
        <w:adjustRightInd w:val="0"/>
        <w:spacing w:before="120" w:after="0" w:line="240" w:lineRule="auto"/>
        <w:ind w:left="14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422F68">
        <w:rPr>
          <w:rFonts w:ascii="Times New Roman" w:eastAsia="Times New Roman" w:hAnsi="Times New Roman" w:cs="Times New Roman"/>
          <w:sz w:val="24"/>
          <w:szCs w:val="24"/>
          <w:lang w:eastAsia="en-GB"/>
        </w:rPr>
        <w:t xml:space="preserve"> Over-indebtedness index of population assessed and mitigating measures are formulated</w:t>
      </w:r>
      <w:r w:rsidR="00605B1F">
        <w:rPr>
          <w:rFonts w:ascii="Times New Roman" w:eastAsia="Times New Roman" w:hAnsi="Times New Roman" w:cs="Times New Roman"/>
          <w:sz w:val="24"/>
          <w:szCs w:val="24"/>
          <w:lang w:eastAsia="en-GB"/>
        </w:rPr>
        <w:t>;</w:t>
      </w:r>
    </w:p>
    <w:p w:rsidR="008A4573" w:rsidRPr="00422F68" w:rsidRDefault="008A4573" w:rsidP="00B725DA">
      <w:pPr>
        <w:autoSpaceDE w:val="0"/>
        <w:autoSpaceDN w:val="0"/>
        <w:adjustRightInd w:val="0"/>
        <w:spacing w:before="120" w:after="0" w:line="240" w:lineRule="auto"/>
        <w:ind w:left="14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422F68">
        <w:rPr>
          <w:rFonts w:ascii="Times New Roman" w:eastAsia="Times New Roman" w:hAnsi="Times New Roman" w:cs="Times New Roman"/>
          <w:sz w:val="24"/>
          <w:szCs w:val="24"/>
          <w:lang w:eastAsia="en-GB"/>
        </w:rPr>
        <w:t xml:space="preserve"> Portfolio at risk indic</w:t>
      </w:r>
      <w:r w:rsidR="00605B1F">
        <w:rPr>
          <w:rFonts w:ascii="Times New Roman" w:eastAsia="Times New Roman" w:hAnsi="Times New Roman" w:cs="Times New Roman"/>
          <w:sz w:val="24"/>
          <w:szCs w:val="24"/>
          <w:lang w:eastAsia="en-GB"/>
        </w:rPr>
        <w:t>ator for non-bank credit organis</w:t>
      </w:r>
      <w:r w:rsidRPr="00422F68">
        <w:rPr>
          <w:rFonts w:ascii="Times New Roman" w:eastAsia="Times New Roman" w:hAnsi="Times New Roman" w:cs="Times New Roman"/>
          <w:sz w:val="24"/>
          <w:szCs w:val="24"/>
          <w:lang w:eastAsia="en-GB"/>
        </w:rPr>
        <w:t>ations assessed and monitored</w:t>
      </w:r>
      <w:r w:rsidR="00605B1F">
        <w:rPr>
          <w:rFonts w:ascii="Times New Roman" w:eastAsia="Times New Roman" w:hAnsi="Times New Roman" w:cs="Times New Roman"/>
          <w:sz w:val="24"/>
          <w:szCs w:val="24"/>
          <w:lang w:eastAsia="en-GB"/>
        </w:rPr>
        <w:t>;</w:t>
      </w:r>
    </w:p>
    <w:p w:rsidR="008A4573" w:rsidRPr="00264916" w:rsidRDefault="008A4573" w:rsidP="00B725DA">
      <w:pPr>
        <w:autoSpaceDE w:val="0"/>
        <w:autoSpaceDN w:val="0"/>
        <w:adjustRightInd w:val="0"/>
        <w:spacing w:before="120" w:after="0" w:line="240" w:lineRule="auto"/>
        <w:ind w:left="14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605B1F">
        <w:rPr>
          <w:rFonts w:ascii="Times New Roman" w:eastAsia="Times New Roman" w:hAnsi="Times New Roman" w:cs="Times New Roman"/>
          <w:sz w:val="24"/>
          <w:szCs w:val="24"/>
          <w:lang w:eastAsia="en-GB"/>
        </w:rPr>
        <w:t xml:space="preserve"> Increased</w:t>
      </w:r>
      <w:r w:rsidRPr="00422F68">
        <w:rPr>
          <w:rFonts w:ascii="Times New Roman" w:eastAsia="Times New Roman" w:hAnsi="Times New Roman" w:cs="Times New Roman"/>
          <w:sz w:val="24"/>
          <w:szCs w:val="24"/>
          <w:lang w:eastAsia="en-GB"/>
        </w:rPr>
        <w:t xml:space="preserve"> accuracy and quality of financial data reported</w:t>
      </w:r>
      <w:r w:rsidR="0062703D">
        <w:rPr>
          <w:rFonts w:ascii="Times New Roman" w:eastAsia="Times New Roman" w:hAnsi="Times New Roman" w:cs="Times New Roman"/>
          <w:sz w:val="24"/>
          <w:szCs w:val="24"/>
          <w:lang w:eastAsia="en-GB"/>
        </w:rPr>
        <w:t xml:space="preserve"> by the operators</w:t>
      </w:r>
      <w:r w:rsidR="008A3E0C">
        <w:rPr>
          <w:rFonts w:ascii="Times New Roman" w:eastAsia="Times New Roman" w:hAnsi="Times New Roman" w:cs="Times New Roman"/>
          <w:sz w:val="24"/>
          <w:szCs w:val="24"/>
          <w:lang w:eastAsia="en-GB"/>
        </w:rPr>
        <w:t>.</w:t>
      </w:r>
    </w:p>
    <w:p w:rsidR="008A4573" w:rsidRPr="00264916" w:rsidRDefault="008A4573" w:rsidP="004F2647">
      <w:pPr>
        <w:pStyle w:val="ListParagraph"/>
        <w:numPr>
          <w:ilvl w:val="0"/>
          <w:numId w:val="34"/>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64916">
        <w:rPr>
          <w:rFonts w:ascii="Times New Roman" w:eastAsia="Times New Roman" w:hAnsi="Times New Roman" w:cs="Times New Roman"/>
          <w:sz w:val="24"/>
          <w:szCs w:val="24"/>
          <w:lang w:eastAsia="en-GB"/>
        </w:rPr>
        <w:t xml:space="preserve">Internal procedures for "fit and proper" criteria for administrators of non-bank credit institutions </w:t>
      </w:r>
      <w:r w:rsidR="008A5B4A">
        <w:rPr>
          <w:rFonts w:ascii="Times New Roman" w:eastAsia="Times New Roman" w:hAnsi="Times New Roman" w:cs="Times New Roman"/>
          <w:sz w:val="24"/>
          <w:szCs w:val="24"/>
          <w:lang w:eastAsia="en-GB"/>
        </w:rPr>
        <w:t xml:space="preserve">are </w:t>
      </w:r>
      <w:r w:rsidRPr="00264916">
        <w:rPr>
          <w:rFonts w:ascii="Times New Roman" w:eastAsia="Times New Roman" w:hAnsi="Times New Roman" w:cs="Times New Roman"/>
          <w:sz w:val="24"/>
          <w:szCs w:val="24"/>
          <w:lang w:eastAsia="en-GB"/>
        </w:rPr>
        <w:t>developed and implemented;</w:t>
      </w:r>
    </w:p>
    <w:p w:rsidR="008A4573" w:rsidRPr="00264916" w:rsidRDefault="008A4573" w:rsidP="004F2647">
      <w:pPr>
        <w:pStyle w:val="ListParagraph"/>
        <w:numPr>
          <w:ilvl w:val="0"/>
          <w:numId w:val="34"/>
        </w:numPr>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64916">
        <w:rPr>
          <w:rFonts w:ascii="Times New Roman" w:eastAsia="Times New Roman" w:hAnsi="Times New Roman" w:cs="Times New Roman"/>
          <w:sz w:val="24"/>
          <w:szCs w:val="24"/>
          <w:lang w:eastAsia="en-GB"/>
        </w:rPr>
        <w:t>All relevant employees are capacitated to effectively enforce the new regulatory framework</w:t>
      </w:r>
      <w:r>
        <w:rPr>
          <w:rFonts w:ascii="Times New Roman" w:eastAsia="Times New Roman" w:hAnsi="Times New Roman" w:cs="Times New Roman"/>
          <w:sz w:val="24"/>
          <w:szCs w:val="24"/>
          <w:lang w:eastAsia="en-GB"/>
        </w:rPr>
        <w:t>;</w:t>
      </w:r>
    </w:p>
    <w:p w:rsidR="008A4573" w:rsidRPr="00CC1C5C" w:rsidRDefault="008A4573" w:rsidP="008A4573">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1C5C">
        <w:rPr>
          <w:rFonts w:ascii="Times New Roman" w:eastAsia="Times New Roman" w:hAnsi="Times New Roman" w:cs="Times New Roman"/>
          <w:sz w:val="24"/>
          <w:szCs w:val="24"/>
          <w:lang w:eastAsia="en-GB"/>
        </w:rPr>
        <w:t>The above-mentioned result</w:t>
      </w:r>
      <w:r>
        <w:rPr>
          <w:rFonts w:ascii="Times New Roman" w:eastAsia="Times New Roman" w:hAnsi="Times New Roman" w:cs="Times New Roman"/>
          <w:sz w:val="24"/>
          <w:szCs w:val="24"/>
          <w:lang w:eastAsia="en-GB"/>
        </w:rPr>
        <w:t xml:space="preserve"> will </w:t>
      </w:r>
      <w:r w:rsidRPr="00CC1C5C">
        <w:rPr>
          <w:rFonts w:ascii="Times New Roman" w:eastAsia="Times New Roman" w:hAnsi="Times New Roman" w:cs="Times New Roman"/>
          <w:sz w:val="24"/>
          <w:szCs w:val="24"/>
          <w:lang w:eastAsia="en-GB"/>
        </w:rPr>
        <w:t>be achieved</w:t>
      </w:r>
      <w:r>
        <w:rPr>
          <w:rFonts w:ascii="Times New Roman" w:eastAsia="Times New Roman" w:hAnsi="Times New Roman" w:cs="Times New Roman"/>
          <w:sz w:val="24"/>
          <w:szCs w:val="24"/>
          <w:lang w:eastAsia="en-GB"/>
        </w:rPr>
        <w:t xml:space="preserve"> by</w:t>
      </w:r>
      <w:r w:rsidRPr="00CC1C5C">
        <w:rPr>
          <w:rFonts w:ascii="Times New Roman" w:eastAsia="Times New Roman" w:hAnsi="Times New Roman" w:cs="Times New Roman"/>
          <w:sz w:val="24"/>
          <w:szCs w:val="24"/>
          <w:lang w:eastAsia="en-GB"/>
        </w:rPr>
        <w:t>:</w:t>
      </w:r>
    </w:p>
    <w:p w:rsidR="008A4573" w:rsidRPr="00480F42" w:rsidRDefault="008A4573" w:rsidP="00F56508">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Development </w:t>
      </w:r>
      <w:r w:rsidRPr="00480F42">
        <w:rPr>
          <w:rFonts w:ascii="Times New Roman" w:eastAsia="Times New Roman" w:hAnsi="Times New Roman" w:cs="Times New Roman"/>
          <w:sz w:val="24"/>
          <w:szCs w:val="24"/>
          <w:lang w:eastAsia="en-GB"/>
        </w:rPr>
        <w:t xml:space="preserve">of the </w:t>
      </w:r>
      <w:r>
        <w:rPr>
          <w:rFonts w:ascii="Times New Roman" w:eastAsia="Times New Roman" w:hAnsi="Times New Roman" w:cs="Times New Roman"/>
          <w:sz w:val="24"/>
          <w:szCs w:val="24"/>
          <w:lang w:eastAsia="en-GB"/>
        </w:rPr>
        <w:t xml:space="preserve">methodologies and supervisory tools </w:t>
      </w:r>
      <w:r w:rsidR="00E11C6B">
        <w:rPr>
          <w:rFonts w:ascii="Times New Roman" w:eastAsia="Times New Roman" w:hAnsi="Times New Roman" w:cs="Times New Roman"/>
          <w:sz w:val="24"/>
          <w:szCs w:val="24"/>
          <w:lang w:eastAsia="en-GB"/>
        </w:rPr>
        <w:t>enabling the</w:t>
      </w:r>
      <w:r>
        <w:rPr>
          <w:rFonts w:ascii="Times New Roman" w:eastAsia="Times New Roman" w:hAnsi="Times New Roman" w:cs="Times New Roman"/>
          <w:sz w:val="24"/>
          <w:szCs w:val="24"/>
          <w:lang w:eastAsia="en-GB"/>
        </w:rPr>
        <w:t xml:space="preserve"> NCFM to assess the compl</w:t>
      </w:r>
      <w:r w:rsidR="00E11C6B">
        <w:rPr>
          <w:rFonts w:ascii="Times New Roman" w:eastAsia="Times New Roman" w:hAnsi="Times New Roman" w:cs="Times New Roman"/>
          <w:sz w:val="24"/>
          <w:szCs w:val="24"/>
          <w:lang w:eastAsia="en-GB"/>
        </w:rPr>
        <w:t>iance of non-bank credit organis</w:t>
      </w:r>
      <w:r>
        <w:rPr>
          <w:rFonts w:ascii="Times New Roman" w:eastAsia="Times New Roman" w:hAnsi="Times New Roman" w:cs="Times New Roman"/>
          <w:sz w:val="24"/>
          <w:szCs w:val="24"/>
          <w:lang w:eastAsia="en-GB"/>
        </w:rPr>
        <w:t>ations to corporate governance and internal control requirements;</w:t>
      </w:r>
      <w:r w:rsidRPr="00480F42">
        <w:rPr>
          <w:rFonts w:ascii="Times New Roman" w:eastAsia="Times New Roman" w:hAnsi="Times New Roman" w:cs="Times New Roman"/>
          <w:sz w:val="24"/>
          <w:szCs w:val="24"/>
          <w:lang w:eastAsia="en-GB"/>
        </w:rPr>
        <w:t xml:space="preserve"> </w:t>
      </w:r>
    </w:p>
    <w:p w:rsidR="008A4573" w:rsidRPr="00480F42" w:rsidRDefault="008A4573" w:rsidP="00F56508">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480F42">
        <w:rPr>
          <w:rFonts w:ascii="Times New Roman" w:eastAsia="Times New Roman" w:hAnsi="Times New Roman" w:cs="Times New Roman"/>
          <w:sz w:val="24"/>
          <w:szCs w:val="24"/>
          <w:lang w:eastAsia="en-GB"/>
        </w:rPr>
        <w:t xml:space="preserve">Capacity building (seminars, training, on-job training) to ensure that </w:t>
      </w:r>
      <w:r w:rsidR="00E11C6B">
        <w:rPr>
          <w:rFonts w:ascii="Times New Roman" w:eastAsia="Times New Roman" w:hAnsi="Times New Roman" w:cs="Times New Roman"/>
          <w:sz w:val="24"/>
          <w:szCs w:val="24"/>
          <w:lang w:eastAsia="en-GB"/>
        </w:rPr>
        <w:t xml:space="preserve">the </w:t>
      </w:r>
      <w:r w:rsidRPr="00480F42">
        <w:rPr>
          <w:rFonts w:ascii="Times New Roman" w:eastAsia="Times New Roman" w:hAnsi="Times New Roman" w:cs="Times New Roman"/>
          <w:sz w:val="24"/>
          <w:szCs w:val="24"/>
          <w:lang w:eastAsia="en-GB"/>
        </w:rPr>
        <w:t xml:space="preserve">NCFM staff are appropriately qualified and have sufficient knowledge, experience, and training to perform their responsibilities under the new </w:t>
      </w:r>
      <w:r>
        <w:rPr>
          <w:rFonts w:ascii="Times New Roman" w:eastAsia="Times New Roman" w:hAnsi="Times New Roman" w:cs="Times New Roman"/>
          <w:sz w:val="24"/>
          <w:szCs w:val="24"/>
          <w:lang w:eastAsia="en-GB"/>
        </w:rPr>
        <w:t>legal and regulatory framework on non-bank</w:t>
      </w:r>
      <w:r w:rsidR="00E11C6B">
        <w:rPr>
          <w:rFonts w:ascii="Times New Roman" w:eastAsia="Times New Roman" w:hAnsi="Times New Roman" w:cs="Times New Roman"/>
          <w:sz w:val="24"/>
          <w:szCs w:val="24"/>
          <w:lang w:eastAsia="en-GB"/>
        </w:rPr>
        <w:t>ing credit organis</w:t>
      </w:r>
      <w:r>
        <w:rPr>
          <w:rFonts w:ascii="Times New Roman" w:eastAsia="Times New Roman" w:hAnsi="Times New Roman" w:cs="Times New Roman"/>
          <w:sz w:val="24"/>
          <w:szCs w:val="24"/>
          <w:lang w:eastAsia="en-GB"/>
        </w:rPr>
        <w:t>ations</w:t>
      </w:r>
      <w:r w:rsidRPr="00480F42">
        <w:rPr>
          <w:rFonts w:ascii="Times New Roman" w:eastAsia="Times New Roman" w:hAnsi="Times New Roman" w:cs="Times New Roman"/>
          <w:sz w:val="24"/>
          <w:szCs w:val="24"/>
          <w:lang w:eastAsia="en-GB"/>
        </w:rPr>
        <w:t xml:space="preserve">, including capital requirements, corporate governance and </w:t>
      </w:r>
      <w:r>
        <w:rPr>
          <w:rFonts w:ascii="Times New Roman" w:eastAsia="Times New Roman" w:hAnsi="Times New Roman" w:cs="Times New Roman"/>
          <w:sz w:val="24"/>
          <w:szCs w:val="24"/>
          <w:lang w:eastAsia="en-GB"/>
        </w:rPr>
        <w:t>audit</w:t>
      </w:r>
      <w:r w:rsidRPr="00480F42">
        <w:rPr>
          <w:rFonts w:ascii="Times New Roman" w:eastAsia="Times New Roman" w:hAnsi="Times New Roman" w:cs="Times New Roman"/>
          <w:sz w:val="24"/>
          <w:szCs w:val="24"/>
          <w:lang w:eastAsia="en-GB"/>
        </w:rPr>
        <w:t xml:space="preserve"> requirements, risk assessment and monitoring, as well as </w:t>
      </w:r>
      <w:r>
        <w:rPr>
          <w:rFonts w:ascii="Times New Roman" w:eastAsia="Times New Roman" w:hAnsi="Times New Roman" w:cs="Times New Roman"/>
          <w:sz w:val="24"/>
          <w:szCs w:val="24"/>
          <w:lang w:eastAsia="en-GB"/>
        </w:rPr>
        <w:t xml:space="preserve">consumer protection </w:t>
      </w:r>
      <w:r w:rsidRPr="00480F42">
        <w:rPr>
          <w:rFonts w:ascii="Times New Roman" w:eastAsia="Times New Roman" w:hAnsi="Times New Roman" w:cs="Times New Roman"/>
          <w:sz w:val="24"/>
          <w:szCs w:val="24"/>
          <w:lang w:eastAsia="en-GB"/>
        </w:rPr>
        <w:t>requirements.</w:t>
      </w:r>
    </w:p>
    <w:p w:rsidR="00840445" w:rsidRDefault="008A4573" w:rsidP="00E85A3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85A39">
        <w:rPr>
          <w:rFonts w:ascii="Times New Roman" w:eastAsia="Times New Roman" w:hAnsi="Times New Roman" w:cs="Times New Roman"/>
          <w:sz w:val="24"/>
          <w:szCs w:val="24"/>
          <w:lang w:eastAsia="en-GB"/>
        </w:rPr>
        <w:t xml:space="preserve">In terms of outcomes, the assistance under this Component should lead to </w:t>
      </w:r>
      <w:r w:rsidR="008C6F01">
        <w:rPr>
          <w:rFonts w:ascii="Times New Roman" w:eastAsia="Times New Roman" w:hAnsi="Times New Roman" w:cs="Times New Roman"/>
          <w:sz w:val="24"/>
          <w:szCs w:val="24"/>
          <w:lang w:eastAsia="en-GB"/>
        </w:rPr>
        <w:t>a sound and stable financial development of the</w:t>
      </w:r>
      <w:r w:rsidRPr="00E85A39">
        <w:rPr>
          <w:rFonts w:ascii="Times New Roman" w:eastAsia="Times New Roman" w:hAnsi="Times New Roman" w:cs="Times New Roman"/>
          <w:sz w:val="24"/>
          <w:szCs w:val="24"/>
          <w:lang w:eastAsia="en-GB"/>
        </w:rPr>
        <w:t xml:space="preserve"> </w:t>
      </w:r>
      <w:r w:rsidR="00ED60FE">
        <w:rPr>
          <w:rFonts w:ascii="Times New Roman" w:eastAsia="Times New Roman" w:hAnsi="Times New Roman" w:cs="Times New Roman"/>
          <w:sz w:val="24"/>
          <w:szCs w:val="24"/>
          <w:lang w:eastAsia="en-GB"/>
        </w:rPr>
        <w:t>non-banking credit organis</w:t>
      </w:r>
      <w:r w:rsidRPr="00E85A39">
        <w:rPr>
          <w:rFonts w:ascii="Times New Roman" w:eastAsia="Times New Roman" w:hAnsi="Times New Roman" w:cs="Times New Roman"/>
          <w:sz w:val="24"/>
          <w:szCs w:val="24"/>
          <w:lang w:eastAsia="en-GB"/>
        </w:rPr>
        <w:t>ations</w:t>
      </w:r>
      <w:r w:rsidR="008C6F01">
        <w:rPr>
          <w:rFonts w:ascii="Times New Roman" w:eastAsia="Times New Roman" w:hAnsi="Times New Roman" w:cs="Times New Roman"/>
          <w:sz w:val="24"/>
          <w:szCs w:val="24"/>
          <w:lang w:eastAsia="en-GB"/>
        </w:rPr>
        <w:t>, while</w:t>
      </w:r>
      <w:r w:rsidR="002205BC">
        <w:rPr>
          <w:rFonts w:ascii="Times New Roman" w:eastAsia="Times New Roman" w:hAnsi="Times New Roman" w:cs="Times New Roman"/>
          <w:sz w:val="24"/>
          <w:szCs w:val="24"/>
          <w:lang w:eastAsia="en-GB"/>
        </w:rPr>
        <w:t xml:space="preserve"> </w:t>
      </w:r>
      <w:r w:rsidR="002205BC" w:rsidRPr="00952131">
        <w:rPr>
          <w:rFonts w:ascii="Times New Roman" w:eastAsia="Times New Roman" w:hAnsi="Times New Roman" w:cs="Times New Roman"/>
          <w:sz w:val="24"/>
          <w:szCs w:val="24"/>
          <w:lang w:eastAsia="en-GB"/>
        </w:rPr>
        <w:t>increasing the transparency of shareholder</w:t>
      </w:r>
      <w:r w:rsidR="002205BC">
        <w:rPr>
          <w:rFonts w:ascii="Times New Roman" w:eastAsia="Times New Roman" w:hAnsi="Times New Roman" w:cs="Times New Roman"/>
          <w:sz w:val="24"/>
          <w:szCs w:val="24"/>
          <w:lang w:eastAsia="en-GB"/>
        </w:rPr>
        <w:t xml:space="preserve"> </w:t>
      </w:r>
      <w:r w:rsidR="002205BC" w:rsidRPr="00952131">
        <w:rPr>
          <w:rFonts w:ascii="Times New Roman" w:eastAsia="Times New Roman" w:hAnsi="Times New Roman" w:cs="Times New Roman"/>
          <w:sz w:val="24"/>
          <w:szCs w:val="24"/>
          <w:lang w:eastAsia="en-GB"/>
        </w:rPr>
        <w:t>s</w:t>
      </w:r>
      <w:r w:rsidR="002205BC">
        <w:rPr>
          <w:rFonts w:ascii="Times New Roman" w:eastAsia="Times New Roman" w:hAnsi="Times New Roman" w:cs="Times New Roman"/>
          <w:sz w:val="24"/>
          <w:szCs w:val="24"/>
          <w:lang w:eastAsia="en-GB"/>
        </w:rPr>
        <w:t>tructures,</w:t>
      </w:r>
      <w:r w:rsidR="008C6F01">
        <w:rPr>
          <w:rFonts w:ascii="Times New Roman" w:eastAsia="Times New Roman" w:hAnsi="Times New Roman" w:cs="Times New Roman"/>
          <w:sz w:val="24"/>
          <w:szCs w:val="24"/>
          <w:lang w:eastAsia="en-GB"/>
        </w:rPr>
        <w:t xml:space="preserve"> improving the quality of the corporate governance and ensuring the consumer protection.</w:t>
      </w:r>
    </w:p>
    <w:p w:rsidR="00F02D69" w:rsidRPr="00E85A39" w:rsidRDefault="00F02D69" w:rsidP="00E85A3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Overall</w:t>
      </w:r>
      <w:r w:rsidRPr="00F02D69">
        <w:rPr>
          <w:rFonts w:ascii="Times New Roman" w:eastAsia="Times New Roman" w:hAnsi="Times New Roman" w:cs="Times New Roman"/>
          <w:sz w:val="24"/>
          <w:szCs w:val="24"/>
          <w:lang w:eastAsia="en-GB"/>
        </w:rPr>
        <w:t xml:space="preserve">, the project will </w:t>
      </w:r>
      <w:r>
        <w:rPr>
          <w:rFonts w:ascii="Times New Roman" w:eastAsia="Times New Roman" w:hAnsi="Times New Roman" w:cs="Times New Roman"/>
          <w:sz w:val="24"/>
          <w:szCs w:val="24"/>
          <w:lang w:eastAsia="en-GB"/>
        </w:rPr>
        <w:t>help</w:t>
      </w:r>
      <w:r w:rsidRPr="00F02D69">
        <w:rPr>
          <w:rFonts w:ascii="Times New Roman" w:eastAsia="Times New Roman" w:hAnsi="Times New Roman" w:cs="Times New Roman"/>
          <w:sz w:val="24"/>
          <w:szCs w:val="24"/>
          <w:lang w:eastAsia="en-GB"/>
        </w:rPr>
        <w:t xml:space="preserve"> to improve business environment</w:t>
      </w:r>
      <w:r>
        <w:rPr>
          <w:rFonts w:ascii="Times New Roman" w:eastAsia="Times New Roman" w:hAnsi="Times New Roman" w:cs="Times New Roman"/>
          <w:sz w:val="24"/>
          <w:szCs w:val="24"/>
          <w:lang w:eastAsia="en-GB"/>
        </w:rPr>
        <w:t xml:space="preserve">, to build up investors' confidence </w:t>
      </w:r>
      <w:r w:rsidR="00DF235B">
        <w:rPr>
          <w:rFonts w:ascii="Times New Roman" w:eastAsia="Times New Roman" w:hAnsi="Times New Roman" w:cs="Times New Roman"/>
          <w:sz w:val="24"/>
          <w:szCs w:val="24"/>
          <w:lang w:eastAsia="en-GB"/>
        </w:rPr>
        <w:t>and facilitate</w:t>
      </w:r>
      <w:r>
        <w:rPr>
          <w:rFonts w:ascii="Times New Roman" w:eastAsia="Times New Roman" w:hAnsi="Times New Roman" w:cs="Times New Roman"/>
          <w:sz w:val="24"/>
          <w:szCs w:val="24"/>
          <w:lang w:eastAsia="en-GB"/>
        </w:rPr>
        <w:t xml:space="preserve"> bank intermediation, thereby contributing</w:t>
      </w:r>
      <w:r w:rsidRPr="00F02D69">
        <w:rPr>
          <w:rFonts w:ascii="Times New Roman" w:eastAsia="Times New Roman" w:hAnsi="Times New Roman" w:cs="Times New Roman"/>
          <w:sz w:val="24"/>
          <w:szCs w:val="24"/>
          <w:lang w:eastAsia="en-GB"/>
        </w:rPr>
        <w:t xml:space="preserve"> </w:t>
      </w:r>
      <w:r w:rsidR="00DF235B">
        <w:rPr>
          <w:rFonts w:ascii="Times New Roman" w:eastAsia="Times New Roman" w:hAnsi="Times New Roman" w:cs="Times New Roman"/>
          <w:sz w:val="24"/>
          <w:szCs w:val="24"/>
          <w:lang w:eastAsia="en-GB"/>
        </w:rPr>
        <w:t xml:space="preserve">to </w:t>
      </w:r>
      <w:r w:rsidRPr="00F02D69">
        <w:rPr>
          <w:rFonts w:ascii="Times New Roman" w:eastAsia="Times New Roman" w:hAnsi="Times New Roman" w:cs="Times New Roman"/>
          <w:sz w:val="24"/>
          <w:szCs w:val="24"/>
          <w:lang w:eastAsia="en-GB"/>
        </w:rPr>
        <w:t>the implementation of the EU-Republic of Moldova Deep and Comprehensive Free Trade Agreement.</w:t>
      </w:r>
      <w:r w:rsidR="00A02C2A">
        <w:rPr>
          <w:rFonts w:ascii="Times New Roman" w:eastAsia="Times New Roman" w:hAnsi="Times New Roman" w:cs="Times New Roman"/>
          <w:sz w:val="24"/>
          <w:szCs w:val="24"/>
          <w:lang w:eastAsia="en-GB"/>
        </w:rPr>
        <w:t xml:space="preserve"> </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A64C8A">
        <w:rPr>
          <w:rFonts w:ascii="Times New Roman" w:eastAsia="Times New Roman" w:hAnsi="Times New Roman" w:cs="Times New Roman"/>
          <w:sz w:val="24"/>
          <w:szCs w:val="24"/>
          <w:lang w:eastAsia="en-GB"/>
        </w:rPr>
        <w:t>3.6</w:t>
      </w:r>
      <w:r w:rsidRPr="00A64C8A">
        <w:rPr>
          <w:rFonts w:ascii="Times New Roman" w:eastAsia="Times New Roman" w:hAnsi="Times New Roman" w:cs="Times New Roman"/>
          <w:sz w:val="24"/>
          <w:szCs w:val="24"/>
          <w:lang w:eastAsia="en-GB"/>
        </w:rPr>
        <w:tab/>
        <w:t>Means/input from the EU</w:t>
      </w:r>
      <w:r w:rsidRPr="00FB7749">
        <w:rPr>
          <w:rFonts w:ascii="Times New Roman" w:eastAsia="Times New Roman" w:hAnsi="Times New Roman" w:cs="Times New Roman"/>
          <w:sz w:val="24"/>
          <w:szCs w:val="24"/>
          <w:lang w:eastAsia="en-GB"/>
        </w:rPr>
        <w:t xml:space="preserve"> Member State Partner Administration(s)*:</w:t>
      </w:r>
    </w:p>
    <w:p w:rsidR="007168D4" w:rsidRPr="00FB7749" w:rsidRDefault="007168D4" w:rsidP="00F56499">
      <w:pPr>
        <w:tabs>
          <w:tab w:val="left" w:pos="900"/>
        </w:tabs>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bCs/>
          <w:i/>
          <w:sz w:val="24"/>
          <w:szCs w:val="24"/>
          <w:lang w:eastAsia="en-GB"/>
        </w:rPr>
        <w:tab/>
      </w:r>
      <w:r w:rsidRPr="00FB7749">
        <w:rPr>
          <w:rFonts w:ascii="Times New Roman" w:eastAsia="Times New Roman" w:hAnsi="Times New Roman" w:cs="Times New Roman"/>
          <w:sz w:val="24"/>
          <w:szCs w:val="24"/>
          <w:lang w:eastAsia="en-GB"/>
        </w:rPr>
        <w:t>3.6.1 Profile and tasks of the PL:</w:t>
      </w:r>
    </w:p>
    <w:p w:rsidR="00EE6D9A" w:rsidRPr="009002C6" w:rsidRDefault="00EE6D9A" w:rsidP="00CB041B">
      <w:pPr>
        <w:kinsoku w:val="0"/>
        <w:overflowPunct w:val="0"/>
        <w:spacing w:before="120" w:after="120" w:line="240" w:lineRule="auto"/>
        <w:jc w:val="both"/>
        <w:textAlignment w:val="baseline"/>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 xml:space="preserve">Project Leader Profile: </w:t>
      </w:r>
    </w:p>
    <w:p w:rsidR="00A716CA" w:rsidRDefault="00A716CA" w:rsidP="006548AA">
      <w:pPr>
        <w:pStyle w:val="ListParagraph"/>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p>
    <w:p w:rsidR="00D04D08" w:rsidRPr="0035724A" w:rsidRDefault="00D04D08" w:rsidP="00D04D08">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D04D08">
        <w:rPr>
          <w:rFonts w:ascii="Times New Roman" w:eastAsia="Times New Roman" w:hAnsi="Times New Roman" w:cs="Times New Roman"/>
          <w:sz w:val="24"/>
          <w:szCs w:val="24"/>
          <w:lang w:eastAsia="en-GB"/>
        </w:rPr>
        <w:t xml:space="preserve">University </w:t>
      </w:r>
      <w:r w:rsidRPr="0035724A">
        <w:rPr>
          <w:rFonts w:ascii="Times New Roman" w:eastAsia="Times New Roman" w:hAnsi="Times New Roman" w:cs="Times New Roman"/>
          <w:sz w:val="24"/>
          <w:szCs w:val="24"/>
          <w:lang w:eastAsia="en-GB"/>
        </w:rPr>
        <w:t>degree in a relevant field (economics, finance, business administration, acc</w:t>
      </w:r>
      <w:r w:rsidR="00E25C92" w:rsidRPr="0035724A">
        <w:rPr>
          <w:rFonts w:ascii="Times New Roman" w:eastAsia="Times New Roman" w:hAnsi="Times New Roman" w:cs="Times New Roman"/>
          <w:sz w:val="24"/>
          <w:szCs w:val="24"/>
          <w:lang w:eastAsia="en-GB"/>
        </w:rPr>
        <w:t>ounting / auditing, law or similar</w:t>
      </w:r>
      <w:r w:rsidRPr="0035724A">
        <w:rPr>
          <w:rFonts w:ascii="Times New Roman" w:eastAsia="Times New Roman" w:hAnsi="Times New Roman" w:cs="Times New Roman"/>
          <w:sz w:val="24"/>
          <w:szCs w:val="24"/>
          <w:lang w:eastAsia="en-GB"/>
        </w:rPr>
        <w:t>)</w:t>
      </w:r>
      <w:r w:rsidR="00906F1B" w:rsidRPr="0035724A">
        <w:rPr>
          <w:rFonts w:ascii="Times New Roman" w:eastAsia="Times New Roman" w:hAnsi="Times New Roman" w:cs="Times New Roman"/>
          <w:sz w:val="24"/>
          <w:szCs w:val="24"/>
          <w:lang w:eastAsia="en-GB"/>
        </w:rPr>
        <w:t xml:space="preserve"> or equivalent professional experience of </w:t>
      </w:r>
      <w:r w:rsidR="000060F1" w:rsidRPr="0035724A">
        <w:rPr>
          <w:rFonts w:ascii="Times New Roman" w:eastAsia="Times New Roman" w:hAnsi="Times New Roman" w:cs="Times New Roman"/>
          <w:sz w:val="24"/>
          <w:szCs w:val="24"/>
          <w:lang w:eastAsia="en-GB"/>
        </w:rPr>
        <w:t>5</w:t>
      </w:r>
      <w:r w:rsidR="00906F1B" w:rsidRPr="0035724A">
        <w:rPr>
          <w:rFonts w:ascii="Times New Roman" w:eastAsia="Times New Roman" w:hAnsi="Times New Roman" w:cs="Times New Roman"/>
          <w:sz w:val="24"/>
          <w:szCs w:val="24"/>
          <w:lang w:eastAsia="en-GB"/>
        </w:rPr>
        <w:t xml:space="preserve"> years</w:t>
      </w:r>
      <w:r w:rsidR="00A716CA" w:rsidRPr="00A716CA">
        <w:rPr>
          <w:rFonts w:ascii="Times New Roman" w:eastAsia="Times New Roman" w:hAnsi="Times New Roman" w:cs="Times New Roman"/>
          <w:sz w:val="24"/>
          <w:szCs w:val="24"/>
        </w:rPr>
        <w:t xml:space="preserve"> </w:t>
      </w:r>
      <w:r w:rsidR="00A716CA" w:rsidRPr="00527BBA">
        <w:rPr>
          <w:rFonts w:ascii="Times New Roman" w:eastAsia="Times New Roman" w:hAnsi="Times New Roman" w:cs="Times New Roman"/>
          <w:sz w:val="24"/>
          <w:szCs w:val="24"/>
        </w:rPr>
        <w:t>on top of the years of</w:t>
      </w:r>
      <w:r w:rsidR="00A716CA">
        <w:rPr>
          <w:rFonts w:ascii="Times New Roman" w:eastAsia="Times New Roman" w:hAnsi="Times New Roman" w:cs="Times New Roman"/>
          <w:sz w:val="24"/>
          <w:szCs w:val="24"/>
        </w:rPr>
        <w:t xml:space="preserve"> the following</w:t>
      </w:r>
      <w:r w:rsidR="00A716CA" w:rsidRPr="00527BBA">
        <w:rPr>
          <w:rFonts w:ascii="Times New Roman" w:eastAsia="Times New Roman" w:hAnsi="Times New Roman" w:cs="Times New Roman"/>
          <w:sz w:val="24"/>
          <w:szCs w:val="24"/>
        </w:rPr>
        <w:t xml:space="preserve"> general professional experience</w:t>
      </w:r>
      <w:r w:rsidRPr="0035724A">
        <w:rPr>
          <w:rFonts w:ascii="Times New Roman" w:eastAsia="Times New Roman" w:hAnsi="Times New Roman" w:cs="Times New Roman"/>
          <w:sz w:val="24"/>
          <w:szCs w:val="24"/>
          <w:lang w:eastAsia="en-GB"/>
        </w:rPr>
        <w:t xml:space="preserve"> </w:t>
      </w:r>
    </w:p>
    <w:p w:rsidR="007A726A" w:rsidRPr="0035724A" w:rsidRDefault="00C003BD" w:rsidP="003B66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35724A">
        <w:rPr>
          <w:rFonts w:ascii="Times New Roman" w:eastAsia="Times New Roman" w:hAnsi="Times New Roman" w:cs="Times New Roman"/>
          <w:sz w:val="24"/>
          <w:szCs w:val="24"/>
          <w:lang w:eastAsia="en-GB"/>
        </w:rPr>
        <w:t>At least 10</w:t>
      </w:r>
      <w:r w:rsidR="000679C8" w:rsidRPr="0035724A">
        <w:rPr>
          <w:rFonts w:ascii="Times New Roman" w:eastAsia="Times New Roman" w:hAnsi="Times New Roman" w:cs="Times New Roman"/>
          <w:sz w:val="24"/>
          <w:szCs w:val="24"/>
          <w:lang w:eastAsia="en-GB"/>
        </w:rPr>
        <w:t xml:space="preserve"> years of professional experience as h</w:t>
      </w:r>
      <w:r w:rsidR="007A726A" w:rsidRPr="0035724A">
        <w:rPr>
          <w:rFonts w:ascii="Times New Roman" w:eastAsia="Times New Roman" w:hAnsi="Times New Roman" w:cs="Times New Roman"/>
          <w:sz w:val="24"/>
          <w:szCs w:val="24"/>
          <w:lang w:eastAsia="en-GB"/>
        </w:rPr>
        <w:t>igh-ranking official in financial sector</w:t>
      </w:r>
      <w:r w:rsidRPr="0035724A">
        <w:rPr>
          <w:rFonts w:ascii="Times New Roman" w:eastAsia="Times New Roman" w:hAnsi="Times New Roman" w:cs="Times New Roman"/>
          <w:sz w:val="24"/>
          <w:szCs w:val="24"/>
          <w:lang w:eastAsia="en-GB"/>
        </w:rPr>
        <w:t xml:space="preserve"> (</w:t>
      </w:r>
      <w:r w:rsidR="00A716CA">
        <w:rPr>
          <w:rFonts w:ascii="Times New Roman" w:eastAsia="Times New Roman" w:hAnsi="Times New Roman" w:cs="Times New Roman"/>
          <w:sz w:val="24"/>
          <w:szCs w:val="24"/>
          <w:lang w:eastAsia="en-GB"/>
        </w:rPr>
        <w:t xml:space="preserve">such as </w:t>
      </w:r>
      <w:r w:rsidRPr="0035724A">
        <w:rPr>
          <w:rFonts w:ascii="Times New Roman" w:eastAsia="Times New Roman" w:hAnsi="Times New Roman" w:cs="Times New Roman"/>
          <w:sz w:val="24"/>
          <w:szCs w:val="24"/>
          <w:lang w:eastAsia="en-GB"/>
        </w:rPr>
        <w:t>supervisory authority, or resolution authority, or financial stability authority</w:t>
      </w:r>
      <w:r w:rsidR="00A716CA">
        <w:rPr>
          <w:rFonts w:ascii="Times New Roman" w:eastAsia="Times New Roman" w:hAnsi="Times New Roman" w:cs="Times New Roman"/>
          <w:sz w:val="24"/>
          <w:szCs w:val="24"/>
          <w:lang w:eastAsia="en-GB"/>
        </w:rPr>
        <w:t xml:space="preserve"> or equivalent</w:t>
      </w:r>
      <w:r w:rsidRPr="0035724A">
        <w:rPr>
          <w:rFonts w:ascii="Times New Roman" w:eastAsia="Times New Roman" w:hAnsi="Times New Roman" w:cs="Times New Roman"/>
          <w:sz w:val="24"/>
          <w:szCs w:val="24"/>
          <w:lang w:eastAsia="en-GB"/>
        </w:rPr>
        <w:t>)</w:t>
      </w:r>
      <w:r w:rsidR="007A726A" w:rsidRPr="0035724A">
        <w:rPr>
          <w:rFonts w:ascii="Times New Roman" w:eastAsia="Times New Roman" w:hAnsi="Times New Roman" w:cs="Times New Roman"/>
          <w:sz w:val="24"/>
          <w:szCs w:val="24"/>
          <w:lang w:eastAsia="en-GB"/>
        </w:rPr>
        <w:t>;</w:t>
      </w:r>
    </w:p>
    <w:p w:rsidR="005D5CF4" w:rsidRPr="0035724A" w:rsidRDefault="005D5CF4" w:rsidP="003B66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35724A">
        <w:rPr>
          <w:rFonts w:ascii="Times New Roman" w:eastAsia="Times New Roman" w:hAnsi="Times New Roman" w:cs="Times New Roman"/>
          <w:sz w:val="24"/>
          <w:szCs w:val="24"/>
          <w:lang w:eastAsia="en-GB"/>
        </w:rPr>
        <w:t>Previous experience in project management will be an asset</w:t>
      </w:r>
      <w:r w:rsidR="00303F63" w:rsidRPr="0035724A">
        <w:rPr>
          <w:rFonts w:ascii="Times New Roman" w:eastAsia="Times New Roman" w:hAnsi="Times New Roman" w:cs="Times New Roman"/>
          <w:sz w:val="24"/>
          <w:szCs w:val="24"/>
          <w:lang w:eastAsia="en-GB"/>
        </w:rPr>
        <w:t>;</w:t>
      </w:r>
    </w:p>
    <w:p w:rsidR="00AF1EFC" w:rsidRDefault="00152699" w:rsidP="0035724A">
      <w:pPr>
        <w:pStyle w:val="ListParagraph"/>
        <w:numPr>
          <w:ilvl w:val="0"/>
          <w:numId w:val="16"/>
        </w:numPr>
        <w:autoSpaceDE w:val="0"/>
        <w:autoSpaceDN w:val="0"/>
        <w:adjustRightInd w:val="0"/>
        <w:spacing w:before="120" w:after="120" w:line="240" w:lineRule="auto"/>
        <w:ind w:left="1080"/>
        <w:jc w:val="both"/>
        <w:rPr>
          <w:rFonts w:ascii="Times New Roman" w:eastAsia="Times New Roman" w:hAnsi="Times New Roman" w:cs="Times New Roman"/>
          <w:lang w:eastAsia="en-GB"/>
        </w:rPr>
      </w:pPr>
      <w:r w:rsidRPr="0035724A">
        <w:rPr>
          <w:rFonts w:ascii="Times New Roman" w:eastAsia="Times New Roman" w:hAnsi="Times New Roman" w:cs="Times New Roman"/>
          <w:sz w:val="24"/>
          <w:szCs w:val="24"/>
          <w:lang w:eastAsia="en-GB"/>
        </w:rPr>
        <w:t>Good</w:t>
      </w:r>
      <w:r w:rsidR="005D5CF4" w:rsidRPr="0035724A">
        <w:rPr>
          <w:rFonts w:ascii="Times New Roman" w:eastAsia="Times New Roman" w:hAnsi="Times New Roman" w:cs="Times New Roman"/>
          <w:sz w:val="24"/>
          <w:szCs w:val="24"/>
          <w:lang w:eastAsia="en-GB"/>
        </w:rPr>
        <w:t xml:space="preserve"> communication skills in written and spoken</w:t>
      </w:r>
      <w:r w:rsidR="005D5CF4" w:rsidRPr="005D5CF4">
        <w:rPr>
          <w:rFonts w:ascii="Times New Roman" w:eastAsia="Times New Roman" w:hAnsi="Times New Roman" w:cs="Times New Roman"/>
          <w:sz w:val="24"/>
          <w:szCs w:val="24"/>
          <w:lang w:eastAsia="en-GB"/>
        </w:rPr>
        <w:t xml:space="preserve"> English</w:t>
      </w:r>
      <w:r w:rsidR="00056A7A">
        <w:rPr>
          <w:rFonts w:ascii="Times New Roman" w:eastAsia="Times New Roman" w:hAnsi="Times New Roman" w:cs="Times New Roman"/>
          <w:sz w:val="24"/>
          <w:szCs w:val="24"/>
          <w:lang w:eastAsia="en-GB"/>
        </w:rPr>
        <w:t>;</w:t>
      </w:r>
      <w:r w:rsidR="005D5CF4" w:rsidRPr="005D5CF4">
        <w:rPr>
          <w:rFonts w:ascii="Times New Roman" w:eastAsia="Times New Roman" w:hAnsi="Times New Roman" w:cs="Times New Roman"/>
          <w:sz w:val="24"/>
          <w:szCs w:val="24"/>
          <w:lang w:eastAsia="en-GB"/>
        </w:rPr>
        <w:t xml:space="preserve"> </w:t>
      </w:r>
    </w:p>
    <w:p w:rsidR="00AF1EFC" w:rsidRPr="0035724A" w:rsidRDefault="00AF1EFC" w:rsidP="0035724A">
      <w:pPr>
        <w:pStyle w:val="ListParagraph"/>
        <w:numPr>
          <w:ilvl w:val="0"/>
          <w:numId w:val="16"/>
        </w:numPr>
        <w:autoSpaceDE w:val="0"/>
        <w:autoSpaceDN w:val="0"/>
        <w:adjustRightInd w:val="0"/>
        <w:spacing w:before="120" w:after="120" w:line="240" w:lineRule="auto"/>
        <w:ind w:left="1080"/>
        <w:jc w:val="both"/>
        <w:rPr>
          <w:rFonts w:ascii="Times New Roman" w:eastAsia="Times New Roman" w:hAnsi="Times New Roman" w:cs="Times New Roman"/>
          <w:sz w:val="24"/>
          <w:szCs w:val="24"/>
          <w:lang w:eastAsia="en-GB"/>
        </w:rPr>
      </w:pPr>
      <w:r w:rsidRPr="0035724A">
        <w:rPr>
          <w:rFonts w:ascii="Times New Roman" w:hAnsi="Times New Roman" w:cs="Times New Roman"/>
          <w:sz w:val="24"/>
          <w:szCs w:val="24"/>
        </w:rPr>
        <w:t xml:space="preserve">Proven contractual relation to a public administration or mandated body, as defined under Twinning Manual 4.1.4.2. </w:t>
      </w:r>
    </w:p>
    <w:p w:rsidR="00AF1EFC" w:rsidRPr="005D5CF4" w:rsidRDefault="00AF1EFC" w:rsidP="0035724A">
      <w:pPr>
        <w:pStyle w:val="ListParagraph"/>
        <w:autoSpaceDE w:val="0"/>
        <w:autoSpaceDN w:val="0"/>
        <w:adjustRightInd w:val="0"/>
        <w:spacing w:before="120" w:after="120" w:line="240" w:lineRule="auto"/>
        <w:ind w:left="1080"/>
        <w:jc w:val="both"/>
        <w:rPr>
          <w:rFonts w:ascii="Times New Roman" w:eastAsia="Times New Roman" w:hAnsi="Times New Roman" w:cs="Times New Roman"/>
          <w:sz w:val="24"/>
          <w:szCs w:val="24"/>
          <w:lang w:eastAsia="en-GB"/>
        </w:rPr>
      </w:pPr>
    </w:p>
    <w:p w:rsidR="00EE6D9A" w:rsidRPr="009002C6" w:rsidRDefault="00A716CA" w:rsidP="00A52735">
      <w:pPr>
        <w:kinsoku w:val="0"/>
        <w:overflowPunct w:val="0"/>
        <w:spacing w:line="240" w:lineRule="auto"/>
        <w:jc w:val="both"/>
        <w:textAlignment w:val="baseline"/>
        <w:rPr>
          <w:rFonts w:ascii="Times New Roman" w:eastAsia="Times New Roman" w:hAnsi="Times New Roman" w:cs="Times New Roman"/>
          <w:sz w:val="24"/>
          <w:szCs w:val="24"/>
          <w:lang w:eastAsia="en-GB"/>
        </w:rPr>
      </w:pPr>
      <w:r w:rsidRPr="00FB7749">
        <w:rPr>
          <w:rFonts w:ascii="Times New Roman" w:eastAsia="Times New Roman" w:hAnsi="Times New Roman" w:cs="Times New Roman"/>
          <w:color w:val="000000"/>
          <w:sz w:val="24"/>
          <w:szCs w:val="24"/>
          <w:lang w:eastAsia="en-GB"/>
        </w:rPr>
        <w:t xml:space="preserve">The Member State Project Leader (PL) is expected to be an official or assimilated agent with a sufficient rank to ensure an operational dialogue at political level. </w:t>
      </w:r>
      <w:r w:rsidR="00EE6D9A" w:rsidRPr="009002C6">
        <w:rPr>
          <w:rFonts w:ascii="Times New Roman" w:eastAsia="Times New Roman" w:hAnsi="Times New Roman" w:cs="Times New Roman"/>
          <w:sz w:val="24"/>
          <w:szCs w:val="24"/>
          <w:lang w:eastAsia="en-GB"/>
        </w:rPr>
        <w:t>The Project Leader is responsible to coordinate the activities, disseminate project information among stakeholders, take part in discussions with high level officials, present and defend project input and expected outputs, manage the project team, prepare project management reports, help overcome project related problems, and assist the RTA for continuous development of project initiatives. The PL will be expected to devote a minimum of 3 days per month to the project in his/her home administration. In addition, he/she will coordinate, from the MS side, the Project Steering Committee (PSC), which will meet in Moldova every three months.</w:t>
      </w:r>
    </w:p>
    <w:p w:rsidR="00EE6D9A" w:rsidRPr="009002C6" w:rsidRDefault="00EE6D9A" w:rsidP="00795D8C">
      <w:pPr>
        <w:kinsoku w:val="0"/>
        <w:overflowPunct w:val="0"/>
        <w:spacing w:after="0" w:line="240" w:lineRule="auto"/>
        <w:jc w:val="both"/>
        <w:textAlignment w:val="baseline"/>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Project Leader Tasks:</w:t>
      </w:r>
    </w:p>
    <w:p w:rsidR="00EE6D9A" w:rsidRPr="009002C6" w:rsidRDefault="00EE6D9A" w:rsidP="00795D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Overall coordination, guidance and monitoring of the project</w:t>
      </w:r>
      <w:r w:rsidR="007A726A" w:rsidRPr="009002C6">
        <w:rPr>
          <w:rFonts w:ascii="Times New Roman" w:eastAsia="Times New Roman" w:hAnsi="Times New Roman" w:cs="Times New Roman"/>
          <w:sz w:val="24"/>
          <w:szCs w:val="24"/>
          <w:lang w:eastAsia="en-GB"/>
        </w:rPr>
        <w:t xml:space="preserve"> in cooperation with BC Project Leader</w:t>
      </w:r>
      <w:r w:rsidRPr="009002C6">
        <w:rPr>
          <w:rFonts w:ascii="Times New Roman" w:eastAsia="Times New Roman" w:hAnsi="Times New Roman" w:cs="Times New Roman"/>
          <w:sz w:val="24"/>
          <w:szCs w:val="24"/>
          <w:lang w:eastAsia="en-GB"/>
        </w:rPr>
        <w:t>;</w:t>
      </w:r>
    </w:p>
    <w:p w:rsidR="007A726A" w:rsidRPr="009002C6" w:rsidRDefault="007A726A" w:rsidP="00795D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Timely achievement of the project results;</w:t>
      </w:r>
    </w:p>
    <w:p w:rsidR="007A726A" w:rsidRPr="009002C6" w:rsidRDefault="007A726A" w:rsidP="00795D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Monitoring and evaluating the needs and priorities in the respective sector, project risk</w:t>
      </w:r>
      <w:r w:rsidR="00B16D1A">
        <w:rPr>
          <w:rFonts w:ascii="Times New Roman" w:eastAsia="Times New Roman" w:hAnsi="Times New Roman" w:cs="Times New Roman"/>
          <w:sz w:val="24"/>
          <w:szCs w:val="24"/>
          <w:lang w:eastAsia="en-GB"/>
        </w:rPr>
        <w:t>s</w:t>
      </w:r>
      <w:r w:rsidRPr="009002C6">
        <w:rPr>
          <w:rFonts w:ascii="Times New Roman" w:eastAsia="Times New Roman" w:hAnsi="Times New Roman" w:cs="Times New Roman"/>
          <w:sz w:val="24"/>
          <w:szCs w:val="24"/>
          <w:lang w:eastAsia="en-GB"/>
        </w:rPr>
        <w:t>, progress against the project budget, benchmarks and outputs, and tanking any necessary remedial actions if needed;</w:t>
      </w:r>
    </w:p>
    <w:p w:rsidR="007A726A" w:rsidRPr="009002C6" w:rsidRDefault="00EE6D9A" w:rsidP="00795D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Co-chai</w:t>
      </w:r>
      <w:r w:rsidR="00B16D1A">
        <w:rPr>
          <w:rFonts w:ascii="Times New Roman" w:eastAsia="Times New Roman" w:hAnsi="Times New Roman" w:cs="Times New Roman"/>
          <w:sz w:val="24"/>
          <w:szCs w:val="24"/>
          <w:lang w:eastAsia="en-GB"/>
        </w:rPr>
        <w:t>ring of project Steering C</w:t>
      </w:r>
      <w:r w:rsidRPr="009002C6">
        <w:rPr>
          <w:rFonts w:ascii="Times New Roman" w:eastAsia="Times New Roman" w:hAnsi="Times New Roman" w:cs="Times New Roman"/>
          <w:sz w:val="24"/>
          <w:szCs w:val="24"/>
          <w:lang w:eastAsia="en-GB"/>
        </w:rPr>
        <w:t xml:space="preserve">ommittees; </w:t>
      </w:r>
    </w:p>
    <w:p w:rsidR="007A726A" w:rsidRPr="009002C6" w:rsidRDefault="007A726A" w:rsidP="00795D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Project reporting (will be in charge of submission of the quarterly and final reports, and other reports needed);</w:t>
      </w:r>
    </w:p>
    <w:p w:rsidR="00EE6D9A" w:rsidRPr="009002C6" w:rsidRDefault="00EE6D9A" w:rsidP="00795D8C">
      <w:pPr>
        <w:pStyle w:val="ListParagraph"/>
        <w:numPr>
          <w:ilvl w:val="0"/>
          <w:numId w:val="16"/>
        </w:numPr>
        <w:autoSpaceDE w:val="0"/>
        <w:autoSpaceDN w:val="0"/>
        <w:adjustRightInd w:val="0"/>
        <w:spacing w:before="120" w:after="0" w:line="240" w:lineRule="auto"/>
        <w:ind w:left="1080"/>
        <w:jc w:val="both"/>
        <w:rPr>
          <w:rFonts w:ascii="Times New Roman" w:eastAsia="Times New Roman" w:hAnsi="Times New Roman" w:cs="Times New Roman"/>
          <w:sz w:val="24"/>
          <w:szCs w:val="24"/>
          <w:lang w:eastAsia="en-GB"/>
        </w:rPr>
      </w:pPr>
      <w:r w:rsidRPr="009002C6">
        <w:rPr>
          <w:rFonts w:ascii="Times New Roman" w:eastAsia="Times New Roman" w:hAnsi="Times New Roman" w:cs="Times New Roman"/>
          <w:sz w:val="24"/>
          <w:szCs w:val="24"/>
          <w:lang w:eastAsia="en-GB"/>
        </w:rPr>
        <w:t>Provision of legal and technical advice and analysis whenever needed.</w:t>
      </w:r>
    </w:p>
    <w:p w:rsidR="007168D4" w:rsidRDefault="007168D4" w:rsidP="007168D4">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3.6.2 Profile and tasks of the RTA:</w:t>
      </w:r>
    </w:p>
    <w:p w:rsidR="0042527C" w:rsidRPr="00FB7749" w:rsidRDefault="0042527C" w:rsidP="007168D4">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p>
    <w:p w:rsidR="0042527C" w:rsidRPr="0042527C" w:rsidRDefault="00EE6D9A" w:rsidP="0042527C">
      <w:pPr>
        <w:spacing w:after="240" w:line="240" w:lineRule="auto"/>
        <w:jc w:val="both"/>
        <w:rPr>
          <w:rFonts w:ascii="Times New Roman" w:eastAsia="Times New Roman" w:hAnsi="Times New Roman" w:cs="Times New Roman"/>
          <w:color w:val="000000"/>
          <w:sz w:val="24"/>
          <w:szCs w:val="24"/>
          <w:lang w:eastAsia="en-GB"/>
        </w:rPr>
      </w:pPr>
      <w:r w:rsidRPr="00CB18F1">
        <w:rPr>
          <w:rFonts w:ascii="Times New Roman" w:eastAsia="Times New Roman" w:hAnsi="Times New Roman" w:cs="Times New Roman"/>
          <w:sz w:val="24"/>
          <w:szCs w:val="24"/>
          <w:lang w:eastAsia="en-GB"/>
        </w:rPr>
        <w:t xml:space="preserve">The Resident Twinning Advisor (RTA) will be based in </w:t>
      </w:r>
      <w:r w:rsidR="00056A7A">
        <w:rPr>
          <w:rFonts w:ascii="Times New Roman" w:eastAsia="Times New Roman" w:hAnsi="Times New Roman" w:cs="Times New Roman"/>
          <w:sz w:val="24"/>
          <w:szCs w:val="24"/>
          <w:lang w:eastAsia="en-GB"/>
        </w:rPr>
        <w:t xml:space="preserve">the Republic of </w:t>
      </w:r>
      <w:r w:rsidRPr="00CB18F1">
        <w:rPr>
          <w:rFonts w:ascii="Times New Roman" w:eastAsia="Times New Roman" w:hAnsi="Times New Roman" w:cs="Times New Roman"/>
          <w:sz w:val="24"/>
          <w:szCs w:val="24"/>
          <w:lang w:eastAsia="en-GB"/>
        </w:rPr>
        <w:t>Moldova to provide full-time input and advice to the project for the entire duration of the project.</w:t>
      </w:r>
      <w:r w:rsidRPr="00CB18F1">
        <w:t xml:space="preserve"> </w:t>
      </w:r>
      <w:r w:rsidRPr="00CB18F1">
        <w:rPr>
          <w:rFonts w:ascii="Times New Roman" w:eastAsia="Times New Roman" w:hAnsi="Times New Roman" w:cs="Times New Roman"/>
          <w:sz w:val="24"/>
          <w:szCs w:val="24"/>
          <w:lang w:eastAsia="en-GB"/>
        </w:rPr>
        <w:t>This expert will bear the responsibility to coordinate in the field and on a day to day basis all the activities planned in the Twinning.</w:t>
      </w:r>
      <w:r w:rsidR="0042527C" w:rsidRPr="0042527C">
        <w:rPr>
          <w:rFonts w:ascii="Times New Roman" w:eastAsia="Times New Roman" w:hAnsi="Times New Roman" w:cs="Times New Roman"/>
          <w:color w:val="000000"/>
          <w:sz w:val="24"/>
          <w:szCs w:val="24"/>
          <w:lang w:eastAsia="en-GB"/>
        </w:rPr>
        <w:t xml:space="preserve"> The RTA can come from a </w:t>
      </w:r>
      <w:r w:rsidR="0042527C" w:rsidRPr="0042527C">
        <w:rPr>
          <w:rFonts w:ascii="Times New Roman" w:eastAsia="Calibri" w:hAnsi="Times New Roman" w:cs="Times New Roman"/>
          <w:color w:val="000000"/>
          <w:sz w:val="24"/>
          <w:szCs w:val="24"/>
          <w:lang w:eastAsia="en-GB"/>
        </w:rPr>
        <w:t xml:space="preserve">Member State administration or mandated bodies (full or ad hoc). </w:t>
      </w:r>
    </w:p>
    <w:p w:rsidR="00EE6D9A" w:rsidRPr="00CB18F1" w:rsidRDefault="00EE6D9A" w:rsidP="00603D1B">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rsidR="00EE6D9A" w:rsidRPr="00CB18F1" w:rsidRDefault="00EE6D9A" w:rsidP="00111755">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CB18F1">
        <w:rPr>
          <w:rFonts w:ascii="Times New Roman" w:eastAsia="Times New Roman" w:hAnsi="Times New Roman" w:cs="Times New Roman"/>
          <w:sz w:val="24"/>
          <w:szCs w:val="24"/>
          <w:lang w:eastAsia="en-GB"/>
        </w:rPr>
        <w:t xml:space="preserve">RTA Profile: </w:t>
      </w:r>
    </w:p>
    <w:p w:rsidR="00EE6D9A" w:rsidRPr="00CB18F1" w:rsidRDefault="00D04D08" w:rsidP="00EE6D9A">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University</w:t>
      </w:r>
      <w:r w:rsidR="00EE6D9A" w:rsidRPr="00CB18F1">
        <w:rPr>
          <w:rFonts w:ascii="Times New Roman" w:eastAsia="Times New Roman" w:hAnsi="Times New Roman" w:cs="Times New Roman"/>
          <w:sz w:val="24"/>
          <w:szCs w:val="24"/>
          <w:lang w:eastAsia="en-GB"/>
        </w:rPr>
        <w:t xml:space="preserve"> degree in a relevant field (economics, finance, business administration,</w:t>
      </w:r>
      <w:r w:rsidR="0030380F">
        <w:rPr>
          <w:rFonts w:ascii="Times New Roman" w:eastAsia="Times New Roman" w:hAnsi="Times New Roman" w:cs="Times New Roman"/>
          <w:sz w:val="24"/>
          <w:szCs w:val="24"/>
          <w:lang w:eastAsia="en-GB"/>
        </w:rPr>
        <w:t xml:space="preserve"> accounting / auditing, </w:t>
      </w:r>
      <w:r w:rsidR="00EE6D9A" w:rsidRPr="00CB18F1">
        <w:rPr>
          <w:rFonts w:ascii="Times New Roman" w:eastAsia="Times New Roman" w:hAnsi="Times New Roman" w:cs="Times New Roman"/>
          <w:sz w:val="24"/>
          <w:szCs w:val="24"/>
          <w:lang w:eastAsia="en-GB"/>
        </w:rPr>
        <w:t>law</w:t>
      </w:r>
      <w:r w:rsidR="00E25C92">
        <w:rPr>
          <w:rFonts w:ascii="Times New Roman" w:eastAsia="Times New Roman" w:hAnsi="Times New Roman" w:cs="Times New Roman"/>
          <w:sz w:val="24"/>
          <w:szCs w:val="24"/>
          <w:lang w:eastAsia="en-GB"/>
        </w:rPr>
        <w:t xml:space="preserve"> or similar</w:t>
      </w:r>
      <w:r w:rsidR="00EE6D9A" w:rsidRPr="00CB18F1">
        <w:rPr>
          <w:rFonts w:ascii="Times New Roman" w:eastAsia="Times New Roman" w:hAnsi="Times New Roman" w:cs="Times New Roman"/>
          <w:sz w:val="24"/>
          <w:szCs w:val="24"/>
          <w:lang w:eastAsia="en-GB"/>
        </w:rPr>
        <w:t>)</w:t>
      </w:r>
      <w:r w:rsidR="004E7B71" w:rsidRPr="004E7B71">
        <w:rPr>
          <w:rFonts w:ascii="Times New Roman" w:eastAsia="Times New Roman" w:hAnsi="Times New Roman" w:cs="Times New Roman"/>
          <w:sz w:val="24"/>
          <w:szCs w:val="24"/>
          <w:lang w:eastAsia="en-GB"/>
        </w:rPr>
        <w:t xml:space="preserve"> </w:t>
      </w:r>
      <w:r w:rsidR="004E7B71">
        <w:rPr>
          <w:rFonts w:ascii="Times New Roman" w:eastAsia="Times New Roman" w:hAnsi="Times New Roman" w:cs="Times New Roman"/>
          <w:sz w:val="24"/>
          <w:szCs w:val="24"/>
          <w:lang w:eastAsia="en-GB"/>
        </w:rPr>
        <w:t xml:space="preserve">or equivalent professional experience of </w:t>
      </w:r>
      <w:r w:rsidR="0035724A">
        <w:rPr>
          <w:rFonts w:ascii="Times New Roman" w:eastAsia="Times New Roman" w:hAnsi="Times New Roman" w:cs="Times New Roman"/>
          <w:sz w:val="24"/>
          <w:szCs w:val="24"/>
          <w:lang w:eastAsia="en-GB"/>
        </w:rPr>
        <w:t xml:space="preserve">5 </w:t>
      </w:r>
      <w:r w:rsidR="004E7B71">
        <w:rPr>
          <w:rFonts w:ascii="Times New Roman" w:eastAsia="Times New Roman" w:hAnsi="Times New Roman" w:cs="Times New Roman"/>
          <w:sz w:val="24"/>
          <w:szCs w:val="24"/>
          <w:lang w:eastAsia="en-GB"/>
        </w:rPr>
        <w:t>years</w:t>
      </w:r>
      <w:r w:rsidR="00A716CA" w:rsidRPr="00A716CA">
        <w:rPr>
          <w:rFonts w:ascii="Times New Roman" w:eastAsia="Times New Roman" w:hAnsi="Times New Roman" w:cs="Times New Roman"/>
          <w:sz w:val="24"/>
          <w:szCs w:val="24"/>
        </w:rPr>
        <w:t xml:space="preserve"> </w:t>
      </w:r>
      <w:r w:rsidR="00A716CA" w:rsidRPr="00527BBA">
        <w:rPr>
          <w:rFonts w:ascii="Times New Roman" w:eastAsia="Times New Roman" w:hAnsi="Times New Roman" w:cs="Times New Roman"/>
          <w:sz w:val="24"/>
          <w:szCs w:val="24"/>
        </w:rPr>
        <w:t>on top of the years of</w:t>
      </w:r>
      <w:r w:rsidR="00A716CA">
        <w:rPr>
          <w:rFonts w:ascii="Times New Roman" w:eastAsia="Times New Roman" w:hAnsi="Times New Roman" w:cs="Times New Roman"/>
          <w:sz w:val="24"/>
          <w:szCs w:val="24"/>
        </w:rPr>
        <w:t xml:space="preserve"> the following</w:t>
      </w:r>
      <w:r w:rsidR="00A716CA" w:rsidRPr="00527BBA">
        <w:rPr>
          <w:rFonts w:ascii="Times New Roman" w:eastAsia="Times New Roman" w:hAnsi="Times New Roman" w:cs="Times New Roman"/>
          <w:sz w:val="24"/>
          <w:szCs w:val="24"/>
        </w:rPr>
        <w:t xml:space="preserve"> general professional experience</w:t>
      </w:r>
      <w:r w:rsidR="00A716CA" w:rsidRPr="0035724A">
        <w:rPr>
          <w:rFonts w:ascii="Times New Roman" w:eastAsia="Times New Roman" w:hAnsi="Times New Roman" w:cs="Times New Roman"/>
          <w:sz w:val="24"/>
          <w:szCs w:val="24"/>
          <w:lang w:eastAsia="en-GB"/>
        </w:rPr>
        <w:t xml:space="preserve"> </w:t>
      </w:r>
      <w:r w:rsidR="004E7B71">
        <w:rPr>
          <w:rFonts w:ascii="Times New Roman" w:eastAsia="Times New Roman" w:hAnsi="Times New Roman" w:cs="Times New Roman"/>
          <w:sz w:val="24"/>
          <w:szCs w:val="24"/>
          <w:lang w:eastAsia="en-GB"/>
        </w:rPr>
        <w:t xml:space="preserve"> </w:t>
      </w:r>
    </w:p>
    <w:p w:rsidR="00EE6D9A" w:rsidRPr="00CB18F1" w:rsidRDefault="00EE6D9A" w:rsidP="00E41CA5">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C609D1">
        <w:rPr>
          <w:rFonts w:ascii="Times New Roman" w:eastAsia="Times New Roman" w:hAnsi="Times New Roman" w:cs="Times New Roman"/>
          <w:sz w:val="24"/>
          <w:szCs w:val="24"/>
          <w:lang w:eastAsia="en-GB"/>
        </w:rPr>
        <w:t xml:space="preserve">At least </w:t>
      </w:r>
      <w:r w:rsidR="00E55BF5" w:rsidRPr="00C609D1">
        <w:rPr>
          <w:rFonts w:ascii="Times New Roman" w:eastAsia="Times New Roman" w:hAnsi="Times New Roman" w:cs="Times New Roman"/>
          <w:sz w:val="24"/>
          <w:szCs w:val="24"/>
          <w:lang w:eastAsia="en-GB"/>
        </w:rPr>
        <w:t>7</w:t>
      </w:r>
      <w:r w:rsidRPr="00C609D1">
        <w:rPr>
          <w:rFonts w:ascii="Times New Roman" w:eastAsia="Times New Roman" w:hAnsi="Times New Roman" w:cs="Times New Roman"/>
          <w:sz w:val="24"/>
          <w:szCs w:val="24"/>
          <w:lang w:eastAsia="en-GB"/>
        </w:rPr>
        <w:t xml:space="preserve"> years of </w:t>
      </w:r>
      <w:r w:rsidR="007A726A" w:rsidRPr="00C609D1">
        <w:rPr>
          <w:rFonts w:ascii="Times New Roman" w:eastAsia="Times New Roman" w:hAnsi="Times New Roman" w:cs="Times New Roman"/>
          <w:sz w:val="24"/>
          <w:szCs w:val="24"/>
          <w:lang w:eastAsia="en-GB"/>
        </w:rPr>
        <w:t>general</w:t>
      </w:r>
      <w:r w:rsidR="007A726A" w:rsidRPr="00CB18F1">
        <w:rPr>
          <w:rFonts w:ascii="Times New Roman" w:eastAsia="Times New Roman" w:hAnsi="Times New Roman" w:cs="Times New Roman"/>
          <w:sz w:val="24"/>
          <w:szCs w:val="24"/>
          <w:lang w:eastAsia="en-GB"/>
        </w:rPr>
        <w:t xml:space="preserve"> </w:t>
      </w:r>
      <w:r w:rsidRPr="00CB18F1">
        <w:rPr>
          <w:rFonts w:ascii="Times New Roman" w:eastAsia="Times New Roman" w:hAnsi="Times New Roman" w:cs="Times New Roman"/>
          <w:sz w:val="24"/>
          <w:szCs w:val="24"/>
          <w:lang w:eastAsia="en-GB"/>
        </w:rPr>
        <w:t xml:space="preserve">professional experience in </w:t>
      </w:r>
      <w:r w:rsidR="007A726A" w:rsidRPr="00CB18F1">
        <w:rPr>
          <w:rFonts w:ascii="Times New Roman" w:eastAsia="Times New Roman" w:hAnsi="Times New Roman" w:cs="Times New Roman"/>
          <w:sz w:val="24"/>
          <w:szCs w:val="24"/>
          <w:lang w:eastAsia="en-GB"/>
        </w:rPr>
        <w:t>financial sector (</w:t>
      </w:r>
      <w:r w:rsidR="00A716CA">
        <w:rPr>
          <w:rFonts w:ascii="Times New Roman" w:eastAsia="Times New Roman" w:hAnsi="Times New Roman" w:cs="Times New Roman"/>
          <w:sz w:val="24"/>
          <w:szCs w:val="24"/>
          <w:lang w:eastAsia="en-GB"/>
        </w:rPr>
        <w:t xml:space="preserve">such as </w:t>
      </w:r>
      <w:r w:rsidR="0030380F">
        <w:rPr>
          <w:rFonts w:ascii="Times New Roman" w:eastAsia="Times New Roman" w:hAnsi="Times New Roman" w:cs="Times New Roman"/>
          <w:sz w:val="24"/>
          <w:szCs w:val="24"/>
          <w:lang w:eastAsia="en-GB"/>
        </w:rPr>
        <w:t>supervisory authority, or</w:t>
      </w:r>
      <w:r w:rsidR="00712612" w:rsidRPr="00CB18F1">
        <w:rPr>
          <w:rFonts w:ascii="Times New Roman" w:eastAsia="Times New Roman" w:hAnsi="Times New Roman" w:cs="Times New Roman"/>
          <w:sz w:val="24"/>
          <w:szCs w:val="24"/>
          <w:lang w:eastAsia="en-GB"/>
        </w:rPr>
        <w:t xml:space="preserve"> resolution authority</w:t>
      </w:r>
      <w:r w:rsidR="0030380F">
        <w:rPr>
          <w:rFonts w:ascii="Times New Roman" w:eastAsia="Times New Roman" w:hAnsi="Times New Roman" w:cs="Times New Roman"/>
          <w:sz w:val="24"/>
          <w:szCs w:val="24"/>
          <w:lang w:eastAsia="en-GB"/>
        </w:rPr>
        <w:t>,</w:t>
      </w:r>
      <w:r w:rsidR="00712612" w:rsidRPr="00CB18F1">
        <w:rPr>
          <w:rFonts w:ascii="Times New Roman" w:eastAsia="Times New Roman" w:hAnsi="Times New Roman" w:cs="Times New Roman"/>
          <w:sz w:val="24"/>
          <w:szCs w:val="24"/>
          <w:lang w:eastAsia="en-GB"/>
        </w:rPr>
        <w:t xml:space="preserve"> </w:t>
      </w:r>
      <w:r w:rsidR="0030380F">
        <w:rPr>
          <w:rFonts w:ascii="Times New Roman" w:eastAsia="Times New Roman" w:hAnsi="Times New Roman" w:cs="Times New Roman"/>
          <w:sz w:val="24"/>
          <w:szCs w:val="24"/>
          <w:lang w:eastAsia="en-GB"/>
        </w:rPr>
        <w:t>or</w:t>
      </w:r>
      <w:r w:rsidR="00712612" w:rsidRPr="00CB18F1">
        <w:rPr>
          <w:rFonts w:ascii="Times New Roman" w:eastAsia="Times New Roman" w:hAnsi="Times New Roman" w:cs="Times New Roman"/>
          <w:sz w:val="24"/>
          <w:szCs w:val="24"/>
          <w:lang w:eastAsia="en-GB"/>
        </w:rPr>
        <w:t xml:space="preserve"> financial stability</w:t>
      </w:r>
      <w:r w:rsidR="00A716CA" w:rsidRPr="00A716CA">
        <w:rPr>
          <w:rFonts w:ascii="Times New Roman" w:eastAsia="Times New Roman" w:hAnsi="Times New Roman" w:cs="Times New Roman"/>
          <w:sz w:val="24"/>
          <w:szCs w:val="24"/>
          <w:lang w:eastAsia="en-GB"/>
        </w:rPr>
        <w:t xml:space="preserve"> </w:t>
      </w:r>
      <w:r w:rsidR="00A716CA">
        <w:rPr>
          <w:rFonts w:ascii="Times New Roman" w:eastAsia="Times New Roman" w:hAnsi="Times New Roman" w:cs="Times New Roman"/>
          <w:sz w:val="24"/>
          <w:szCs w:val="24"/>
          <w:lang w:eastAsia="en-GB"/>
        </w:rPr>
        <w:t>or equivalent</w:t>
      </w:r>
      <w:r w:rsidR="007A726A" w:rsidRPr="00CB18F1">
        <w:rPr>
          <w:rFonts w:ascii="Times New Roman" w:eastAsia="Times New Roman" w:hAnsi="Times New Roman" w:cs="Times New Roman"/>
          <w:sz w:val="24"/>
          <w:szCs w:val="24"/>
          <w:lang w:eastAsia="en-GB"/>
        </w:rPr>
        <w:t>)</w:t>
      </w:r>
      <w:r w:rsidRPr="00CB18F1">
        <w:rPr>
          <w:rFonts w:ascii="Times New Roman" w:eastAsia="Times New Roman" w:hAnsi="Times New Roman" w:cs="Times New Roman"/>
          <w:sz w:val="24"/>
          <w:szCs w:val="24"/>
          <w:lang w:eastAsia="en-GB"/>
        </w:rPr>
        <w:t xml:space="preserve">; </w:t>
      </w:r>
    </w:p>
    <w:p w:rsidR="00EE6D9A" w:rsidRPr="00CB18F1" w:rsidRDefault="00E41CA5" w:rsidP="00E41CA5">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E41CA5">
        <w:rPr>
          <w:rFonts w:ascii="Times New Roman" w:eastAsia="Times New Roman" w:hAnsi="Times New Roman" w:cs="Times New Roman"/>
          <w:sz w:val="24"/>
          <w:szCs w:val="24"/>
          <w:lang w:eastAsia="en-GB"/>
        </w:rPr>
        <w:t xml:space="preserve">Experience in project management in the financial sector (banking, </w:t>
      </w:r>
      <w:r w:rsidR="008A4BB5">
        <w:rPr>
          <w:rFonts w:ascii="Times New Roman" w:eastAsia="Times New Roman" w:hAnsi="Times New Roman" w:cs="Times New Roman"/>
          <w:sz w:val="24"/>
          <w:szCs w:val="24"/>
          <w:lang w:eastAsia="en-GB"/>
        </w:rPr>
        <w:t>insurance or securities market) will be an asset;</w:t>
      </w:r>
    </w:p>
    <w:p w:rsidR="008A4BB5" w:rsidRDefault="008A4BB5" w:rsidP="008A4BB5">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Pr="005D5CF4">
        <w:rPr>
          <w:rFonts w:ascii="Times New Roman" w:eastAsia="Times New Roman" w:hAnsi="Times New Roman" w:cs="Times New Roman"/>
          <w:sz w:val="24"/>
          <w:szCs w:val="24"/>
          <w:lang w:eastAsia="en-GB"/>
        </w:rPr>
        <w:t>xcellent communication skills in written and spoken English</w:t>
      </w:r>
      <w:r w:rsidR="00056A7A">
        <w:rPr>
          <w:rFonts w:ascii="Times New Roman" w:eastAsia="Times New Roman" w:hAnsi="Times New Roman" w:cs="Times New Roman"/>
          <w:sz w:val="24"/>
          <w:szCs w:val="24"/>
          <w:lang w:eastAsia="en-GB"/>
        </w:rPr>
        <w:t>;</w:t>
      </w:r>
      <w:r w:rsidR="00056A7A" w:rsidRPr="005D5CF4">
        <w:rPr>
          <w:rFonts w:ascii="Times New Roman" w:eastAsia="Times New Roman" w:hAnsi="Times New Roman" w:cs="Times New Roman"/>
          <w:sz w:val="24"/>
          <w:szCs w:val="24"/>
          <w:lang w:eastAsia="en-GB"/>
        </w:rPr>
        <w:t xml:space="preserve"> </w:t>
      </w:r>
    </w:p>
    <w:p w:rsidR="00A1262C" w:rsidRPr="00FB3D41" w:rsidRDefault="00A1262C" w:rsidP="0035724A">
      <w:pPr>
        <w:pStyle w:val="ListParagraph"/>
        <w:numPr>
          <w:ilvl w:val="0"/>
          <w:numId w:val="19"/>
        </w:numPr>
        <w:autoSpaceDE w:val="0"/>
        <w:autoSpaceDN w:val="0"/>
        <w:adjustRightInd w:val="0"/>
        <w:spacing w:before="120" w:after="120" w:line="240" w:lineRule="auto"/>
        <w:ind w:left="851" w:hanging="284"/>
        <w:jc w:val="both"/>
        <w:rPr>
          <w:rFonts w:ascii="Times New Roman" w:eastAsia="Times New Roman" w:hAnsi="Times New Roman" w:cs="Times New Roman"/>
          <w:sz w:val="24"/>
          <w:szCs w:val="24"/>
          <w:lang w:eastAsia="en-GB"/>
        </w:rPr>
      </w:pPr>
      <w:r w:rsidRPr="00FB3D41">
        <w:rPr>
          <w:rFonts w:ascii="Times New Roman" w:hAnsi="Times New Roman" w:cs="Times New Roman"/>
          <w:sz w:val="24"/>
          <w:szCs w:val="24"/>
        </w:rPr>
        <w:t xml:space="preserve">Proven contractual relation to a public administration or mandated body, as defined under Twinning Manual 4.1.4.2. </w:t>
      </w:r>
    </w:p>
    <w:p w:rsidR="00A1262C" w:rsidRPr="00A1262C" w:rsidRDefault="00A1262C" w:rsidP="00A1262C">
      <w:pPr>
        <w:tabs>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en-GB"/>
        </w:rPr>
      </w:pPr>
    </w:p>
    <w:p w:rsidR="00EE6D9A" w:rsidRPr="00CB18F1" w:rsidRDefault="00EE6D9A" w:rsidP="00111755">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CB18F1">
        <w:rPr>
          <w:rFonts w:ascii="Times New Roman" w:eastAsia="Times New Roman" w:hAnsi="Times New Roman" w:cs="Times New Roman"/>
          <w:sz w:val="24"/>
          <w:szCs w:val="24"/>
          <w:lang w:eastAsia="en-GB"/>
        </w:rPr>
        <w:t>RTA Tasks:</w:t>
      </w:r>
    </w:p>
    <w:p w:rsidR="00621407" w:rsidRPr="008E7DE8" w:rsidRDefault="00621407" w:rsidP="008E7DE8">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E7DE8">
        <w:rPr>
          <w:rFonts w:ascii="Times New Roman" w:eastAsia="Times New Roman" w:hAnsi="Times New Roman" w:cs="Times New Roman"/>
          <w:sz w:val="24"/>
          <w:szCs w:val="24"/>
          <w:lang w:eastAsia="en-GB"/>
        </w:rPr>
        <w:t>Coordination of all project activities and</w:t>
      </w:r>
      <w:r w:rsidR="008E4BD1">
        <w:rPr>
          <w:rFonts w:ascii="Times New Roman" w:eastAsia="Times New Roman" w:hAnsi="Times New Roman" w:cs="Times New Roman"/>
          <w:sz w:val="24"/>
          <w:szCs w:val="24"/>
          <w:lang w:eastAsia="en-GB"/>
        </w:rPr>
        <w:t xml:space="preserve"> experts’ inputs in the country;</w:t>
      </w:r>
    </w:p>
    <w:p w:rsidR="00812674" w:rsidRPr="008E7DE8" w:rsidRDefault="00812674" w:rsidP="00812674">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E7DE8">
        <w:rPr>
          <w:rFonts w:ascii="Times New Roman" w:eastAsia="Times New Roman" w:hAnsi="Times New Roman" w:cs="Times New Roman"/>
          <w:sz w:val="24"/>
          <w:szCs w:val="24"/>
          <w:lang w:eastAsia="en-GB"/>
        </w:rPr>
        <w:t>Ensuring smooth correlation between the activities, deadlines and the env</w:t>
      </w:r>
      <w:r>
        <w:rPr>
          <w:rFonts w:ascii="Times New Roman" w:eastAsia="Times New Roman" w:hAnsi="Times New Roman" w:cs="Times New Roman"/>
          <w:sz w:val="24"/>
          <w:szCs w:val="24"/>
          <w:lang w:eastAsia="en-GB"/>
        </w:rPr>
        <w:t>isaged results in the Work Plan;</w:t>
      </w:r>
    </w:p>
    <w:p w:rsidR="00621407" w:rsidRPr="008E7DE8" w:rsidRDefault="00621407" w:rsidP="008E7DE8">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E7DE8">
        <w:rPr>
          <w:rFonts w:ascii="Times New Roman" w:eastAsia="Times New Roman" w:hAnsi="Times New Roman" w:cs="Times New Roman"/>
          <w:sz w:val="24"/>
          <w:szCs w:val="24"/>
          <w:lang w:eastAsia="en-GB"/>
        </w:rPr>
        <w:t>Provision of technical advice and assistance to the administration or other public sector bodies in the BC in the context of a predetermined work-plan to ensure timely completion of project output</w:t>
      </w:r>
      <w:r w:rsidR="008E4BD1">
        <w:rPr>
          <w:rFonts w:ascii="Times New Roman" w:eastAsia="Times New Roman" w:hAnsi="Times New Roman" w:cs="Times New Roman"/>
          <w:sz w:val="24"/>
          <w:szCs w:val="24"/>
          <w:lang w:eastAsia="en-GB"/>
        </w:rPr>
        <w:t>s;</w:t>
      </w:r>
    </w:p>
    <w:p w:rsidR="00621407" w:rsidRDefault="00056A7A" w:rsidP="008E7DE8">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621407" w:rsidRPr="008E7DE8">
        <w:rPr>
          <w:rFonts w:ascii="Times New Roman" w:eastAsia="Times New Roman" w:hAnsi="Times New Roman" w:cs="Times New Roman"/>
          <w:sz w:val="24"/>
          <w:szCs w:val="24"/>
          <w:lang w:eastAsia="en-GB"/>
        </w:rPr>
        <w:t xml:space="preserve">oordination, facilitation and monitoring </w:t>
      </w:r>
      <w:r>
        <w:rPr>
          <w:rFonts w:ascii="Times New Roman" w:eastAsia="Times New Roman" w:hAnsi="Times New Roman" w:cs="Times New Roman"/>
          <w:sz w:val="24"/>
          <w:szCs w:val="24"/>
          <w:lang w:eastAsia="en-GB"/>
        </w:rPr>
        <w:t xml:space="preserve">of the STEs </w:t>
      </w:r>
      <w:r w:rsidR="008E4BD1">
        <w:rPr>
          <w:rFonts w:ascii="Times New Roman" w:eastAsia="Times New Roman" w:hAnsi="Times New Roman" w:cs="Times New Roman"/>
          <w:sz w:val="24"/>
          <w:szCs w:val="24"/>
          <w:lang w:eastAsia="en-GB"/>
        </w:rPr>
        <w:t xml:space="preserve">work during </w:t>
      </w:r>
      <w:r>
        <w:rPr>
          <w:rFonts w:ascii="Times New Roman" w:eastAsia="Times New Roman" w:hAnsi="Times New Roman" w:cs="Times New Roman"/>
          <w:sz w:val="24"/>
          <w:szCs w:val="24"/>
          <w:lang w:eastAsia="en-GB"/>
        </w:rPr>
        <w:t>their missions</w:t>
      </w:r>
      <w:r w:rsidR="008E4BD1">
        <w:rPr>
          <w:rFonts w:ascii="Times New Roman" w:eastAsia="Times New Roman" w:hAnsi="Times New Roman" w:cs="Times New Roman"/>
          <w:sz w:val="24"/>
          <w:szCs w:val="24"/>
          <w:lang w:eastAsia="en-GB"/>
        </w:rPr>
        <w:t>;</w:t>
      </w:r>
    </w:p>
    <w:p w:rsidR="008E4BD1" w:rsidRPr="008E7DE8" w:rsidRDefault="008E4BD1" w:rsidP="008E7DE8">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Knowledge management allowing an appropriate records of the delivered outputs;</w:t>
      </w:r>
    </w:p>
    <w:p w:rsidR="00621407" w:rsidRPr="008E7DE8" w:rsidRDefault="00812674" w:rsidP="008E7DE8">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Liaison</w:t>
      </w:r>
      <w:r w:rsidR="00621407" w:rsidRPr="008E7DE8">
        <w:rPr>
          <w:rFonts w:ascii="Times New Roman" w:eastAsia="Times New Roman" w:hAnsi="Times New Roman" w:cs="Times New Roman"/>
          <w:sz w:val="24"/>
          <w:szCs w:val="24"/>
          <w:lang w:eastAsia="en-GB"/>
        </w:rPr>
        <w:t xml:space="preserve"> with MS and BC Project Leaders; daily contact with the RTA counterpart</w:t>
      </w:r>
      <w:r>
        <w:rPr>
          <w:rFonts w:ascii="Times New Roman" w:eastAsia="Times New Roman" w:hAnsi="Times New Roman" w:cs="Times New Roman"/>
          <w:sz w:val="24"/>
          <w:szCs w:val="24"/>
          <w:lang w:eastAsia="en-GB"/>
        </w:rPr>
        <w:t>;</w:t>
      </w:r>
    </w:p>
    <w:p w:rsidR="00621407" w:rsidRPr="008E7DE8" w:rsidRDefault="00056A7A" w:rsidP="008E7DE8">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Drafting</w:t>
      </w:r>
      <w:r w:rsidR="00621407" w:rsidRPr="008E7DE8">
        <w:rPr>
          <w:rFonts w:ascii="Times New Roman" w:eastAsia="Times New Roman" w:hAnsi="Times New Roman" w:cs="Times New Roman"/>
          <w:sz w:val="24"/>
          <w:szCs w:val="24"/>
          <w:lang w:eastAsia="en-GB"/>
        </w:rPr>
        <w:t xml:space="preserve"> of project progress reports with the Project Leader</w:t>
      </w:r>
      <w:r w:rsidR="008A5B4A">
        <w:rPr>
          <w:rFonts w:ascii="Times New Roman" w:eastAsia="Times New Roman" w:hAnsi="Times New Roman" w:cs="Times New Roman"/>
          <w:sz w:val="24"/>
          <w:szCs w:val="24"/>
          <w:lang w:eastAsia="en-GB"/>
        </w:rPr>
        <w:t>.</w:t>
      </w:r>
    </w:p>
    <w:p w:rsidR="00EE6D9A" w:rsidRPr="00CB18F1" w:rsidRDefault="0042527C" w:rsidP="00726A3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color w:val="000000"/>
          <w:sz w:val="24"/>
          <w:szCs w:val="24"/>
          <w:lang w:eastAsia="zh-CN"/>
        </w:rPr>
        <w:t xml:space="preserve">The RTA shall be supported by a full time project assistant. </w:t>
      </w:r>
      <w:r w:rsidR="00EE6D9A" w:rsidRPr="00CB18F1">
        <w:rPr>
          <w:rFonts w:ascii="Times New Roman" w:eastAsia="Times New Roman" w:hAnsi="Times New Roman" w:cs="Times New Roman"/>
          <w:sz w:val="24"/>
          <w:szCs w:val="24"/>
          <w:lang w:eastAsia="en-GB"/>
        </w:rPr>
        <w:t>The RTA assistant will be recruited and funded by the project. He/she will be working together with the RTA the whole duration of the project. The RTA assistant will provide logistical and administrative support, technical translation and interpretation services for the RTA to facilitate the implementation of the Twinning project activities and assist in the preparation of working documents, organisation of seminars, training and study tours. The profile of the RTA assistant will be specified by the RTA who will proceed to his/her recruitment following the provisions of the Twinning Manual.</w:t>
      </w:r>
    </w:p>
    <w:p w:rsidR="00B57B2C" w:rsidRDefault="00B57B2C" w:rsidP="006548AA">
      <w:pPr>
        <w:autoSpaceDE w:val="0"/>
        <w:autoSpaceDN w:val="0"/>
        <w:adjustRightInd w:val="0"/>
        <w:spacing w:before="120" w:after="0" w:line="240" w:lineRule="auto"/>
        <w:rPr>
          <w:rFonts w:ascii="Times New Roman" w:eastAsia="Times New Roman" w:hAnsi="Times New Roman" w:cs="Times New Roman"/>
          <w:sz w:val="24"/>
          <w:szCs w:val="24"/>
          <w:lang w:eastAsia="en-GB"/>
        </w:rPr>
      </w:pPr>
    </w:p>
    <w:p w:rsidR="007168D4" w:rsidRDefault="007168D4" w:rsidP="006548AA">
      <w:pPr>
        <w:autoSpaceDE w:val="0"/>
        <w:autoSpaceDN w:val="0"/>
        <w:adjustRightInd w:val="0"/>
        <w:spacing w:before="120" w:after="0" w:line="240" w:lineRule="auto"/>
        <w:rPr>
          <w:rFonts w:ascii="Times New Roman" w:eastAsia="Times New Roman" w:hAnsi="Times New Roman" w:cs="Times New Roman"/>
          <w:i/>
          <w:szCs w:val="24"/>
          <w:lang w:eastAsia="en-GB"/>
        </w:rPr>
      </w:pPr>
      <w:r w:rsidRPr="00FB7749">
        <w:rPr>
          <w:rFonts w:ascii="Times New Roman" w:eastAsia="Times New Roman" w:hAnsi="Times New Roman" w:cs="Times New Roman"/>
          <w:sz w:val="24"/>
          <w:szCs w:val="24"/>
          <w:lang w:eastAsia="en-GB"/>
        </w:rPr>
        <w:t>3.6.3 Profile and tasks of Component Leaders</w:t>
      </w:r>
      <w:r w:rsidRPr="00FB7749">
        <w:rPr>
          <w:rFonts w:ascii="Times New Roman" w:eastAsia="Times New Roman" w:hAnsi="Times New Roman" w:cs="Times New Roman"/>
          <w:i/>
          <w:szCs w:val="24"/>
          <w:lang w:eastAsia="en-GB"/>
        </w:rPr>
        <w:t>:</w:t>
      </w:r>
    </w:p>
    <w:p w:rsidR="00B57B2C" w:rsidRPr="00FB7749" w:rsidRDefault="00B57B2C" w:rsidP="007168D4">
      <w:pPr>
        <w:autoSpaceDE w:val="0"/>
        <w:autoSpaceDN w:val="0"/>
        <w:adjustRightInd w:val="0"/>
        <w:spacing w:before="120" w:after="0" w:line="240" w:lineRule="auto"/>
        <w:ind w:firstLine="540"/>
        <w:rPr>
          <w:rFonts w:ascii="Times New Roman" w:eastAsia="Times New Roman" w:hAnsi="Times New Roman" w:cs="Times New Roman"/>
          <w:i/>
          <w:szCs w:val="24"/>
          <w:lang w:eastAsia="en-GB"/>
        </w:rPr>
      </w:pPr>
    </w:p>
    <w:p w:rsidR="00B57B2C" w:rsidRPr="00B57B2C" w:rsidRDefault="00887B06" w:rsidP="006548AA">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90414">
        <w:rPr>
          <w:rFonts w:ascii="Times New Roman" w:eastAsia="Times New Roman" w:hAnsi="Times New Roman" w:cs="Times New Roman"/>
          <w:sz w:val="24"/>
          <w:szCs w:val="24"/>
          <w:lang w:eastAsia="en-GB"/>
        </w:rPr>
        <w:t xml:space="preserve">Considering </w:t>
      </w:r>
      <w:r>
        <w:rPr>
          <w:rFonts w:ascii="Times New Roman" w:eastAsia="Times New Roman" w:hAnsi="Times New Roman" w:cs="Times New Roman"/>
          <w:sz w:val="24"/>
          <w:szCs w:val="24"/>
          <w:lang w:eastAsia="en-GB"/>
        </w:rPr>
        <w:t>that the project will benefit</w:t>
      </w:r>
      <w:r w:rsidRPr="00390414">
        <w:rPr>
          <w:rFonts w:ascii="Times New Roman" w:eastAsia="Times New Roman" w:hAnsi="Times New Roman" w:cs="Times New Roman"/>
          <w:sz w:val="24"/>
          <w:szCs w:val="24"/>
          <w:lang w:eastAsia="en-GB"/>
        </w:rPr>
        <w:t xml:space="preserve"> two institutions</w:t>
      </w:r>
      <w:r>
        <w:rPr>
          <w:rFonts w:ascii="Times New Roman" w:eastAsia="Times New Roman" w:hAnsi="Times New Roman" w:cs="Times New Roman"/>
          <w:sz w:val="24"/>
          <w:szCs w:val="24"/>
          <w:lang w:eastAsia="en-GB"/>
        </w:rPr>
        <w:t xml:space="preserve"> and cover different areas of activities</w:t>
      </w:r>
      <w:r w:rsidRPr="0039041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it will be crucial to have skilled and autonomous Component Leaders. </w:t>
      </w:r>
      <w:r w:rsidR="00B57B2C" w:rsidRPr="00B57B2C">
        <w:rPr>
          <w:rFonts w:ascii="Times New Roman" w:eastAsia="Times New Roman" w:hAnsi="Times New Roman" w:cs="Times New Roman"/>
          <w:sz w:val="24"/>
          <w:szCs w:val="24"/>
          <w:lang w:eastAsia="en-GB"/>
        </w:rPr>
        <w:t>These Component Leaders will ensure continuity and consistency within each of the fields concerned.  While Component Leaders will not be resident in Chisinau, they are expected to visit Chisinau and work locally with the beneficiary institutions at least 3 times per working year. CV's and proposed activities of each Component Leader shall be an integral part of the MS proposal. The detailed expert input shall be established when drawing up the Twinning Work Plan.</w:t>
      </w:r>
    </w:p>
    <w:p w:rsidR="006A1F1A" w:rsidRPr="00007CFB" w:rsidRDefault="006A1F1A" w:rsidP="006A1F1A">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Components Leaders shall comply with the following minimum requirements: </w:t>
      </w:r>
      <w:r w:rsidRPr="00007CF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A25326" w:rsidRPr="00007CFB" w:rsidRDefault="00A25326" w:rsidP="00A25326">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Be a civil servant or a staff member in a Member State public administration or mandated body responsible for</w:t>
      </w:r>
      <w:r>
        <w:rPr>
          <w:rFonts w:ascii="Times New Roman" w:eastAsia="Times New Roman" w:hAnsi="Times New Roman" w:cs="Times New Roman"/>
          <w:sz w:val="24"/>
          <w:szCs w:val="24"/>
          <w:lang w:eastAsia="en-GB"/>
        </w:rPr>
        <w:t xml:space="preserve"> the</w:t>
      </w:r>
      <w:r w:rsidRPr="00CB18F1">
        <w:rPr>
          <w:rFonts w:ascii="Times New Roman" w:eastAsia="Times New Roman" w:hAnsi="Times New Roman" w:cs="Times New Roman"/>
          <w:sz w:val="24"/>
          <w:szCs w:val="24"/>
          <w:lang w:eastAsia="en-GB"/>
        </w:rPr>
        <w:t xml:space="preserve"> financial sector</w:t>
      </w:r>
      <w:r>
        <w:rPr>
          <w:rFonts w:ascii="Times New Roman" w:eastAsia="Times New Roman" w:hAnsi="Times New Roman" w:cs="Times New Roman"/>
          <w:sz w:val="24"/>
          <w:szCs w:val="24"/>
          <w:lang w:eastAsia="en-GB"/>
        </w:rPr>
        <w:t xml:space="preserve"> </w:t>
      </w:r>
    </w:p>
    <w:p w:rsidR="006A1F1A" w:rsidRPr="006548AA" w:rsidRDefault="006A1F1A" w:rsidP="006A1F1A">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University degree in a field relevant to this assignment or equivalent professional experience</w:t>
      </w:r>
      <w:r w:rsidR="00B57B2C">
        <w:rPr>
          <w:rFonts w:ascii="Times New Roman" w:eastAsia="Times New Roman" w:hAnsi="Times New Roman" w:cs="Times New Roman"/>
          <w:sz w:val="24"/>
          <w:szCs w:val="24"/>
          <w:lang w:eastAsia="en-GB"/>
        </w:rPr>
        <w:t xml:space="preserve"> or equivalent professional experience of 3 years</w:t>
      </w:r>
      <w:r w:rsidR="00B57B2C" w:rsidRPr="00A716CA">
        <w:rPr>
          <w:rFonts w:ascii="Times New Roman" w:eastAsia="Times New Roman" w:hAnsi="Times New Roman" w:cs="Times New Roman"/>
          <w:sz w:val="24"/>
          <w:szCs w:val="24"/>
        </w:rPr>
        <w:t xml:space="preserve"> </w:t>
      </w:r>
      <w:r w:rsidR="00B57B2C" w:rsidRPr="00527BBA">
        <w:rPr>
          <w:rFonts w:ascii="Times New Roman" w:eastAsia="Times New Roman" w:hAnsi="Times New Roman" w:cs="Times New Roman"/>
          <w:sz w:val="24"/>
          <w:szCs w:val="24"/>
        </w:rPr>
        <w:t>on top of the years of</w:t>
      </w:r>
      <w:r w:rsidR="00B57B2C">
        <w:rPr>
          <w:rFonts w:ascii="Times New Roman" w:eastAsia="Times New Roman" w:hAnsi="Times New Roman" w:cs="Times New Roman"/>
          <w:sz w:val="24"/>
          <w:szCs w:val="24"/>
        </w:rPr>
        <w:t xml:space="preserve"> the following</w:t>
      </w:r>
      <w:r w:rsidR="00B57B2C" w:rsidRPr="00527BBA">
        <w:rPr>
          <w:rFonts w:ascii="Times New Roman" w:eastAsia="Times New Roman" w:hAnsi="Times New Roman" w:cs="Times New Roman"/>
          <w:sz w:val="24"/>
          <w:szCs w:val="24"/>
        </w:rPr>
        <w:t xml:space="preserve"> </w:t>
      </w:r>
      <w:r w:rsidR="00B57B2C" w:rsidRPr="006548AA">
        <w:rPr>
          <w:rFonts w:ascii="Times New Roman" w:eastAsia="Times New Roman" w:hAnsi="Times New Roman" w:cs="Times New Roman"/>
          <w:sz w:val="24"/>
          <w:szCs w:val="24"/>
        </w:rPr>
        <w:t>general professional experience</w:t>
      </w:r>
      <w:r w:rsidR="00B57B2C" w:rsidRPr="006548AA">
        <w:rPr>
          <w:rFonts w:ascii="Times New Roman" w:eastAsia="Times New Roman" w:hAnsi="Times New Roman" w:cs="Times New Roman"/>
          <w:sz w:val="24"/>
          <w:szCs w:val="24"/>
          <w:lang w:eastAsia="en-GB"/>
        </w:rPr>
        <w:t xml:space="preserve">  </w:t>
      </w:r>
      <w:r w:rsidRPr="006548AA">
        <w:rPr>
          <w:rFonts w:ascii="Times New Roman" w:eastAsia="Times New Roman" w:hAnsi="Times New Roman" w:cs="Times New Roman"/>
          <w:sz w:val="24"/>
          <w:szCs w:val="24"/>
          <w:lang w:eastAsia="en-GB"/>
        </w:rPr>
        <w:t>;</w:t>
      </w:r>
    </w:p>
    <w:p w:rsidR="006A1F1A" w:rsidRPr="006548AA" w:rsidRDefault="003C0859" w:rsidP="006A1F1A">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6548AA">
        <w:rPr>
          <w:rFonts w:ascii="Times New Roman" w:eastAsia="Times New Roman" w:hAnsi="Times New Roman" w:cs="Times New Roman"/>
          <w:sz w:val="24"/>
          <w:szCs w:val="24"/>
          <w:lang w:eastAsia="en-GB"/>
        </w:rPr>
        <w:t>At least 5</w:t>
      </w:r>
      <w:r w:rsidR="006A1F1A" w:rsidRPr="006548AA">
        <w:rPr>
          <w:rFonts w:ascii="Times New Roman" w:eastAsia="Times New Roman" w:hAnsi="Times New Roman" w:cs="Times New Roman"/>
          <w:sz w:val="24"/>
          <w:szCs w:val="24"/>
          <w:lang w:eastAsia="en-GB"/>
        </w:rPr>
        <w:t xml:space="preserve"> years of experience in the regulatory and supervisory and / or financial stability or resolution body in the financial sector in </w:t>
      </w:r>
      <w:r w:rsidR="00185282" w:rsidRPr="006548AA">
        <w:rPr>
          <w:rFonts w:ascii="Times New Roman" w:eastAsia="Times New Roman" w:hAnsi="Times New Roman" w:cs="Times New Roman"/>
          <w:sz w:val="24"/>
          <w:szCs w:val="24"/>
          <w:lang w:eastAsia="en-GB"/>
        </w:rPr>
        <w:t>the field covered by the project component for which the Component leader will be responsible ;</w:t>
      </w:r>
    </w:p>
    <w:p w:rsidR="006548AA" w:rsidRDefault="006A1F1A" w:rsidP="006548AA">
      <w:pPr>
        <w:pStyle w:val="ListParagraph"/>
        <w:numPr>
          <w:ilvl w:val="0"/>
          <w:numId w:val="19"/>
        </w:numPr>
        <w:tabs>
          <w:tab w:val="left" w:pos="851"/>
        </w:tabs>
        <w:autoSpaceDE w:val="0"/>
        <w:autoSpaceDN w:val="0"/>
        <w:adjustRightInd w:val="0"/>
        <w:spacing w:before="120" w:after="0" w:line="240" w:lineRule="auto"/>
        <w:ind w:left="851" w:hanging="284"/>
        <w:jc w:val="both"/>
        <w:rPr>
          <w:rFonts w:ascii="Times New Roman" w:eastAsia="Times New Roman" w:hAnsi="Times New Roman" w:cs="Times New Roman"/>
          <w:sz w:val="24"/>
          <w:szCs w:val="24"/>
          <w:lang w:eastAsia="en-GB"/>
        </w:rPr>
      </w:pPr>
      <w:r w:rsidRPr="006548AA">
        <w:rPr>
          <w:rFonts w:ascii="Times New Roman" w:eastAsia="Times New Roman" w:hAnsi="Times New Roman" w:cs="Times New Roman"/>
          <w:sz w:val="24"/>
          <w:szCs w:val="24"/>
          <w:lang w:eastAsia="en-GB"/>
        </w:rPr>
        <w:t>Experience in knowledge transfer and/or training of employees of supervisory and/or regulatory bodies in EU Member State;</w:t>
      </w:r>
    </w:p>
    <w:p w:rsidR="006A1F1A" w:rsidRPr="00B57B2C" w:rsidRDefault="006A1F1A" w:rsidP="006548AA">
      <w:pPr>
        <w:pStyle w:val="ListParagraph"/>
        <w:numPr>
          <w:ilvl w:val="0"/>
          <w:numId w:val="19"/>
        </w:numPr>
        <w:tabs>
          <w:tab w:val="left" w:pos="851"/>
        </w:tabs>
        <w:autoSpaceDE w:val="0"/>
        <w:autoSpaceDN w:val="0"/>
        <w:adjustRightInd w:val="0"/>
        <w:spacing w:before="120" w:after="0" w:line="240" w:lineRule="auto"/>
        <w:ind w:left="851" w:hanging="284"/>
        <w:jc w:val="both"/>
        <w:rPr>
          <w:rFonts w:ascii="Times New Roman" w:eastAsia="Times New Roman" w:hAnsi="Times New Roman" w:cs="Times New Roman"/>
          <w:sz w:val="24"/>
          <w:szCs w:val="24"/>
          <w:lang w:eastAsia="en-GB"/>
        </w:rPr>
      </w:pPr>
      <w:r w:rsidRPr="006548AA">
        <w:rPr>
          <w:rFonts w:ascii="Times New Roman" w:eastAsia="Times New Roman" w:hAnsi="Times New Roman" w:cs="Times New Roman"/>
          <w:sz w:val="24"/>
          <w:szCs w:val="24"/>
          <w:lang w:eastAsia="en-GB"/>
        </w:rPr>
        <w:t xml:space="preserve">Good communication skills in written and spoken English, </w:t>
      </w:r>
      <w:r w:rsidR="003C0859" w:rsidRPr="006548AA">
        <w:rPr>
          <w:rFonts w:ascii="Times New Roman" w:eastAsia="Times New Roman" w:hAnsi="Times New Roman" w:cs="Times New Roman"/>
          <w:sz w:val="24"/>
          <w:szCs w:val="24"/>
          <w:lang w:eastAsia="en-GB"/>
        </w:rPr>
        <w:t>The main task of the Component</w:t>
      </w:r>
      <w:r w:rsidR="003C0859" w:rsidRPr="00B57B2C">
        <w:rPr>
          <w:rFonts w:ascii="Times New Roman" w:eastAsia="Times New Roman" w:hAnsi="Times New Roman" w:cs="Times New Roman"/>
          <w:sz w:val="24"/>
          <w:szCs w:val="24"/>
          <w:lang w:eastAsia="en-GB"/>
        </w:rPr>
        <w:t xml:space="preserve"> Leaders is to coordinate the activities under the area of responsibility in liaison with the partner institutions. </w:t>
      </w:r>
    </w:p>
    <w:p w:rsidR="007168D4" w:rsidRPr="00FB7749" w:rsidRDefault="007168D4" w:rsidP="007168D4">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3.6.4 Profile and tasks of other short-term experts</w:t>
      </w:r>
      <w:r w:rsidRPr="00FB7749">
        <w:rPr>
          <w:rFonts w:ascii="Times New Roman" w:eastAsia="Times New Roman" w:hAnsi="Times New Roman" w:cs="Times New Roman"/>
          <w:i/>
          <w:szCs w:val="24"/>
          <w:lang w:eastAsia="en-GB"/>
        </w:rPr>
        <w:t>:</w:t>
      </w:r>
    </w:p>
    <w:p w:rsidR="00270C8E" w:rsidRPr="00B41E33" w:rsidRDefault="00270C8E" w:rsidP="00B41E33">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B41E33">
        <w:rPr>
          <w:rFonts w:ascii="Times New Roman" w:eastAsia="Times New Roman" w:hAnsi="Times New Roman" w:cs="Times New Roman"/>
          <w:sz w:val="24"/>
          <w:szCs w:val="24"/>
          <w:lang w:eastAsia="en-GB"/>
        </w:rPr>
        <w:t>The project will require a number of short term experts (STE) in order to cover the full range of specialised expertise required. These will be suitably qualified and capable of providing the necessary skills and experience according to the expected results mentioned above.</w:t>
      </w:r>
    </w:p>
    <w:p w:rsidR="00270C8E" w:rsidRPr="00007CFB" w:rsidRDefault="00270C8E" w:rsidP="002F108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STE profiles (general experience):</w:t>
      </w:r>
    </w:p>
    <w:p w:rsidR="00270C8E" w:rsidRPr="00007CFB" w:rsidRDefault="00270C8E" w:rsidP="00971B67">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 xml:space="preserve">University degree in a </w:t>
      </w:r>
      <w:r w:rsidR="005359BB" w:rsidRPr="00007CFB">
        <w:rPr>
          <w:rFonts w:ascii="Times New Roman" w:eastAsia="Times New Roman" w:hAnsi="Times New Roman" w:cs="Times New Roman"/>
          <w:sz w:val="24"/>
          <w:szCs w:val="24"/>
          <w:lang w:eastAsia="en-GB"/>
        </w:rPr>
        <w:t xml:space="preserve">field </w:t>
      </w:r>
      <w:r w:rsidRPr="00007CFB">
        <w:rPr>
          <w:rFonts w:ascii="Times New Roman" w:eastAsia="Times New Roman" w:hAnsi="Times New Roman" w:cs="Times New Roman"/>
          <w:sz w:val="24"/>
          <w:szCs w:val="24"/>
          <w:lang w:eastAsia="en-GB"/>
        </w:rPr>
        <w:t xml:space="preserve">relevant </w:t>
      </w:r>
      <w:r w:rsidR="005359BB" w:rsidRPr="00007CFB">
        <w:rPr>
          <w:rFonts w:ascii="Times New Roman" w:eastAsia="Times New Roman" w:hAnsi="Times New Roman" w:cs="Times New Roman"/>
          <w:sz w:val="24"/>
          <w:szCs w:val="24"/>
          <w:lang w:eastAsia="en-GB"/>
        </w:rPr>
        <w:t>to this assignment</w:t>
      </w:r>
      <w:r w:rsidRPr="00007CFB">
        <w:rPr>
          <w:rFonts w:ascii="Times New Roman" w:eastAsia="Times New Roman" w:hAnsi="Times New Roman" w:cs="Times New Roman"/>
          <w:sz w:val="24"/>
          <w:szCs w:val="24"/>
          <w:lang w:eastAsia="en-GB"/>
        </w:rPr>
        <w:t xml:space="preserve"> or equivalent professional experience;</w:t>
      </w:r>
    </w:p>
    <w:p w:rsidR="00270C8E" w:rsidRDefault="00270C8E" w:rsidP="00971B67">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A</w:t>
      </w:r>
      <w:r w:rsidR="005359BB" w:rsidRPr="00007CFB">
        <w:rPr>
          <w:rFonts w:ascii="Times New Roman" w:eastAsia="Times New Roman" w:hAnsi="Times New Roman" w:cs="Times New Roman"/>
          <w:sz w:val="24"/>
          <w:szCs w:val="24"/>
          <w:lang w:eastAsia="en-GB"/>
        </w:rPr>
        <w:t>t least</w:t>
      </w:r>
      <w:r w:rsidRPr="00007CFB">
        <w:rPr>
          <w:rFonts w:ascii="Times New Roman" w:eastAsia="Times New Roman" w:hAnsi="Times New Roman" w:cs="Times New Roman"/>
          <w:sz w:val="24"/>
          <w:szCs w:val="24"/>
          <w:lang w:eastAsia="en-GB"/>
        </w:rPr>
        <w:t xml:space="preserve"> </w:t>
      </w:r>
      <w:r w:rsidR="005359BB" w:rsidRPr="00007CFB">
        <w:rPr>
          <w:rFonts w:ascii="Times New Roman" w:eastAsia="Times New Roman" w:hAnsi="Times New Roman" w:cs="Times New Roman"/>
          <w:sz w:val="24"/>
          <w:szCs w:val="24"/>
          <w:lang w:eastAsia="en-GB"/>
        </w:rPr>
        <w:t>3</w:t>
      </w:r>
      <w:r w:rsidRPr="00007CFB">
        <w:rPr>
          <w:rFonts w:ascii="Times New Roman" w:eastAsia="Times New Roman" w:hAnsi="Times New Roman" w:cs="Times New Roman"/>
          <w:sz w:val="24"/>
          <w:szCs w:val="24"/>
          <w:lang w:eastAsia="en-GB"/>
        </w:rPr>
        <w:t xml:space="preserve"> years of experience in </w:t>
      </w:r>
      <w:r w:rsidR="005359BB" w:rsidRPr="00007CFB">
        <w:rPr>
          <w:rFonts w:ascii="Times New Roman" w:eastAsia="Times New Roman" w:hAnsi="Times New Roman" w:cs="Times New Roman"/>
          <w:sz w:val="24"/>
          <w:szCs w:val="24"/>
          <w:lang w:eastAsia="en-GB"/>
        </w:rPr>
        <w:t>the regulatory and supervisory</w:t>
      </w:r>
      <w:r w:rsidR="0096401A">
        <w:rPr>
          <w:rFonts w:ascii="Times New Roman" w:eastAsia="Times New Roman" w:hAnsi="Times New Roman" w:cs="Times New Roman"/>
          <w:sz w:val="24"/>
          <w:szCs w:val="24"/>
          <w:lang w:eastAsia="en-GB"/>
        </w:rPr>
        <w:t xml:space="preserve"> and / or financial stability or resolution body </w:t>
      </w:r>
      <w:r w:rsidR="005359BB" w:rsidRPr="00007CFB">
        <w:rPr>
          <w:rFonts w:ascii="Times New Roman" w:eastAsia="Times New Roman" w:hAnsi="Times New Roman" w:cs="Times New Roman"/>
          <w:sz w:val="24"/>
          <w:szCs w:val="24"/>
          <w:lang w:eastAsia="en-GB"/>
        </w:rPr>
        <w:t>in the financial sector</w:t>
      </w:r>
      <w:r w:rsidRPr="00007CFB">
        <w:rPr>
          <w:rFonts w:ascii="Times New Roman" w:eastAsia="Times New Roman" w:hAnsi="Times New Roman" w:cs="Times New Roman"/>
          <w:sz w:val="24"/>
          <w:szCs w:val="24"/>
          <w:lang w:eastAsia="en-GB"/>
        </w:rPr>
        <w:t xml:space="preserve"> in specific experience field;</w:t>
      </w:r>
    </w:p>
    <w:p w:rsidR="00971B67" w:rsidRPr="00007CFB" w:rsidRDefault="00971B67" w:rsidP="00971B67">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971B67">
        <w:rPr>
          <w:rFonts w:ascii="Times New Roman" w:eastAsia="Times New Roman" w:hAnsi="Times New Roman" w:cs="Times New Roman"/>
          <w:sz w:val="24"/>
          <w:szCs w:val="24"/>
          <w:lang w:eastAsia="en-GB"/>
        </w:rPr>
        <w:t>Experience in knowledge transfer and/or training of employees of supervisory and/or regulatory bodies in EU Member State</w:t>
      </w:r>
      <w:r>
        <w:rPr>
          <w:rFonts w:ascii="Times New Roman" w:eastAsia="Times New Roman" w:hAnsi="Times New Roman" w:cs="Times New Roman"/>
          <w:sz w:val="24"/>
          <w:szCs w:val="24"/>
          <w:lang w:eastAsia="en-GB"/>
        </w:rPr>
        <w:t>;</w:t>
      </w:r>
    </w:p>
    <w:p w:rsidR="00270C8E" w:rsidRPr="00B57B2C" w:rsidRDefault="00B82629" w:rsidP="006548AA">
      <w:pPr>
        <w:pStyle w:val="ListParagraph"/>
        <w:numPr>
          <w:ilvl w:val="0"/>
          <w:numId w:val="19"/>
        </w:numPr>
        <w:tabs>
          <w:tab w:val="left" w:pos="567"/>
          <w:tab w:val="left" w:pos="851"/>
        </w:tabs>
        <w:autoSpaceDE w:val="0"/>
        <w:autoSpaceDN w:val="0"/>
        <w:adjustRightInd w:val="0"/>
        <w:spacing w:before="120" w:after="120" w:line="240" w:lineRule="auto"/>
        <w:ind w:left="317" w:hanging="288"/>
        <w:jc w:val="both"/>
        <w:rPr>
          <w:rFonts w:ascii="Times New Roman" w:eastAsia="Times New Roman" w:hAnsi="Times New Roman" w:cs="Times New Roman"/>
          <w:sz w:val="24"/>
          <w:szCs w:val="24"/>
          <w:lang w:eastAsia="en-GB"/>
        </w:rPr>
      </w:pPr>
      <w:r w:rsidRPr="00B57B2C">
        <w:rPr>
          <w:rFonts w:ascii="Times New Roman" w:eastAsia="Times New Roman" w:hAnsi="Times New Roman" w:cs="Times New Roman"/>
          <w:sz w:val="24"/>
          <w:szCs w:val="24"/>
          <w:lang w:eastAsia="en-GB"/>
        </w:rPr>
        <w:t xml:space="preserve">Good communication skills in written and spoken English, </w:t>
      </w:r>
      <w:r w:rsidR="00270C8E" w:rsidRPr="00B57B2C">
        <w:rPr>
          <w:rFonts w:ascii="Times New Roman" w:eastAsia="Times New Roman" w:hAnsi="Times New Roman" w:cs="Times New Roman"/>
          <w:sz w:val="24"/>
          <w:szCs w:val="24"/>
          <w:lang w:eastAsia="en-GB"/>
        </w:rPr>
        <w:t>STE Tasks:</w:t>
      </w:r>
    </w:p>
    <w:p w:rsidR="005359BB" w:rsidRPr="00007CFB" w:rsidRDefault="005359BB" w:rsidP="000C7766">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To cooperate closely with NBM and NCFM experts in undertaking all activities;</w:t>
      </w:r>
    </w:p>
    <w:p w:rsidR="00270C8E" w:rsidRPr="00007CFB" w:rsidRDefault="00270C8E" w:rsidP="000C7766">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To provide technical inputs in specific areas of project implementation in order to achieve mandatory results listed in the twinning fiche, including organisation of workshops, training, coaching, drafting of methodological and relevant handout materials</w:t>
      </w:r>
      <w:r w:rsidR="00971B67">
        <w:rPr>
          <w:rFonts w:ascii="Times New Roman" w:eastAsia="Times New Roman" w:hAnsi="Times New Roman" w:cs="Times New Roman"/>
          <w:sz w:val="24"/>
          <w:szCs w:val="24"/>
          <w:lang w:eastAsia="en-GB"/>
        </w:rPr>
        <w:t>,</w:t>
      </w:r>
      <w:r w:rsidRPr="00007CFB">
        <w:rPr>
          <w:rFonts w:ascii="Times New Roman" w:eastAsia="Times New Roman" w:hAnsi="Times New Roman" w:cs="Times New Roman"/>
          <w:sz w:val="24"/>
          <w:szCs w:val="24"/>
          <w:lang w:eastAsia="en-GB"/>
        </w:rPr>
        <w:t xml:space="preserve"> as per the terms of reference provided by the RTA prior to each mission; </w:t>
      </w:r>
    </w:p>
    <w:p w:rsidR="005359BB" w:rsidRPr="00007CFB" w:rsidRDefault="003009B4" w:rsidP="000C7766">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Ad</w:t>
      </w:r>
      <w:r w:rsidR="00971B67">
        <w:rPr>
          <w:rFonts w:ascii="Times New Roman" w:eastAsia="Times New Roman" w:hAnsi="Times New Roman" w:cs="Times New Roman"/>
          <w:sz w:val="24"/>
          <w:szCs w:val="24"/>
          <w:lang w:eastAsia="en-GB"/>
        </w:rPr>
        <w:t>vance preparation and familiaris</w:t>
      </w:r>
      <w:r w:rsidRPr="00007CFB">
        <w:rPr>
          <w:rFonts w:ascii="Times New Roman" w:eastAsia="Times New Roman" w:hAnsi="Times New Roman" w:cs="Times New Roman"/>
          <w:sz w:val="24"/>
          <w:szCs w:val="24"/>
          <w:lang w:eastAsia="en-GB"/>
        </w:rPr>
        <w:t>ation with relevant documentation;</w:t>
      </w:r>
    </w:p>
    <w:p w:rsidR="00270C8E" w:rsidRPr="00007CFB" w:rsidRDefault="00270C8E" w:rsidP="000C7766">
      <w:pPr>
        <w:pStyle w:val="ListParagraph"/>
        <w:numPr>
          <w:ilvl w:val="0"/>
          <w:numId w:val="19"/>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007CFB">
        <w:rPr>
          <w:rFonts w:ascii="Times New Roman" w:eastAsia="Times New Roman" w:hAnsi="Times New Roman" w:cs="Times New Roman"/>
          <w:sz w:val="24"/>
          <w:szCs w:val="24"/>
          <w:lang w:eastAsia="en-GB"/>
        </w:rPr>
        <w:t xml:space="preserve">To report to the </w:t>
      </w:r>
      <w:r w:rsidR="000262F9">
        <w:rPr>
          <w:rFonts w:ascii="Times New Roman" w:eastAsia="Times New Roman" w:hAnsi="Times New Roman" w:cs="Times New Roman"/>
          <w:sz w:val="24"/>
          <w:szCs w:val="24"/>
          <w:lang w:eastAsia="en-GB"/>
        </w:rPr>
        <w:t>project team</w:t>
      </w:r>
      <w:r w:rsidRPr="00007CFB">
        <w:rPr>
          <w:rFonts w:ascii="Times New Roman" w:eastAsia="Times New Roman" w:hAnsi="Times New Roman" w:cs="Times New Roman"/>
          <w:sz w:val="24"/>
          <w:szCs w:val="24"/>
          <w:lang w:eastAsia="en-GB"/>
        </w:rPr>
        <w:t>.</w:t>
      </w:r>
    </w:p>
    <w:p w:rsidR="007168D4" w:rsidRPr="00FB7749" w:rsidRDefault="007168D4" w:rsidP="007168D4">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 xml:space="preserve">4. </w:t>
      </w:r>
      <w:r w:rsidRPr="00FB7749">
        <w:rPr>
          <w:rFonts w:ascii="Times New Roman" w:eastAsia="Times New Roman" w:hAnsi="Times New Roman" w:cs="Times New Roman"/>
          <w:b/>
          <w:bCs/>
          <w:sz w:val="24"/>
          <w:szCs w:val="24"/>
          <w:lang w:eastAsia="en-GB"/>
        </w:rPr>
        <w:tab/>
        <w:t>Budget</w:t>
      </w:r>
    </w:p>
    <w:p w:rsidR="007168D4" w:rsidRPr="00FB7749" w:rsidRDefault="007168D4" w:rsidP="007168D4">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ab/>
      </w:r>
      <w:r w:rsidR="005A6EE8" w:rsidRPr="005A6EE8">
        <w:rPr>
          <w:rFonts w:ascii="Times New Roman" w:eastAsia="Times New Roman" w:hAnsi="Times New Roman" w:cs="Times New Roman"/>
          <w:bCs/>
          <w:sz w:val="24"/>
          <w:szCs w:val="24"/>
          <w:lang w:eastAsia="en-GB"/>
        </w:rPr>
        <w:t>The project will be implemented through a Twinning Contract estima</w:t>
      </w:r>
      <w:r w:rsidR="005A6EE8">
        <w:rPr>
          <w:rFonts w:ascii="Times New Roman" w:eastAsia="Times New Roman" w:hAnsi="Times New Roman" w:cs="Times New Roman"/>
          <w:bCs/>
          <w:sz w:val="24"/>
          <w:szCs w:val="24"/>
          <w:lang w:eastAsia="en-GB"/>
        </w:rPr>
        <w:t>ted at a maximum of EUR 1,75</w:t>
      </w:r>
      <w:r w:rsidR="005A6EE8" w:rsidRPr="005A6EE8">
        <w:rPr>
          <w:rFonts w:ascii="Times New Roman" w:eastAsia="Times New Roman" w:hAnsi="Times New Roman" w:cs="Times New Roman"/>
          <w:bCs/>
          <w:sz w:val="24"/>
          <w:szCs w:val="24"/>
          <w:lang w:eastAsia="en-GB"/>
        </w:rPr>
        <w:t>0,000</w:t>
      </w:r>
      <w:r w:rsidRPr="00FB7749">
        <w:rPr>
          <w:rFonts w:ascii="Times New Roman" w:eastAsia="Times New Roman" w:hAnsi="Times New Roman" w:cs="Times New Roman"/>
          <w:b/>
          <w:bCs/>
          <w:sz w:val="24"/>
          <w:szCs w:val="24"/>
          <w:lang w:eastAsia="en-GB"/>
        </w:rPr>
        <w:tab/>
      </w:r>
    </w:p>
    <w:p w:rsidR="007168D4" w:rsidRPr="00FB7749" w:rsidRDefault="007168D4" w:rsidP="007168D4">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 xml:space="preserve">5. </w:t>
      </w:r>
      <w:r w:rsidRPr="00FB7749">
        <w:rPr>
          <w:rFonts w:ascii="Times New Roman" w:eastAsia="Times New Roman" w:hAnsi="Times New Roman" w:cs="Times New Roman"/>
          <w:b/>
          <w:bCs/>
          <w:sz w:val="24"/>
          <w:szCs w:val="24"/>
          <w:lang w:eastAsia="en-GB"/>
        </w:rPr>
        <w:tab/>
        <w:t xml:space="preserve">Implementation Arrangements </w:t>
      </w:r>
    </w:p>
    <w:p w:rsidR="007168D4" w:rsidRPr="00FB7749" w:rsidRDefault="007168D4" w:rsidP="007168D4">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5.1 </w:t>
      </w:r>
      <w:r w:rsidRPr="00FB7749">
        <w:rPr>
          <w:rFonts w:ascii="Times New Roman" w:eastAsia="Times New Roman" w:hAnsi="Times New Roman" w:cs="Times New Roman"/>
          <w:sz w:val="24"/>
          <w:szCs w:val="24"/>
          <w:lang w:eastAsia="en-GB"/>
        </w:rPr>
        <w:tab/>
        <w:t>Implementing Agency responsible for tendering, contracting and accounting (AO/CFCE/PAO/European Union Delegation/Office):</w:t>
      </w:r>
    </w:p>
    <w:p w:rsidR="00F660D3" w:rsidRPr="00DB0D1B" w:rsidRDefault="007168D4" w:rsidP="00F660D3">
      <w:pPr>
        <w:spacing w:before="100" w:beforeAutospacing="1" w:after="100" w:afterAutospacing="1"/>
        <w:jc w:val="both"/>
        <w:rPr>
          <w:rFonts w:ascii="Times New Roman" w:eastAsia="MS ??" w:hAnsi="Times New Roman" w:cs="Times New Roman"/>
          <w:color w:val="000000"/>
          <w:sz w:val="24"/>
          <w:szCs w:val="24"/>
          <w:lang w:eastAsia="fi-FI"/>
        </w:rPr>
      </w:pPr>
      <w:r w:rsidRPr="00FB7749">
        <w:rPr>
          <w:rFonts w:ascii="Times New Roman" w:eastAsia="Times New Roman" w:hAnsi="Times New Roman" w:cs="Times New Roman"/>
          <w:sz w:val="24"/>
          <w:szCs w:val="24"/>
          <w:lang w:eastAsia="en-GB"/>
        </w:rPr>
        <w:tab/>
      </w:r>
      <w:r w:rsidR="00F660D3" w:rsidRPr="00DB0D1B">
        <w:rPr>
          <w:rFonts w:ascii="Times New Roman" w:eastAsia="MS ??" w:hAnsi="Times New Roman" w:cs="Times New Roman"/>
          <w:color w:val="000000"/>
          <w:sz w:val="24"/>
          <w:szCs w:val="24"/>
          <w:lang w:eastAsia="fi-FI"/>
        </w:rPr>
        <w:t xml:space="preserve">EUD (Delegation of the European Union to Moldova): </w:t>
      </w:r>
    </w:p>
    <w:p w:rsidR="00F660D3" w:rsidRPr="00F23264" w:rsidRDefault="00F660D3" w:rsidP="00F660D3">
      <w:pPr>
        <w:spacing w:after="0"/>
        <w:ind w:left="720"/>
        <w:jc w:val="both"/>
        <w:rPr>
          <w:rFonts w:ascii="Times New Roman" w:eastAsia="MS ??" w:hAnsi="Times New Roman" w:cs="Times New Roman"/>
          <w:b/>
          <w:color w:val="000000"/>
          <w:sz w:val="24"/>
          <w:szCs w:val="24"/>
          <w:lang w:eastAsia="fi-FI"/>
        </w:rPr>
      </w:pPr>
      <w:r w:rsidRPr="00F23264">
        <w:rPr>
          <w:rFonts w:ascii="Times New Roman" w:eastAsia="MS ??" w:hAnsi="Times New Roman" w:cs="Times New Roman"/>
          <w:b/>
          <w:color w:val="000000"/>
          <w:sz w:val="24"/>
          <w:szCs w:val="24"/>
          <w:lang w:eastAsia="fi-FI"/>
        </w:rPr>
        <w:t>Mrs Ekaterina Yakovleva</w:t>
      </w:r>
    </w:p>
    <w:p w:rsidR="00F660D3" w:rsidRPr="00DB0D1B" w:rsidRDefault="00F660D3" w:rsidP="004F0762">
      <w:pPr>
        <w:spacing w:after="0" w:line="240" w:lineRule="auto"/>
        <w:ind w:left="720"/>
        <w:jc w:val="both"/>
        <w:rPr>
          <w:rFonts w:ascii="Times New Roman" w:eastAsia="MS ??" w:hAnsi="Times New Roman" w:cs="Times New Roman"/>
          <w:color w:val="000000"/>
          <w:sz w:val="24"/>
          <w:szCs w:val="24"/>
          <w:lang w:eastAsia="fi-FI"/>
        </w:rPr>
      </w:pPr>
      <w:r w:rsidRPr="00DB0D1B">
        <w:rPr>
          <w:rFonts w:ascii="Times New Roman" w:eastAsia="MS ??" w:hAnsi="Times New Roman" w:cs="Times New Roman"/>
          <w:color w:val="000000"/>
          <w:sz w:val="24"/>
          <w:szCs w:val="24"/>
          <w:lang w:eastAsia="fi-FI"/>
        </w:rPr>
        <w:t>International Aid Cooperation Officer / Project Manager</w:t>
      </w:r>
    </w:p>
    <w:p w:rsidR="00F660D3" w:rsidRPr="004D0C75" w:rsidRDefault="004D0C75" w:rsidP="004F0762">
      <w:pPr>
        <w:spacing w:after="0" w:line="240" w:lineRule="auto"/>
        <w:ind w:left="720"/>
        <w:jc w:val="both"/>
        <w:rPr>
          <w:rFonts w:ascii="Times New Roman" w:eastAsia="MS ??" w:hAnsi="Times New Roman" w:cs="Times New Roman"/>
          <w:color w:val="000000"/>
          <w:sz w:val="24"/>
          <w:szCs w:val="24"/>
          <w:lang w:eastAsia="fi-FI"/>
        </w:rPr>
      </w:pPr>
      <w:r w:rsidRPr="004D0C75">
        <w:rPr>
          <w:rFonts w:ascii="Times New Roman" w:eastAsia="MS ??" w:hAnsi="Times New Roman" w:cs="Times New Roman"/>
          <w:color w:val="000000"/>
          <w:sz w:val="24"/>
          <w:szCs w:val="24"/>
          <w:lang w:eastAsia="fi-FI"/>
        </w:rPr>
        <w:t xml:space="preserve">Address: </w:t>
      </w:r>
      <w:r w:rsidR="00F660D3" w:rsidRPr="004D0C75">
        <w:rPr>
          <w:rFonts w:ascii="Times New Roman" w:eastAsia="MS ??" w:hAnsi="Times New Roman" w:cs="Times New Roman"/>
          <w:color w:val="000000"/>
          <w:sz w:val="24"/>
          <w:szCs w:val="24"/>
          <w:lang w:eastAsia="fi-FI"/>
        </w:rPr>
        <w:t>12 Kogalniceanu Str., MD 2001, Chisinau, Moldova</w:t>
      </w:r>
    </w:p>
    <w:p w:rsidR="00F660D3" w:rsidRPr="00840445" w:rsidRDefault="00C20703" w:rsidP="004F0762">
      <w:pPr>
        <w:spacing w:after="0" w:line="240" w:lineRule="auto"/>
        <w:ind w:left="720"/>
        <w:jc w:val="both"/>
        <w:rPr>
          <w:rFonts w:ascii="Times New Roman" w:eastAsia="MS ??" w:hAnsi="Times New Roman" w:cs="Times New Roman"/>
          <w:color w:val="000000"/>
          <w:sz w:val="24"/>
          <w:szCs w:val="24"/>
          <w:lang w:eastAsia="fi-FI"/>
        </w:rPr>
      </w:pPr>
      <w:r w:rsidRPr="00840445">
        <w:rPr>
          <w:rFonts w:ascii="Times New Roman" w:eastAsia="MS ??" w:hAnsi="Times New Roman" w:cs="Times New Roman"/>
          <w:color w:val="000000"/>
          <w:sz w:val="24"/>
          <w:szCs w:val="24"/>
          <w:lang w:eastAsia="fi-FI"/>
        </w:rPr>
        <w:t>T</w:t>
      </w:r>
      <w:r w:rsidR="00260236" w:rsidRPr="00840445">
        <w:rPr>
          <w:rFonts w:ascii="Times New Roman" w:eastAsia="MS ??" w:hAnsi="Times New Roman" w:cs="Times New Roman"/>
          <w:color w:val="000000"/>
          <w:sz w:val="24"/>
          <w:szCs w:val="24"/>
          <w:lang w:eastAsia="fi-FI"/>
        </w:rPr>
        <w:t>el.: +373-22-505210</w:t>
      </w:r>
    </w:p>
    <w:p w:rsidR="007168D4" w:rsidRPr="00840445" w:rsidRDefault="00C20703" w:rsidP="004F0762">
      <w:pPr>
        <w:tabs>
          <w:tab w:val="left" w:pos="540"/>
        </w:tabs>
        <w:autoSpaceDE w:val="0"/>
        <w:autoSpaceDN w:val="0"/>
        <w:adjustRightInd w:val="0"/>
        <w:spacing w:after="0" w:line="240" w:lineRule="auto"/>
        <w:ind w:left="1260" w:hanging="540"/>
        <w:jc w:val="both"/>
        <w:rPr>
          <w:rFonts w:ascii="Times New Roman" w:eastAsia="Times New Roman" w:hAnsi="Times New Roman" w:cs="Times New Roman"/>
          <w:i/>
          <w:sz w:val="24"/>
          <w:szCs w:val="24"/>
          <w:lang w:eastAsia="en-GB"/>
        </w:rPr>
      </w:pPr>
      <w:r w:rsidRPr="00840445">
        <w:rPr>
          <w:rFonts w:ascii="Times New Roman" w:eastAsia="MS ??" w:hAnsi="Times New Roman" w:cs="Times New Roman"/>
          <w:color w:val="000000"/>
          <w:sz w:val="24"/>
          <w:szCs w:val="24"/>
          <w:lang w:eastAsia="fi-FI"/>
        </w:rPr>
        <w:t>E</w:t>
      </w:r>
      <w:r w:rsidR="00F660D3" w:rsidRPr="00840445">
        <w:rPr>
          <w:rFonts w:ascii="Times New Roman" w:eastAsia="MS ??" w:hAnsi="Times New Roman" w:cs="Times New Roman"/>
          <w:color w:val="000000"/>
          <w:sz w:val="24"/>
          <w:szCs w:val="24"/>
          <w:lang w:eastAsia="fi-FI"/>
        </w:rPr>
        <w:t xml:space="preserve">-mail: </w:t>
      </w:r>
      <w:hyperlink r:id="rId12" w:history="1">
        <w:r w:rsidR="001735FA" w:rsidRPr="00840445">
          <w:rPr>
            <w:rStyle w:val="Hyperlink"/>
            <w:rFonts w:ascii="Times New Roman" w:eastAsia="MS ??" w:hAnsi="Times New Roman" w:cs="Times New Roman"/>
            <w:sz w:val="24"/>
            <w:szCs w:val="24"/>
            <w:lang w:eastAsia="fi-FI"/>
          </w:rPr>
          <w:t>ekaterina.yakovleva@eeas.europa.eu</w:t>
        </w:r>
      </w:hyperlink>
      <w:r w:rsidR="00F660D3" w:rsidRPr="00840445">
        <w:rPr>
          <w:rFonts w:ascii="Times New Roman" w:eastAsia="MS ??" w:hAnsi="Times New Roman" w:cs="Times New Roman"/>
          <w:color w:val="0000FF"/>
          <w:sz w:val="24"/>
          <w:szCs w:val="24"/>
          <w:u w:val="single"/>
          <w:lang w:eastAsia="fi-FI"/>
        </w:rPr>
        <w:t xml:space="preserve"> </w:t>
      </w:r>
      <w:r w:rsidR="00F660D3" w:rsidRPr="00840445">
        <w:rPr>
          <w:rFonts w:ascii="Times New Roman" w:eastAsia="MS ??" w:hAnsi="Times New Roman" w:cs="Times New Roman"/>
          <w:color w:val="000000"/>
          <w:sz w:val="24"/>
          <w:szCs w:val="24"/>
          <w:lang w:eastAsia="fi-FI"/>
        </w:rPr>
        <w:t xml:space="preserve">  </w:t>
      </w:r>
    </w:p>
    <w:p w:rsidR="007168D4" w:rsidRDefault="007168D4" w:rsidP="00CE5D4D">
      <w:pPr>
        <w:tabs>
          <w:tab w:val="left" w:pos="54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5.2 </w:t>
      </w:r>
      <w:r w:rsidRPr="00FB7749">
        <w:rPr>
          <w:rFonts w:ascii="Times New Roman" w:eastAsia="Times New Roman" w:hAnsi="Times New Roman" w:cs="Times New Roman"/>
          <w:sz w:val="24"/>
          <w:szCs w:val="24"/>
          <w:lang w:eastAsia="en-GB"/>
        </w:rPr>
        <w:tab/>
        <w:t>Institutional framework</w:t>
      </w:r>
    </w:p>
    <w:p w:rsidR="00E15C88" w:rsidRPr="00584BE6" w:rsidRDefault="00E15C88" w:rsidP="00584BE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84BE6">
        <w:rPr>
          <w:rFonts w:ascii="Times New Roman" w:eastAsia="Times New Roman" w:hAnsi="Times New Roman" w:cs="Times New Roman"/>
          <w:sz w:val="24"/>
          <w:szCs w:val="24"/>
          <w:lang w:eastAsia="en-GB"/>
        </w:rPr>
        <w:t>The beneficiaries of the project will be National Bank of Moldova and National Commission for Financial Markets.</w:t>
      </w:r>
      <w:r w:rsidR="00701DF7">
        <w:rPr>
          <w:rFonts w:ascii="Times New Roman" w:eastAsia="Times New Roman" w:hAnsi="Times New Roman" w:cs="Times New Roman"/>
          <w:sz w:val="24"/>
          <w:szCs w:val="24"/>
          <w:lang w:eastAsia="en-GB"/>
        </w:rPr>
        <w:t xml:space="preserve"> For more details, see point 3.1.</w:t>
      </w:r>
    </w:p>
    <w:p w:rsidR="007168D4" w:rsidRPr="00FB7749" w:rsidRDefault="007168D4" w:rsidP="007168D4">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5.3</w:t>
      </w:r>
      <w:r w:rsidRPr="00FB7749">
        <w:rPr>
          <w:rFonts w:ascii="Times New Roman" w:eastAsia="Times New Roman" w:hAnsi="Times New Roman" w:cs="Times New Roman"/>
          <w:sz w:val="24"/>
          <w:szCs w:val="24"/>
          <w:lang w:eastAsia="en-GB"/>
        </w:rPr>
        <w:tab/>
        <w:t>Counterparts in the Beneficiary administration:</w:t>
      </w:r>
    </w:p>
    <w:p w:rsidR="007168D4" w:rsidRPr="00B4351B" w:rsidRDefault="007168D4" w:rsidP="007168D4">
      <w:pPr>
        <w:tabs>
          <w:tab w:val="left" w:pos="540"/>
        </w:tabs>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B4351B">
        <w:rPr>
          <w:rFonts w:ascii="Times New Roman" w:eastAsia="Times New Roman" w:hAnsi="Times New Roman" w:cs="Times New Roman"/>
          <w:sz w:val="24"/>
          <w:szCs w:val="20"/>
        </w:rPr>
        <w:t>The PL and RTA counterparts will be staff of the Beneficiary administration and will be actively involved in the management and coordination of the project.</w:t>
      </w:r>
    </w:p>
    <w:p w:rsidR="007D3D41" w:rsidRDefault="007D3D41" w:rsidP="00B2573A">
      <w:pPr>
        <w:autoSpaceDE w:val="0"/>
        <w:autoSpaceDN w:val="0"/>
        <w:adjustRightInd w:val="0"/>
        <w:spacing w:before="120" w:after="120" w:line="240" w:lineRule="auto"/>
        <w:ind w:left="53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5.3.1 Contact person </w:t>
      </w:r>
    </w:p>
    <w:p w:rsidR="00D31CE2" w:rsidRPr="006548AA" w:rsidRDefault="00D31CE2" w:rsidP="001313E4">
      <w:pPr>
        <w:spacing w:after="120"/>
        <w:rPr>
          <w:rFonts w:ascii="Times New Roman" w:hAnsi="Times New Roman"/>
          <w:b/>
          <w:bCs/>
          <w:sz w:val="24"/>
          <w:szCs w:val="24"/>
          <w:lang w:val="en-US" w:eastAsia="ro-RO"/>
        </w:rPr>
      </w:pPr>
      <w:r w:rsidRPr="006548AA">
        <w:rPr>
          <w:rFonts w:ascii="Times New Roman" w:hAnsi="Times New Roman"/>
          <w:b/>
          <w:bCs/>
          <w:sz w:val="24"/>
          <w:szCs w:val="24"/>
          <w:lang w:val="en-US" w:eastAsia="ro-RO"/>
        </w:rPr>
        <w:t>Oxana Gluscenco</w:t>
      </w:r>
    </w:p>
    <w:p w:rsidR="00D31CE2" w:rsidRPr="006548AA" w:rsidRDefault="00D31CE2" w:rsidP="001313E4">
      <w:pPr>
        <w:spacing w:after="0"/>
        <w:rPr>
          <w:rFonts w:ascii="Times New Roman" w:hAnsi="Times New Roman"/>
          <w:bCs/>
          <w:sz w:val="24"/>
          <w:szCs w:val="24"/>
          <w:lang w:val="en-US" w:eastAsia="ro-RO"/>
        </w:rPr>
      </w:pPr>
      <w:r w:rsidRPr="006548AA">
        <w:rPr>
          <w:rFonts w:ascii="Times New Roman" w:hAnsi="Times New Roman"/>
          <w:bCs/>
          <w:sz w:val="24"/>
          <w:szCs w:val="24"/>
          <w:lang w:val="en-US" w:eastAsia="ro-RO"/>
        </w:rPr>
        <w:t>Head of Policy Coordination and Foreign Assistance Department</w:t>
      </w:r>
    </w:p>
    <w:p w:rsidR="00D31CE2" w:rsidRPr="006548AA" w:rsidRDefault="00D31CE2" w:rsidP="001313E4">
      <w:pPr>
        <w:spacing w:after="0"/>
        <w:rPr>
          <w:rFonts w:ascii="Times New Roman" w:hAnsi="Times New Roman"/>
          <w:sz w:val="24"/>
          <w:szCs w:val="24"/>
          <w:lang w:val="en-US" w:eastAsia="ro-RO"/>
        </w:rPr>
      </w:pPr>
      <w:r w:rsidRPr="006548AA">
        <w:rPr>
          <w:rFonts w:ascii="Times New Roman" w:hAnsi="Times New Roman"/>
          <w:sz w:val="24"/>
          <w:szCs w:val="24"/>
          <w:lang w:val="en-US" w:eastAsia="ro-RO"/>
        </w:rPr>
        <w:t>State Chancellery</w:t>
      </w:r>
      <w:r w:rsidRPr="006548AA">
        <w:rPr>
          <w:rFonts w:ascii="Times New Roman" w:hAnsi="Times New Roman"/>
          <w:sz w:val="24"/>
          <w:szCs w:val="24"/>
          <w:lang w:val="en-US" w:eastAsia="ro-RO"/>
        </w:rPr>
        <w:br/>
        <w:t>Government House, 1, Piata Mari</w:t>
      </w:r>
      <w:r w:rsidR="008F07E8" w:rsidRPr="006548AA">
        <w:rPr>
          <w:rFonts w:ascii="Times New Roman" w:hAnsi="Times New Roman"/>
          <w:sz w:val="24"/>
          <w:szCs w:val="24"/>
          <w:lang w:val="en-US" w:eastAsia="ro-RO"/>
        </w:rPr>
        <w:t>i Adunari Nationale blvd.</w:t>
      </w:r>
      <w:r w:rsidR="008F07E8" w:rsidRPr="006548AA">
        <w:rPr>
          <w:rFonts w:ascii="Times New Roman" w:hAnsi="Times New Roman"/>
          <w:sz w:val="24"/>
          <w:szCs w:val="24"/>
          <w:lang w:val="en-US" w:eastAsia="ro-RO"/>
        </w:rPr>
        <w:br/>
        <w:t>Tel: +373 22-250</w:t>
      </w:r>
      <w:r w:rsidRPr="006548AA">
        <w:rPr>
          <w:rFonts w:ascii="Times New Roman" w:hAnsi="Times New Roman"/>
          <w:sz w:val="24"/>
          <w:szCs w:val="24"/>
          <w:lang w:val="en-US" w:eastAsia="ro-RO"/>
        </w:rPr>
        <w:t>212</w:t>
      </w:r>
    </w:p>
    <w:p w:rsidR="007168D4" w:rsidRPr="00FB7749" w:rsidRDefault="007168D4" w:rsidP="00B2573A">
      <w:pPr>
        <w:autoSpaceDE w:val="0"/>
        <w:autoSpaceDN w:val="0"/>
        <w:adjustRightInd w:val="0"/>
        <w:spacing w:before="120" w:after="120" w:line="240" w:lineRule="auto"/>
        <w:ind w:left="539"/>
        <w:jc w:val="both"/>
        <w:rPr>
          <w:rFonts w:ascii="Times New Roman" w:eastAsia="Times New Roman" w:hAnsi="Times New Roman" w:cs="Times New Roman"/>
          <w:bCs/>
          <w:i/>
          <w:sz w:val="24"/>
          <w:szCs w:val="24"/>
          <w:lang w:eastAsia="en-GB"/>
        </w:rPr>
      </w:pPr>
      <w:r w:rsidRPr="00FB7749">
        <w:rPr>
          <w:rFonts w:ascii="Times New Roman" w:eastAsia="Times New Roman" w:hAnsi="Times New Roman" w:cs="Times New Roman"/>
          <w:sz w:val="24"/>
          <w:szCs w:val="24"/>
          <w:lang w:eastAsia="en-GB"/>
        </w:rPr>
        <w:t>5.3.</w:t>
      </w:r>
      <w:r w:rsidR="007D3D41">
        <w:rPr>
          <w:rFonts w:ascii="Times New Roman" w:eastAsia="Times New Roman" w:hAnsi="Times New Roman" w:cs="Times New Roman"/>
          <w:sz w:val="24"/>
          <w:szCs w:val="24"/>
          <w:lang w:eastAsia="en-GB"/>
        </w:rPr>
        <w:t>2</w:t>
      </w:r>
      <w:r w:rsidRPr="00FB7749">
        <w:rPr>
          <w:rFonts w:ascii="Times New Roman" w:eastAsia="Times New Roman" w:hAnsi="Times New Roman" w:cs="Times New Roman"/>
          <w:sz w:val="24"/>
          <w:szCs w:val="24"/>
          <w:lang w:eastAsia="en-GB"/>
        </w:rPr>
        <w:tab/>
        <w:t>PL counterpart</w:t>
      </w:r>
      <w:r w:rsidR="00F97C05">
        <w:rPr>
          <w:rFonts w:ascii="Times New Roman" w:eastAsia="Times New Roman" w:hAnsi="Times New Roman" w:cs="Times New Roman"/>
          <w:sz w:val="24"/>
          <w:szCs w:val="24"/>
          <w:lang w:eastAsia="en-GB"/>
        </w:rPr>
        <w:t>s</w:t>
      </w:r>
    </w:p>
    <w:p w:rsidR="00F97C05" w:rsidRDefault="00F97C05" w:rsidP="00B2573A">
      <w:pPr>
        <w:tabs>
          <w:tab w:val="left" w:pos="540"/>
        </w:tabs>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National Bank of Moldova</w:t>
      </w:r>
    </w:p>
    <w:p w:rsidR="00931D34" w:rsidRPr="004D0C75" w:rsidRDefault="00931D34" w:rsidP="00B2573A">
      <w:pPr>
        <w:tabs>
          <w:tab w:val="left" w:pos="540"/>
        </w:tabs>
        <w:autoSpaceDE w:val="0"/>
        <w:autoSpaceDN w:val="0"/>
        <w:adjustRightInd w:val="0"/>
        <w:spacing w:after="0" w:line="240" w:lineRule="auto"/>
        <w:jc w:val="both"/>
        <w:rPr>
          <w:rFonts w:ascii="Times New Roman" w:eastAsia="Times New Roman" w:hAnsi="Times New Roman" w:cs="Times New Roman"/>
          <w:b/>
          <w:sz w:val="24"/>
          <w:szCs w:val="20"/>
        </w:rPr>
      </w:pPr>
      <w:r w:rsidRPr="004D0C75">
        <w:rPr>
          <w:rFonts w:ascii="Times New Roman" w:eastAsia="Times New Roman" w:hAnsi="Times New Roman" w:cs="Times New Roman"/>
          <w:b/>
          <w:sz w:val="24"/>
          <w:szCs w:val="20"/>
        </w:rPr>
        <w:t>Mr Vladimir Munteanu</w:t>
      </w:r>
    </w:p>
    <w:p w:rsidR="00931D34" w:rsidRPr="004D0C75" w:rsidRDefault="00931D34" w:rsidP="004D0C75">
      <w:pPr>
        <w:tabs>
          <w:tab w:val="left" w:pos="540"/>
        </w:tabs>
        <w:autoSpaceDE w:val="0"/>
        <w:autoSpaceDN w:val="0"/>
        <w:adjustRightInd w:val="0"/>
        <w:spacing w:after="0" w:line="240" w:lineRule="auto"/>
        <w:jc w:val="both"/>
        <w:rPr>
          <w:rFonts w:ascii="Times New Roman" w:eastAsia="Times New Roman" w:hAnsi="Times New Roman" w:cs="Times New Roman"/>
          <w:sz w:val="24"/>
          <w:szCs w:val="20"/>
        </w:rPr>
      </w:pPr>
      <w:r w:rsidRPr="004D0C75">
        <w:rPr>
          <w:rFonts w:ascii="Times New Roman" w:eastAsia="Times New Roman" w:hAnsi="Times New Roman" w:cs="Times New Roman"/>
          <w:sz w:val="24"/>
          <w:szCs w:val="20"/>
        </w:rPr>
        <w:t>First Deputy Governor, National Bank of Moldova</w:t>
      </w:r>
    </w:p>
    <w:p w:rsidR="00931D34" w:rsidRPr="004D0C75" w:rsidRDefault="00931D34" w:rsidP="004D0C75">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ro-RO"/>
        </w:rPr>
      </w:pPr>
      <w:r w:rsidRPr="004D0C75">
        <w:rPr>
          <w:rFonts w:ascii="Times New Roman" w:eastAsia="Times New Roman" w:hAnsi="Times New Roman" w:cs="Times New Roman"/>
          <w:sz w:val="24"/>
          <w:szCs w:val="20"/>
        </w:rPr>
        <w:t>Address: 1 Grigore Vieru ave, MD-2005, Chi</w:t>
      </w:r>
      <w:r w:rsidRPr="004D0C75">
        <w:rPr>
          <w:rFonts w:ascii="Times New Roman" w:eastAsia="Times New Roman" w:hAnsi="Times New Roman" w:cs="Times New Roman"/>
          <w:sz w:val="24"/>
          <w:szCs w:val="20"/>
          <w:lang w:val="ro-RO"/>
        </w:rPr>
        <w:t>șinău, Moldova</w:t>
      </w:r>
    </w:p>
    <w:p w:rsidR="00931D34" w:rsidRPr="004D0C75" w:rsidRDefault="00931D34" w:rsidP="004D0C75">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ro-RO"/>
        </w:rPr>
      </w:pPr>
      <w:r w:rsidRPr="004D0C75">
        <w:rPr>
          <w:rFonts w:ascii="Times New Roman" w:eastAsia="Times New Roman" w:hAnsi="Times New Roman" w:cs="Times New Roman"/>
          <w:sz w:val="24"/>
          <w:szCs w:val="20"/>
          <w:lang w:val="ro-RO"/>
        </w:rPr>
        <w:t>Tel. +373-22-822606</w:t>
      </w:r>
    </w:p>
    <w:p w:rsidR="007168D4" w:rsidRPr="00043472" w:rsidRDefault="007168D4" w:rsidP="00F3657E">
      <w:pPr>
        <w:autoSpaceDE w:val="0"/>
        <w:autoSpaceDN w:val="0"/>
        <w:adjustRightInd w:val="0"/>
        <w:spacing w:before="120" w:after="120" w:line="240" w:lineRule="auto"/>
        <w:ind w:left="539"/>
        <w:jc w:val="both"/>
        <w:rPr>
          <w:rFonts w:ascii="Times New Roman" w:eastAsia="Times New Roman" w:hAnsi="Times New Roman" w:cs="Times New Roman"/>
          <w:sz w:val="24"/>
          <w:szCs w:val="24"/>
          <w:lang w:eastAsia="en-GB"/>
        </w:rPr>
      </w:pPr>
      <w:r w:rsidRPr="00043472">
        <w:rPr>
          <w:rFonts w:ascii="Times New Roman" w:eastAsia="Times New Roman" w:hAnsi="Times New Roman" w:cs="Times New Roman"/>
          <w:sz w:val="24"/>
          <w:szCs w:val="24"/>
          <w:lang w:eastAsia="en-GB"/>
        </w:rPr>
        <w:t>5.3.3</w:t>
      </w:r>
      <w:r w:rsidRPr="00043472">
        <w:rPr>
          <w:rFonts w:ascii="Times New Roman" w:eastAsia="Times New Roman" w:hAnsi="Times New Roman" w:cs="Times New Roman"/>
          <w:sz w:val="24"/>
          <w:szCs w:val="24"/>
          <w:lang w:eastAsia="en-GB"/>
        </w:rPr>
        <w:tab/>
        <w:t>RTA counterpart</w:t>
      </w:r>
    </w:p>
    <w:p w:rsidR="00FE0103" w:rsidRDefault="00FE0103" w:rsidP="00FE0103">
      <w:pPr>
        <w:tabs>
          <w:tab w:val="left" w:pos="540"/>
        </w:tabs>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National Bank of Moldova</w:t>
      </w:r>
    </w:p>
    <w:p w:rsidR="00931D34" w:rsidRPr="009A5A1A" w:rsidRDefault="00931D34" w:rsidP="00E87D55">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9A5A1A">
        <w:rPr>
          <w:rFonts w:ascii="Times New Roman" w:eastAsia="Times New Roman" w:hAnsi="Times New Roman" w:cs="Times New Roman"/>
          <w:b/>
          <w:bCs/>
          <w:sz w:val="24"/>
          <w:szCs w:val="24"/>
          <w:lang w:eastAsia="en-GB"/>
        </w:rPr>
        <w:t>Ms Olga Rusu</w:t>
      </w:r>
    </w:p>
    <w:p w:rsidR="00931D34" w:rsidRPr="00E87D55" w:rsidRDefault="009A5A1A" w:rsidP="00E87D5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Deputy H</w:t>
      </w:r>
      <w:r w:rsidR="00931D34" w:rsidRPr="00E87D55">
        <w:rPr>
          <w:rFonts w:ascii="Times New Roman" w:eastAsia="Times New Roman" w:hAnsi="Times New Roman" w:cs="Times New Roman"/>
          <w:bCs/>
          <w:sz w:val="24"/>
          <w:szCs w:val="24"/>
          <w:lang w:eastAsia="en-GB"/>
        </w:rPr>
        <w:t>ead of Financial Stability Division, National Bank of Moldova</w:t>
      </w:r>
    </w:p>
    <w:p w:rsidR="00931D34" w:rsidRPr="00E87D55" w:rsidRDefault="00931D34" w:rsidP="00E87D5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E87D55">
        <w:rPr>
          <w:rFonts w:ascii="Times New Roman" w:eastAsia="Times New Roman" w:hAnsi="Times New Roman" w:cs="Times New Roman"/>
          <w:bCs/>
          <w:sz w:val="24"/>
          <w:szCs w:val="24"/>
          <w:lang w:eastAsia="en-GB"/>
        </w:rPr>
        <w:t>Address: 1 Grigore Vieru ave, MD-2005, Chișinău, Moldova</w:t>
      </w:r>
    </w:p>
    <w:p w:rsidR="00931D34" w:rsidRPr="006548AA" w:rsidRDefault="00931D34" w:rsidP="00E87D5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6548AA">
        <w:rPr>
          <w:rFonts w:ascii="Times New Roman" w:eastAsia="Times New Roman" w:hAnsi="Times New Roman" w:cs="Times New Roman"/>
          <w:bCs/>
          <w:sz w:val="24"/>
          <w:szCs w:val="24"/>
          <w:lang w:eastAsia="en-GB"/>
        </w:rPr>
        <w:t>Tel. +373-22-822</w:t>
      </w:r>
      <w:r w:rsidR="00C20703" w:rsidRPr="006548AA">
        <w:rPr>
          <w:rFonts w:ascii="Times New Roman" w:eastAsia="Times New Roman" w:hAnsi="Times New Roman" w:cs="Times New Roman"/>
          <w:bCs/>
          <w:sz w:val="24"/>
          <w:szCs w:val="24"/>
          <w:lang w:eastAsia="en-GB"/>
        </w:rPr>
        <w:t>-</w:t>
      </w:r>
      <w:r w:rsidRPr="006548AA">
        <w:rPr>
          <w:rFonts w:ascii="Times New Roman" w:eastAsia="Times New Roman" w:hAnsi="Times New Roman" w:cs="Times New Roman"/>
          <w:bCs/>
          <w:sz w:val="24"/>
          <w:szCs w:val="24"/>
          <w:lang w:eastAsia="en-GB"/>
        </w:rPr>
        <w:t>282</w:t>
      </w:r>
    </w:p>
    <w:p w:rsidR="00E95C89" w:rsidRDefault="00E95C89" w:rsidP="00E95C89">
      <w:pPr>
        <w:autoSpaceDE w:val="0"/>
        <w:autoSpaceDN w:val="0"/>
        <w:adjustRightInd w:val="0"/>
        <w:spacing w:after="0" w:line="240" w:lineRule="auto"/>
        <w:jc w:val="both"/>
        <w:rPr>
          <w:rFonts w:ascii="Times New Roman" w:eastAsia="Times New Roman" w:hAnsi="Times New Roman" w:cs="Times New Roman"/>
          <w:b/>
          <w:sz w:val="24"/>
          <w:szCs w:val="20"/>
          <w:lang w:val="ro-RO"/>
        </w:rPr>
      </w:pPr>
    </w:p>
    <w:p w:rsidR="007168D4" w:rsidRPr="001C7BCA" w:rsidRDefault="007168D4" w:rsidP="009312B3">
      <w:pPr>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8D231E">
        <w:rPr>
          <w:rFonts w:ascii="Times New Roman" w:eastAsia="Times New Roman" w:hAnsi="Times New Roman" w:cs="Times New Roman"/>
          <w:b/>
          <w:sz w:val="24"/>
          <w:szCs w:val="24"/>
          <w:lang w:eastAsia="en-GB"/>
        </w:rPr>
        <w:t>6</w:t>
      </w:r>
      <w:r w:rsidRPr="008D231E">
        <w:rPr>
          <w:rFonts w:ascii="Times New Roman" w:eastAsia="Times New Roman" w:hAnsi="Times New Roman" w:cs="Times New Roman"/>
          <w:b/>
          <w:bCs/>
          <w:sz w:val="24"/>
          <w:szCs w:val="24"/>
          <w:lang w:eastAsia="en-GB"/>
        </w:rPr>
        <w:t>.</w:t>
      </w:r>
      <w:r w:rsidRPr="001C7BCA">
        <w:rPr>
          <w:rFonts w:ascii="Times New Roman" w:eastAsia="Times New Roman" w:hAnsi="Times New Roman" w:cs="Times New Roman"/>
          <w:bCs/>
          <w:sz w:val="24"/>
          <w:szCs w:val="24"/>
          <w:lang w:eastAsia="en-GB"/>
        </w:rPr>
        <w:tab/>
      </w:r>
      <w:r w:rsidRPr="001C7BCA">
        <w:rPr>
          <w:rFonts w:ascii="Times New Roman" w:eastAsia="Times New Roman" w:hAnsi="Times New Roman" w:cs="Times New Roman"/>
          <w:b/>
          <w:bCs/>
          <w:sz w:val="24"/>
          <w:szCs w:val="24"/>
          <w:lang w:eastAsia="en-GB"/>
        </w:rPr>
        <w:t>Duration of the project</w:t>
      </w:r>
      <w:r w:rsidR="00FD0716" w:rsidRPr="001C7BCA">
        <w:rPr>
          <w:rFonts w:ascii="Times New Roman" w:eastAsia="Times New Roman" w:hAnsi="Times New Roman" w:cs="Times New Roman"/>
          <w:b/>
          <w:bCs/>
          <w:sz w:val="24"/>
          <w:szCs w:val="24"/>
          <w:lang w:eastAsia="en-GB"/>
        </w:rPr>
        <w:t xml:space="preserve"> </w:t>
      </w:r>
    </w:p>
    <w:p w:rsidR="00857246" w:rsidRDefault="00857246" w:rsidP="007168D4">
      <w:pPr>
        <w:autoSpaceDE w:val="0"/>
        <w:autoSpaceDN w:val="0"/>
        <w:adjustRightInd w:val="0"/>
        <w:spacing w:after="0" w:line="240" w:lineRule="auto"/>
        <w:rPr>
          <w:rFonts w:ascii="Times New Roman" w:eastAsia="Times New Roman" w:hAnsi="Times New Roman" w:cs="Times New Roman"/>
          <w:bCs/>
          <w:i/>
          <w:sz w:val="24"/>
          <w:szCs w:val="24"/>
          <w:lang w:eastAsia="en-GB"/>
        </w:rPr>
      </w:pPr>
    </w:p>
    <w:p w:rsidR="007168D4" w:rsidRPr="00244B30" w:rsidRDefault="00857246" w:rsidP="006548AA">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244B30">
        <w:rPr>
          <w:rFonts w:ascii="Times New Roman" w:eastAsia="Times New Roman" w:hAnsi="Times New Roman" w:cs="Times New Roman"/>
          <w:bCs/>
          <w:sz w:val="24"/>
          <w:szCs w:val="24"/>
          <w:lang w:eastAsia="en-GB"/>
        </w:rPr>
        <w:t>The overall execution period of the Twi</w:t>
      </w:r>
      <w:r w:rsidR="00244B30" w:rsidRPr="00244B30">
        <w:rPr>
          <w:rFonts w:ascii="Times New Roman" w:eastAsia="Times New Roman" w:hAnsi="Times New Roman" w:cs="Times New Roman"/>
          <w:bCs/>
          <w:sz w:val="24"/>
          <w:szCs w:val="24"/>
          <w:lang w:eastAsia="en-GB"/>
        </w:rPr>
        <w:t>nni</w:t>
      </w:r>
      <w:r w:rsidR="00201FCB">
        <w:rPr>
          <w:rFonts w:ascii="Times New Roman" w:eastAsia="Times New Roman" w:hAnsi="Times New Roman" w:cs="Times New Roman"/>
          <w:bCs/>
          <w:sz w:val="24"/>
          <w:szCs w:val="24"/>
          <w:lang w:eastAsia="en-GB"/>
        </w:rPr>
        <w:t xml:space="preserve">ng project is </w:t>
      </w:r>
      <w:r w:rsidR="007D3D41">
        <w:rPr>
          <w:rFonts w:ascii="Times New Roman" w:eastAsia="Times New Roman" w:hAnsi="Times New Roman" w:cs="Times New Roman"/>
          <w:bCs/>
          <w:sz w:val="24"/>
          <w:szCs w:val="24"/>
          <w:lang w:eastAsia="en-GB"/>
        </w:rPr>
        <w:t>27</w:t>
      </w:r>
      <w:r w:rsidR="007D3D41" w:rsidRPr="00244B30">
        <w:rPr>
          <w:rFonts w:ascii="Times New Roman" w:eastAsia="Times New Roman" w:hAnsi="Times New Roman" w:cs="Times New Roman"/>
          <w:bCs/>
          <w:sz w:val="24"/>
          <w:szCs w:val="24"/>
          <w:lang w:eastAsia="en-GB"/>
        </w:rPr>
        <w:t xml:space="preserve"> </w:t>
      </w:r>
      <w:r w:rsidR="00244B30" w:rsidRPr="00244B30">
        <w:rPr>
          <w:rFonts w:ascii="Times New Roman" w:eastAsia="Times New Roman" w:hAnsi="Times New Roman" w:cs="Times New Roman"/>
          <w:bCs/>
          <w:sz w:val="24"/>
          <w:szCs w:val="24"/>
          <w:lang w:eastAsia="en-GB"/>
        </w:rPr>
        <w:t>months</w:t>
      </w:r>
      <w:r w:rsidR="00A25326">
        <w:rPr>
          <w:rFonts w:ascii="Times New Roman" w:eastAsia="Times New Roman" w:hAnsi="Times New Roman" w:cs="Times New Roman"/>
          <w:bCs/>
          <w:sz w:val="24"/>
          <w:szCs w:val="24"/>
          <w:lang w:eastAsia="en-GB"/>
        </w:rPr>
        <w:t>, i.e. 24 months of implementation plus 3 months</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7.</w:t>
      </w:r>
      <w:r w:rsidRPr="00FB7749">
        <w:rPr>
          <w:rFonts w:ascii="Times New Roman" w:eastAsia="Times New Roman" w:hAnsi="Times New Roman" w:cs="Times New Roman"/>
          <w:b/>
          <w:bCs/>
          <w:sz w:val="24"/>
          <w:szCs w:val="24"/>
          <w:lang w:eastAsia="en-GB"/>
        </w:rPr>
        <w:tab/>
        <w:t xml:space="preserve">Sustainability </w:t>
      </w:r>
    </w:p>
    <w:p w:rsidR="007168D4" w:rsidRPr="00FB7749" w:rsidRDefault="007168D4" w:rsidP="007168D4">
      <w:pPr>
        <w:spacing w:after="0" w:line="240" w:lineRule="auto"/>
        <w:jc w:val="both"/>
        <w:rPr>
          <w:rFonts w:ascii="Times New Roman" w:eastAsia="Times New Roman" w:hAnsi="Times New Roman" w:cs="Times New Roman"/>
          <w:i/>
          <w:color w:val="000000"/>
          <w:sz w:val="24"/>
          <w:szCs w:val="24"/>
          <w:lang w:eastAsia="en-GB"/>
        </w:rPr>
      </w:pPr>
    </w:p>
    <w:p w:rsidR="00F777FF" w:rsidRPr="00F777FF" w:rsidRDefault="00F777FF" w:rsidP="00F777FF">
      <w:pPr>
        <w:spacing w:after="120" w:line="240" w:lineRule="auto"/>
        <w:jc w:val="both"/>
        <w:rPr>
          <w:rFonts w:ascii="Times New Roman" w:eastAsia="Times New Roman" w:hAnsi="Times New Roman" w:cs="Times New Roman"/>
          <w:color w:val="000000"/>
          <w:sz w:val="24"/>
          <w:szCs w:val="24"/>
          <w:lang w:eastAsia="en-GB"/>
        </w:rPr>
      </w:pPr>
      <w:r w:rsidRPr="00F777FF">
        <w:rPr>
          <w:rFonts w:ascii="Times New Roman" w:eastAsia="Times New Roman" w:hAnsi="Times New Roman" w:cs="Times New Roman"/>
          <w:color w:val="000000"/>
          <w:sz w:val="24"/>
          <w:szCs w:val="24"/>
          <w:lang w:eastAsia="en-GB"/>
        </w:rPr>
        <w:t>With this twinning fiche we would like to ensure the delivery of the long term benefits from the adequate investment in acquiring additional expert knowledge and skills which would result in strengthening administrative capacities, improving regulatory framework and</w:t>
      </w:r>
      <w:r>
        <w:rPr>
          <w:rFonts w:ascii="Times New Roman" w:eastAsia="Times New Roman" w:hAnsi="Times New Roman" w:cs="Times New Roman"/>
          <w:color w:val="000000"/>
          <w:sz w:val="24"/>
          <w:szCs w:val="24"/>
          <w:lang w:eastAsia="en-GB"/>
        </w:rPr>
        <w:t xml:space="preserve"> </w:t>
      </w:r>
      <w:r w:rsidRPr="00F777FF">
        <w:rPr>
          <w:rFonts w:ascii="Times New Roman" w:eastAsia="Times New Roman" w:hAnsi="Times New Roman" w:cs="Times New Roman"/>
          <w:color w:val="000000"/>
          <w:sz w:val="24"/>
          <w:szCs w:val="24"/>
          <w:lang w:eastAsia="en-GB"/>
        </w:rPr>
        <w:t>harmonising legislation</w:t>
      </w:r>
      <w:r w:rsidR="00352FA3">
        <w:rPr>
          <w:rFonts w:ascii="Times New Roman" w:eastAsia="Times New Roman" w:hAnsi="Times New Roman" w:cs="Times New Roman"/>
          <w:color w:val="000000"/>
          <w:sz w:val="24"/>
          <w:szCs w:val="24"/>
          <w:lang w:eastAsia="en-GB"/>
        </w:rPr>
        <w:t>.</w:t>
      </w:r>
    </w:p>
    <w:p w:rsidR="00F777FF" w:rsidRPr="00F777FF" w:rsidRDefault="00F777FF" w:rsidP="00F777FF">
      <w:pPr>
        <w:spacing w:after="120" w:line="240" w:lineRule="auto"/>
        <w:jc w:val="both"/>
        <w:rPr>
          <w:rFonts w:ascii="Times New Roman" w:eastAsia="Times New Roman" w:hAnsi="Times New Roman" w:cs="Times New Roman"/>
          <w:color w:val="000000"/>
          <w:sz w:val="24"/>
          <w:szCs w:val="24"/>
          <w:lang w:eastAsia="en-GB"/>
        </w:rPr>
      </w:pPr>
      <w:r w:rsidRPr="00F777FF">
        <w:rPr>
          <w:rFonts w:ascii="Times New Roman" w:eastAsia="Times New Roman" w:hAnsi="Times New Roman" w:cs="Times New Roman"/>
          <w:color w:val="000000"/>
          <w:sz w:val="24"/>
          <w:szCs w:val="24"/>
          <w:lang w:eastAsia="en-GB"/>
        </w:rPr>
        <w:t>This Project will foster a sustainable base for institutional integration in EU-related process. This Project will contribute to enable easier access for private sector to the wider range of financial services. It will also help the trained staff in sharing its experiences with colleagues and especially with new employees. Therefore, activities resulting from this Project will give contribution in terms of being able to operate and solve problems more easily having in mind newly acquired skills.</w:t>
      </w:r>
    </w:p>
    <w:p w:rsidR="0016231E" w:rsidRPr="0013438B" w:rsidRDefault="0016231E" w:rsidP="0016231E">
      <w:pPr>
        <w:spacing w:after="120" w:line="240" w:lineRule="auto"/>
        <w:jc w:val="both"/>
        <w:rPr>
          <w:rFonts w:ascii="Times New Roman" w:eastAsia="Times New Roman" w:hAnsi="Times New Roman" w:cs="Times New Roman"/>
          <w:color w:val="000000"/>
          <w:sz w:val="24"/>
          <w:szCs w:val="24"/>
          <w:lang w:eastAsia="en-GB"/>
        </w:rPr>
      </w:pPr>
      <w:r w:rsidRPr="0013438B">
        <w:rPr>
          <w:rFonts w:ascii="Times New Roman" w:eastAsia="Times New Roman" w:hAnsi="Times New Roman" w:cs="Times New Roman"/>
          <w:color w:val="000000"/>
          <w:sz w:val="24"/>
          <w:szCs w:val="24"/>
          <w:lang w:eastAsia="en-GB"/>
        </w:rPr>
        <w:t>The project approach will focus on supporting beneficiaries by providing them with tools and approach to analysis and by facilitating the development of policy options and regulatory impact assessments instead of offering solutions and delivering final outputs. In this way, the project will focus on developing the capacities of beneficiaries. The project will also support the beneficiary institutions in carrying on appropriate inter-institutional and public consultations according to national regulation</w:t>
      </w:r>
      <w:r w:rsidR="000060F1">
        <w:rPr>
          <w:rFonts w:ascii="Times New Roman" w:eastAsia="Times New Roman" w:hAnsi="Times New Roman" w:cs="Times New Roman"/>
          <w:color w:val="000000"/>
          <w:sz w:val="24"/>
          <w:szCs w:val="24"/>
          <w:lang w:eastAsia="en-GB"/>
        </w:rPr>
        <w:t>.</w:t>
      </w:r>
      <w:r w:rsidRPr="0013438B">
        <w:rPr>
          <w:rFonts w:ascii="Times New Roman" w:eastAsia="Times New Roman" w:hAnsi="Times New Roman" w:cs="Times New Roman"/>
          <w:color w:val="000000"/>
          <w:sz w:val="24"/>
          <w:szCs w:val="24"/>
          <w:lang w:eastAsia="en-GB"/>
        </w:rPr>
        <w:t xml:space="preserve"> </w:t>
      </w:r>
    </w:p>
    <w:p w:rsidR="0016231E" w:rsidRPr="0013438B" w:rsidRDefault="0016231E" w:rsidP="0016231E">
      <w:pPr>
        <w:widowControl w:val="0"/>
        <w:autoSpaceDE w:val="0"/>
        <w:autoSpaceDN w:val="0"/>
        <w:adjustRightInd w:val="0"/>
        <w:spacing w:before="120" w:after="160" w:line="259" w:lineRule="auto"/>
        <w:jc w:val="both"/>
        <w:rPr>
          <w:rFonts w:ascii="Times New Roman" w:hAnsi="Times New Roman"/>
          <w:color w:val="000000"/>
          <w:sz w:val="24"/>
          <w:szCs w:val="24"/>
        </w:rPr>
      </w:pPr>
      <w:r w:rsidRPr="0013438B">
        <w:rPr>
          <w:rFonts w:ascii="Times New Roman" w:hAnsi="Times New Roman"/>
          <w:color w:val="000000"/>
          <w:sz w:val="24"/>
          <w:szCs w:val="24"/>
        </w:rPr>
        <w:t>The project will ensure that any guidelines and internal procedures developed with its support will not contradict other relevant horizontal regulation applying horizontally to public institutions; in addition guidelines and internal procedures shall be simple enough to be regularly revised and updated by the beneficiaries without further external assistance.</w:t>
      </w:r>
    </w:p>
    <w:p w:rsidR="00F777FF" w:rsidRPr="00F777FF" w:rsidRDefault="00F777FF">
      <w:pPr>
        <w:spacing w:after="120" w:line="240" w:lineRule="auto"/>
        <w:jc w:val="both"/>
        <w:rPr>
          <w:rFonts w:ascii="Times New Roman" w:eastAsia="Times New Roman" w:hAnsi="Times New Roman" w:cs="Times New Roman"/>
          <w:color w:val="000000"/>
          <w:sz w:val="24"/>
          <w:szCs w:val="24"/>
          <w:lang w:eastAsia="en-GB"/>
        </w:rPr>
      </w:pPr>
      <w:r w:rsidRPr="00F777FF">
        <w:rPr>
          <w:rFonts w:ascii="Times New Roman" w:eastAsia="Times New Roman" w:hAnsi="Times New Roman" w:cs="Times New Roman"/>
          <w:color w:val="000000"/>
          <w:sz w:val="24"/>
          <w:szCs w:val="24"/>
          <w:lang w:eastAsia="en-GB"/>
        </w:rPr>
        <w:t>The project approach will focus on supporting beneficiaries by providing them with tools and approach to analysis and by facilitating the development of policy options instead of offering solutions and delivering final outputs. In this way, the project will focus on developing the capacities of beneficiaries.</w:t>
      </w:r>
    </w:p>
    <w:p w:rsidR="00F777FF" w:rsidRPr="00F777FF" w:rsidRDefault="00F777FF" w:rsidP="0016231E">
      <w:pPr>
        <w:spacing w:after="120" w:line="240" w:lineRule="auto"/>
        <w:jc w:val="both"/>
        <w:rPr>
          <w:rFonts w:ascii="Times New Roman" w:eastAsia="Times New Roman" w:hAnsi="Times New Roman" w:cs="Times New Roman"/>
          <w:color w:val="000000"/>
          <w:sz w:val="24"/>
          <w:szCs w:val="24"/>
          <w:lang w:eastAsia="en-GB"/>
        </w:rPr>
      </w:pPr>
      <w:r w:rsidRPr="00F777FF">
        <w:rPr>
          <w:rFonts w:ascii="Times New Roman" w:eastAsia="Times New Roman" w:hAnsi="Times New Roman" w:cs="Times New Roman"/>
          <w:color w:val="000000"/>
          <w:sz w:val="24"/>
          <w:szCs w:val="24"/>
          <w:lang w:eastAsia="en-GB"/>
        </w:rPr>
        <w:t>Acquired expertise and skills of the staff and increased capability will be continued to be used for further alignment with European standards and best international practice after the Project is finished. The development and practical use of these skills during the Project will also ensure sustainability in the future operations of the beneficiaries.</w:t>
      </w:r>
    </w:p>
    <w:p w:rsidR="00F777FF" w:rsidRPr="00F777FF" w:rsidRDefault="00F1674F" w:rsidP="00F777FF">
      <w:pPr>
        <w:spacing w:after="12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w:t>
      </w:r>
      <w:r w:rsidRPr="00044676">
        <w:rPr>
          <w:rFonts w:ascii="Times New Roman" w:eastAsia="Times New Roman" w:hAnsi="Times New Roman" w:cs="Times New Roman"/>
          <w:color w:val="000000"/>
          <w:sz w:val="24"/>
          <w:szCs w:val="24"/>
          <w:lang w:eastAsia="en-GB"/>
        </w:rPr>
        <w:t xml:space="preserve"> remuneration system reform started</w:t>
      </w:r>
      <w:r>
        <w:rPr>
          <w:rFonts w:ascii="Times New Roman" w:eastAsia="Times New Roman" w:hAnsi="Times New Roman" w:cs="Times New Roman"/>
          <w:color w:val="000000"/>
          <w:sz w:val="24"/>
          <w:szCs w:val="24"/>
          <w:lang w:eastAsia="en-GB"/>
        </w:rPr>
        <w:t xml:space="preserve"> by the NBM should continue and both </w:t>
      </w:r>
      <w:r w:rsidR="00F777FF" w:rsidRPr="00F777FF">
        <w:rPr>
          <w:rFonts w:ascii="Times New Roman" w:eastAsia="Times New Roman" w:hAnsi="Times New Roman" w:cs="Times New Roman"/>
          <w:color w:val="000000"/>
          <w:sz w:val="24"/>
          <w:szCs w:val="24"/>
          <w:lang w:eastAsia="en-GB"/>
        </w:rPr>
        <w:t>beneficiary institutions must implement measures aimed to introduce adequate motivation system for trained employees to provide stable work force and low staff turn-over in line with the rules governing the civil service management.</w:t>
      </w:r>
    </w:p>
    <w:p w:rsidR="00F777FF" w:rsidRPr="00011C5D" w:rsidRDefault="00F777FF" w:rsidP="00F777FF">
      <w:pPr>
        <w:spacing w:after="120" w:line="240" w:lineRule="auto"/>
        <w:jc w:val="both"/>
        <w:rPr>
          <w:rFonts w:ascii="Times New Roman" w:eastAsia="Times New Roman" w:hAnsi="Times New Roman" w:cs="Times New Roman"/>
          <w:color w:val="000000"/>
          <w:sz w:val="24"/>
          <w:szCs w:val="24"/>
          <w:lang w:eastAsia="en-GB"/>
        </w:rPr>
      </w:pPr>
      <w:r w:rsidRPr="00F777FF">
        <w:rPr>
          <w:rFonts w:ascii="Times New Roman" w:eastAsia="Times New Roman" w:hAnsi="Times New Roman" w:cs="Times New Roman"/>
          <w:color w:val="000000"/>
          <w:sz w:val="24"/>
          <w:szCs w:val="24"/>
          <w:lang w:eastAsia="en-GB"/>
        </w:rPr>
        <w:t>Finally, it is anticipated that the Project will serve as a significant opportunity to further develop existing partnerships with EU institutions having in mind that Project aiming at harmonisation of the legislation with the Union acquis.</w:t>
      </w: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FB7749">
        <w:rPr>
          <w:rFonts w:ascii="Times New Roman" w:eastAsia="Times New Roman" w:hAnsi="Times New Roman" w:cs="Times New Roman"/>
          <w:b/>
          <w:bCs/>
          <w:sz w:val="24"/>
          <w:szCs w:val="24"/>
          <w:lang w:eastAsia="en-GB"/>
        </w:rPr>
        <w:t>8.</w:t>
      </w:r>
      <w:r w:rsidRPr="00FB7749">
        <w:rPr>
          <w:rFonts w:ascii="Times New Roman" w:eastAsia="Times New Roman" w:hAnsi="Times New Roman" w:cs="Times New Roman"/>
          <w:b/>
          <w:bCs/>
          <w:sz w:val="24"/>
          <w:szCs w:val="24"/>
          <w:lang w:eastAsia="en-GB"/>
        </w:rPr>
        <w:tab/>
        <w:t xml:space="preserve">Crosscutting issues </w:t>
      </w:r>
    </w:p>
    <w:p w:rsidR="00E15C88" w:rsidRPr="006E1E26" w:rsidRDefault="00E15C88" w:rsidP="007168D4">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6E1E26">
        <w:rPr>
          <w:rFonts w:ascii="Times New Roman" w:eastAsia="Times New Roman" w:hAnsi="Times New Roman" w:cs="Times New Roman"/>
          <w:bCs/>
          <w:sz w:val="24"/>
          <w:szCs w:val="24"/>
          <w:lang w:eastAsia="en-GB"/>
        </w:rPr>
        <w:t>Each Twinning partner is required to comply with the equal opportunities requirements of the European Union. The principal of equal opportunity will be integrated into all stages of the project implementation.</w:t>
      </w:r>
    </w:p>
    <w:p w:rsidR="00B81BDD" w:rsidRPr="006E1E26" w:rsidRDefault="00B81BDD" w:rsidP="007168D4">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6E1E26">
        <w:rPr>
          <w:rFonts w:ascii="Times New Roman" w:eastAsia="Times New Roman" w:hAnsi="Times New Roman" w:cs="Times New Roman"/>
          <w:bCs/>
          <w:sz w:val="24"/>
          <w:szCs w:val="24"/>
          <w:lang w:eastAsia="en-GB"/>
        </w:rPr>
        <w:t>The activities envisaged under the present Project should not negatively affect the environment. During the implementation of the Project, the production of printed material will be kept to the strictest minimum and therefore have positive influence on the environment.</w:t>
      </w:r>
    </w:p>
    <w:p w:rsidR="007168D4" w:rsidRPr="00FB7749" w:rsidRDefault="007168D4" w:rsidP="00535ACE">
      <w:pPr>
        <w:autoSpaceDE w:val="0"/>
        <w:autoSpaceDN w:val="0"/>
        <w:adjustRightInd w:val="0"/>
        <w:spacing w:before="120" w:after="120" w:line="240" w:lineRule="auto"/>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9.</w:t>
      </w:r>
      <w:r w:rsidRPr="00FB7749">
        <w:rPr>
          <w:rFonts w:ascii="Times New Roman" w:eastAsia="Times New Roman" w:hAnsi="Times New Roman" w:cs="Times New Roman"/>
          <w:b/>
          <w:bCs/>
          <w:sz w:val="24"/>
          <w:szCs w:val="24"/>
          <w:lang w:eastAsia="en-GB"/>
        </w:rPr>
        <w:tab/>
        <w:t>Conditionality and sequencing</w:t>
      </w:r>
    </w:p>
    <w:p w:rsidR="00520C6D" w:rsidRPr="00DB0D1B" w:rsidRDefault="00520C6D" w:rsidP="00520C6D">
      <w:pPr>
        <w:widowControl w:val="0"/>
        <w:autoSpaceDE w:val="0"/>
        <w:autoSpaceDN w:val="0"/>
        <w:adjustRightInd w:val="0"/>
        <w:spacing w:after="240"/>
        <w:jc w:val="both"/>
        <w:rPr>
          <w:rFonts w:ascii="Times New Roman" w:eastAsia="Calibri" w:hAnsi="Times New Roman" w:cs="Times New Roman"/>
          <w:sz w:val="24"/>
          <w:szCs w:val="24"/>
        </w:rPr>
      </w:pPr>
      <w:r w:rsidRPr="008B0F78">
        <w:rPr>
          <w:rFonts w:ascii="Times New Roman" w:eastAsia="Calibri" w:hAnsi="Times New Roman" w:cs="Times New Roman"/>
          <w:sz w:val="24"/>
          <w:szCs w:val="24"/>
        </w:rPr>
        <w:t>The project includes the following conditionality elements:</w:t>
      </w:r>
    </w:p>
    <w:p w:rsidR="00520C6D" w:rsidRPr="00DB0D1B" w:rsidRDefault="00520C6D" w:rsidP="00725E06">
      <w:pPr>
        <w:widowControl w:val="0"/>
        <w:numPr>
          <w:ilvl w:val="0"/>
          <w:numId w:val="36"/>
        </w:numPr>
        <w:tabs>
          <w:tab w:val="left" w:pos="220"/>
        </w:tabs>
        <w:autoSpaceDE w:val="0"/>
        <w:autoSpaceDN w:val="0"/>
        <w:adjustRightInd w:val="0"/>
        <w:spacing w:after="0" w:line="240" w:lineRule="auto"/>
        <w:jc w:val="both"/>
        <w:rPr>
          <w:rFonts w:ascii="Times New Roman" w:eastAsia="Calibri" w:hAnsi="Times New Roman" w:cs="Times New Roman"/>
          <w:sz w:val="24"/>
          <w:szCs w:val="24"/>
        </w:rPr>
      </w:pPr>
      <w:r w:rsidRPr="00DB0D1B">
        <w:rPr>
          <w:rFonts w:ascii="Times New Roman" w:eastAsia="Calibri" w:hAnsi="Times New Roman" w:cs="Times New Roman"/>
          <w:sz w:val="24"/>
          <w:szCs w:val="24"/>
        </w:rPr>
        <w:t>Pr</w:t>
      </w:r>
      <w:r>
        <w:rPr>
          <w:rFonts w:ascii="Times New Roman" w:eastAsia="Calibri" w:hAnsi="Times New Roman" w:cs="Times New Roman"/>
          <w:sz w:val="24"/>
          <w:szCs w:val="24"/>
        </w:rPr>
        <w:t>oactive and equal involvement of both institutions</w:t>
      </w:r>
      <w:r w:rsidRPr="00DB0D1B">
        <w:rPr>
          <w:rFonts w:ascii="Times New Roman" w:eastAsia="Calibri" w:hAnsi="Times New Roman" w:cs="Times New Roman"/>
          <w:sz w:val="24"/>
          <w:szCs w:val="24"/>
        </w:rPr>
        <w:t xml:space="preserve"> in the implementation of the project; </w:t>
      </w:r>
    </w:p>
    <w:p w:rsidR="00520C6D" w:rsidRPr="00DB0D1B" w:rsidRDefault="00A905F0" w:rsidP="00725E06">
      <w:pPr>
        <w:widowControl w:val="0"/>
        <w:numPr>
          <w:ilvl w:val="0"/>
          <w:numId w:val="36"/>
        </w:numPr>
        <w:tabs>
          <w:tab w:val="left" w:pos="2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0C6D" w:rsidRPr="00DB0D1B">
        <w:rPr>
          <w:rFonts w:ascii="Times New Roman" w:eastAsia="Calibri" w:hAnsi="Times New Roman" w:cs="Times New Roman"/>
          <w:sz w:val="24"/>
          <w:szCs w:val="24"/>
        </w:rPr>
        <w:t>election and appointment of members of working groups</w:t>
      </w:r>
      <w:r>
        <w:rPr>
          <w:rFonts w:ascii="Times New Roman" w:eastAsia="Calibri" w:hAnsi="Times New Roman" w:cs="Times New Roman"/>
          <w:sz w:val="24"/>
          <w:szCs w:val="24"/>
        </w:rPr>
        <w:t>;</w:t>
      </w:r>
      <w:r w:rsidR="00520C6D" w:rsidRPr="00DB0D1B">
        <w:rPr>
          <w:rFonts w:ascii="Times New Roman" w:eastAsia="Calibri" w:hAnsi="Times New Roman" w:cs="Times New Roman"/>
          <w:sz w:val="24"/>
          <w:szCs w:val="24"/>
        </w:rPr>
        <w:t xml:space="preserve"> steering and coordination committees, seminars by the beneficiaries</w:t>
      </w:r>
      <w:r>
        <w:rPr>
          <w:rFonts w:ascii="Times New Roman" w:eastAsia="Calibri" w:hAnsi="Times New Roman" w:cs="Times New Roman"/>
          <w:sz w:val="24"/>
          <w:szCs w:val="24"/>
        </w:rPr>
        <w:t xml:space="preserve"> and</w:t>
      </w:r>
      <w:r w:rsidR="00520C6D" w:rsidRPr="00DB0D1B">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B0D1B">
        <w:rPr>
          <w:rFonts w:ascii="Times New Roman" w:eastAsia="Calibri" w:hAnsi="Times New Roman" w:cs="Times New Roman"/>
          <w:sz w:val="24"/>
          <w:szCs w:val="24"/>
        </w:rPr>
        <w:t>rganisation</w:t>
      </w:r>
      <w:r>
        <w:rPr>
          <w:rFonts w:ascii="Times New Roman" w:eastAsia="Calibri" w:hAnsi="Times New Roman" w:cs="Times New Roman"/>
          <w:sz w:val="24"/>
          <w:szCs w:val="24"/>
        </w:rPr>
        <w:t xml:space="preserve"> of these meetings</w:t>
      </w:r>
      <w:r w:rsidRPr="00DB0D1B">
        <w:rPr>
          <w:rFonts w:ascii="Times New Roman" w:eastAsia="Calibri" w:hAnsi="Times New Roman" w:cs="Times New Roman"/>
          <w:sz w:val="24"/>
          <w:szCs w:val="24"/>
        </w:rPr>
        <w:t xml:space="preserve"> </w:t>
      </w:r>
      <w:r w:rsidR="00520C6D" w:rsidRPr="00DB0D1B">
        <w:rPr>
          <w:rFonts w:ascii="Times New Roman" w:eastAsia="Calibri" w:hAnsi="Times New Roman" w:cs="Times New Roman"/>
          <w:sz w:val="24"/>
          <w:szCs w:val="24"/>
        </w:rPr>
        <w:t xml:space="preserve">as per work plan of the project; </w:t>
      </w:r>
    </w:p>
    <w:p w:rsidR="00520C6D" w:rsidRPr="00DB0D1B" w:rsidRDefault="00520C6D" w:rsidP="00725E06">
      <w:pPr>
        <w:widowControl w:val="0"/>
        <w:numPr>
          <w:ilvl w:val="0"/>
          <w:numId w:val="36"/>
        </w:numPr>
        <w:tabs>
          <w:tab w:val="left" w:pos="220"/>
        </w:tabs>
        <w:autoSpaceDE w:val="0"/>
        <w:autoSpaceDN w:val="0"/>
        <w:adjustRightInd w:val="0"/>
        <w:spacing w:after="0" w:line="240" w:lineRule="auto"/>
        <w:jc w:val="both"/>
        <w:rPr>
          <w:rFonts w:ascii="Times New Roman" w:eastAsia="Calibri" w:hAnsi="Times New Roman" w:cs="Times New Roman"/>
          <w:sz w:val="24"/>
          <w:szCs w:val="24"/>
        </w:rPr>
      </w:pPr>
      <w:r w:rsidRPr="00DB0D1B">
        <w:rPr>
          <w:rFonts w:ascii="Times New Roman" w:eastAsia="Calibri" w:hAnsi="Times New Roman" w:cs="Times New Roman"/>
          <w:sz w:val="24"/>
          <w:szCs w:val="24"/>
        </w:rPr>
        <w:t xml:space="preserve">Appointing the relevant staff by the beneficiaries to participate in training activities as per work plan; </w:t>
      </w:r>
    </w:p>
    <w:p w:rsidR="00520C6D" w:rsidRPr="00DB0D1B" w:rsidRDefault="00520C6D" w:rsidP="00725E06">
      <w:pPr>
        <w:widowControl w:val="0"/>
        <w:numPr>
          <w:ilvl w:val="0"/>
          <w:numId w:val="36"/>
        </w:numPr>
        <w:tabs>
          <w:tab w:val="left" w:pos="220"/>
        </w:tabs>
        <w:autoSpaceDE w:val="0"/>
        <w:autoSpaceDN w:val="0"/>
        <w:adjustRightInd w:val="0"/>
        <w:spacing w:after="0" w:line="240" w:lineRule="auto"/>
        <w:jc w:val="both"/>
        <w:rPr>
          <w:rFonts w:ascii="Times New Roman" w:eastAsia="Calibri" w:hAnsi="Times New Roman" w:cs="Times New Roman"/>
          <w:b/>
          <w:bCs/>
          <w:sz w:val="24"/>
          <w:szCs w:val="24"/>
        </w:rPr>
      </w:pPr>
      <w:r w:rsidRPr="00DB0D1B">
        <w:rPr>
          <w:rFonts w:ascii="Times New Roman" w:eastAsia="Calibri" w:hAnsi="Times New Roman" w:cs="Times New Roman"/>
          <w:sz w:val="24"/>
          <w:szCs w:val="24"/>
        </w:rPr>
        <w:t>Sufficient manageria</w:t>
      </w:r>
      <w:r>
        <w:rPr>
          <w:rFonts w:ascii="Times New Roman" w:eastAsia="Calibri" w:hAnsi="Times New Roman" w:cs="Times New Roman"/>
          <w:sz w:val="24"/>
          <w:szCs w:val="24"/>
        </w:rPr>
        <w:t>l and technical human resources;</w:t>
      </w:r>
    </w:p>
    <w:p w:rsidR="00520C6D" w:rsidRPr="00A41C2D" w:rsidRDefault="00520C6D" w:rsidP="00725E06">
      <w:pPr>
        <w:pStyle w:val="ListParagraph"/>
        <w:numPr>
          <w:ilvl w:val="0"/>
          <w:numId w:val="36"/>
        </w:numPr>
        <w:autoSpaceDE w:val="0"/>
        <w:autoSpaceDN w:val="0"/>
        <w:adjustRightInd w:val="0"/>
        <w:spacing w:after="0" w:line="240" w:lineRule="auto"/>
        <w:jc w:val="both"/>
        <w:rPr>
          <w:rFonts w:ascii="Times New Roman" w:eastAsia="Calibri" w:hAnsi="Times New Roman" w:cs="Times New Roman"/>
          <w:sz w:val="24"/>
          <w:szCs w:val="24"/>
        </w:rPr>
      </w:pPr>
      <w:r w:rsidRPr="00A41C2D">
        <w:rPr>
          <w:rFonts w:ascii="Times New Roman" w:eastAsia="Calibri" w:hAnsi="Times New Roman" w:cs="Times New Roman"/>
          <w:sz w:val="24"/>
          <w:szCs w:val="24"/>
        </w:rPr>
        <w:t xml:space="preserve">Close collaboration and complementarity with ongoing </w:t>
      </w:r>
      <w:r>
        <w:rPr>
          <w:rFonts w:ascii="Times New Roman" w:eastAsia="Calibri" w:hAnsi="Times New Roman" w:cs="Times New Roman"/>
          <w:sz w:val="24"/>
          <w:szCs w:val="24"/>
        </w:rPr>
        <w:t xml:space="preserve">or future </w:t>
      </w:r>
      <w:r w:rsidRPr="00A41C2D">
        <w:rPr>
          <w:rFonts w:ascii="Times New Roman" w:eastAsia="Calibri" w:hAnsi="Times New Roman" w:cs="Times New Roman"/>
          <w:sz w:val="24"/>
          <w:szCs w:val="24"/>
        </w:rPr>
        <w:t>EU funded projects</w:t>
      </w:r>
      <w:r>
        <w:rPr>
          <w:rFonts w:ascii="Times New Roman" w:eastAsia="Calibri" w:hAnsi="Times New Roman" w:cs="Times New Roman"/>
          <w:sz w:val="24"/>
          <w:szCs w:val="24"/>
        </w:rPr>
        <w:t xml:space="preserve"> including High Level Advisory Mission.  </w:t>
      </w:r>
    </w:p>
    <w:p w:rsidR="007168D4" w:rsidRPr="00FB7749" w:rsidRDefault="007168D4"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7168D4" w:rsidRPr="00FB7749" w:rsidRDefault="007168D4" w:rsidP="007168D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10.</w:t>
      </w:r>
      <w:r w:rsidRPr="00FB7749">
        <w:rPr>
          <w:rFonts w:ascii="Times New Roman" w:eastAsia="Times New Roman" w:hAnsi="Times New Roman" w:cs="Times New Roman"/>
          <w:b/>
          <w:bCs/>
          <w:sz w:val="24"/>
          <w:szCs w:val="24"/>
          <w:lang w:eastAsia="en-GB"/>
        </w:rPr>
        <w:tab/>
        <w:t>Indicators for performance measurement</w:t>
      </w:r>
    </w:p>
    <w:p w:rsidR="007168D4" w:rsidRDefault="007168D4" w:rsidP="007168D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rsidR="00361FE3" w:rsidRPr="00361FE3" w:rsidRDefault="00361FE3"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361FE3">
        <w:rPr>
          <w:rFonts w:ascii="Times New Roman" w:eastAsia="Times New Roman" w:hAnsi="Times New Roman" w:cs="Times New Roman"/>
          <w:bCs/>
          <w:sz w:val="24"/>
          <w:szCs w:val="24"/>
          <w:lang w:eastAsia="en-GB"/>
        </w:rPr>
        <w:t>See Annex I</w:t>
      </w:r>
    </w:p>
    <w:p w:rsidR="00247293" w:rsidRPr="00FB7749" w:rsidRDefault="00247293" w:rsidP="00073C1D">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7168D4" w:rsidRPr="00FB7749" w:rsidRDefault="007168D4" w:rsidP="007168D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 xml:space="preserve">11. </w:t>
      </w:r>
      <w:r w:rsidRPr="00FB7749">
        <w:rPr>
          <w:rFonts w:ascii="Times New Roman" w:eastAsia="Times New Roman" w:hAnsi="Times New Roman" w:cs="Times New Roman"/>
          <w:b/>
          <w:bCs/>
          <w:sz w:val="24"/>
          <w:szCs w:val="24"/>
          <w:lang w:eastAsia="en-GB"/>
        </w:rPr>
        <w:tab/>
        <w:t>Facilities available</w:t>
      </w:r>
    </w:p>
    <w:p w:rsidR="007168D4" w:rsidRPr="00FB7749" w:rsidRDefault="007168D4"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E15C88" w:rsidRPr="004D1D1A" w:rsidRDefault="004D1D1A" w:rsidP="00E15C88">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4D1D1A">
        <w:rPr>
          <w:rFonts w:ascii="Times New Roman" w:eastAsia="Times New Roman" w:hAnsi="Times New Roman" w:cs="Times New Roman"/>
          <w:bCs/>
          <w:sz w:val="24"/>
          <w:szCs w:val="24"/>
          <w:lang w:eastAsia="en-GB"/>
        </w:rPr>
        <w:t xml:space="preserve">Considering that two institutions will participate in the project, the </w:t>
      </w:r>
      <w:r w:rsidR="00E15C88" w:rsidRPr="004D1D1A">
        <w:rPr>
          <w:rFonts w:ascii="Times New Roman" w:eastAsia="Times New Roman" w:hAnsi="Times New Roman" w:cs="Times New Roman"/>
          <w:bCs/>
          <w:sz w:val="24"/>
          <w:szCs w:val="24"/>
          <w:lang w:eastAsia="en-GB"/>
        </w:rPr>
        <w:t xml:space="preserve">RTA and his/her assistants will be provided an office in NBM </w:t>
      </w:r>
      <w:r w:rsidRPr="004D1D1A">
        <w:rPr>
          <w:rFonts w:ascii="Times New Roman" w:eastAsia="Times New Roman" w:hAnsi="Times New Roman" w:cs="Times New Roman"/>
          <w:bCs/>
          <w:sz w:val="24"/>
          <w:szCs w:val="24"/>
          <w:lang w:eastAsia="en-GB"/>
        </w:rPr>
        <w:t xml:space="preserve">and NCFM </w:t>
      </w:r>
      <w:r w:rsidR="00E15C88" w:rsidRPr="004D1D1A">
        <w:rPr>
          <w:rFonts w:ascii="Times New Roman" w:eastAsia="Times New Roman" w:hAnsi="Times New Roman" w:cs="Times New Roman"/>
          <w:bCs/>
          <w:sz w:val="24"/>
          <w:szCs w:val="24"/>
          <w:lang w:eastAsia="en-GB"/>
        </w:rPr>
        <w:t>headquarters</w:t>
      </w:r>
      <w:r w:rsidRPr="004D1D1A">
        <w:rPr>
          <w:rFonts w:ascii="Times New Roman" w:eastAsia="Times New Roman" w:hAnsi="Times New Roman" w:cs="Times New Roman"/>
          <w:bCs/>
          <w:sz w:val="24"/>
          <w:szCs w:val="24"/>
          <w:lang w:eastAsia="en-GB"/>
        </w:rPr>
        <w:t xml:space="preserve"> to be used on rotation basis (tentatively 3 days in NBM, 2 days in NCFM). </w:t>
      </w:r>
      <w:r w:rsidR="00E15C88" w:rsidRPr="004D1D1A">
        <w:rPr>
          <w:rFonts w:ascii="Times New Roman" w:eastAsia="Times New Roman" w:hAnsi="Times New Roman" w:cs="Times New Roman"/>
          <w:bCs/>
          <w:sz w:val="24"/>
          <w:szCs w:val="24"/>
          <w:lang w:eastAsia="en-GB"/>
        </w:rPr>
        <w:t>The office</w:t>
      </w:r>
      <w:r w:rsidRPr="004D1D1A">
        <w:rPr>
          <w:rFonts w:ascii="Times New Roman" w:eastAsia="Times New Roman" w:hAnsi="Times New Roman" w:cs="Times New Roman"/>
          <w:bCs/>
          <w:sz w:val="24"/>
          <w:szCs w:val="24"/>
          <w:lang w:eastAsia="en-GB"/>
        </w:rPr>
        <w:t>s</w:t>
      </w:r>
      <w:r w:rsidR="00E15C88" w:rsidRPr="004D1D1A">
        <w:rPr>
          <w:rFonts w:ascii="Times New Roman" w:eastAsia="Times New Roman" w:hAnsi="Times New Roman" w:cs="Times New Roman"/>
          <w:bCs/>
          <w:sz w:val="24"/>
          <w:szCs w:val="24"/>
          <w:lang w:eastAsia="en-GB"/>
        </w:rPr>
        <w:t xml:space="preserve"> will be equipped with all necessary equipment (computer, printer, phone, internet access). Detailed hardware and software requirements should be discussed at the beginning of the project.</w:t>
      </w:r>
    </w:p>
    <w:p w:rsidR="00E15C88" w:rsidRPr="004D1D1A" w:rsidRDefault="00E15C88" w:rsidP="00E15C88">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4D1D1A">
        <w:rPr>
          <w:rFonts w:ascii="Times New Roman" w:eastAsia="Times New Roman" w:hAnsi="Times New Roman" w:cs="Times New Roman"/>
          <w:bCs/>
          <w:sz w:val="24"/>
          <w:szCs w:val="24"/>
          <w:lang w:eastAsia="en-GB"/>
        </w:rPr>
        <w:t xml:space="preserve">Trainings and presentations will take place in conference rooms, equipped with projector and computer for presentations, flipcharts and other necessary items can be provided on requirement. </w:t>
      </w:r>
    </w:p>
    <w:p w:rsidR="007168D4" w:rsidRPr="004D1D1A" w:rsidRDefault="00E15C88" w:rsidP="0052377D">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4D1D1A">
        <w:rPr>
          <w:rFonts w:ascii="Times New Roman" w:eastAsia="Times New Roman" w:hAnsi="Times New Roman" w:cs="Times New Roman"/>
          <w:bCs/>
          <w:sz w:val="24"/>
          <w:szCs w:val="24"/>
          <w:lang w:eastAsia="en-GB"/>
        </w:rPr>
        <w:t>STE may also work with involved NBM</w:t>
      </w:r>
      <w:r w:rsidR="004D1D1A" w:rsidRPr="004D1D1A">
        <w:rPr>
          <w:rFonts w:ascii="Times New Roman" w:eastAsia="Times New Roman" w:hAnsi="Times New Roman" w:cs="Times New Roman"/>
          <w:bCs/>
          <w:sz w:val="24"/>
          <w:szCs w:val="24"/>
          <w:lang w:eastAsia="en-GB"/>
        </w:rPr>
        <w:t>/ NCFM</w:t>
      </w:r>
      <w:r w:rsidRPr="004D1D1A">
        <w:rPr>
          <w:rFonts w:ascii="Times New Roman" w:eastAsia="Times New Roman" w:hAnsi="Times New Roman" w:cs="Times New Roman"/>
          <w:bCs/>
          <w:sz w:val="24"/>
          <w:szCs w:val="24"/>
          <w:lang w:eastAsia="en-GB"/>
        </w:rPr>
        <w:t xml:space="preserve"> experts in their offices and will be provided with all necessary equipment (computer, internet access, specific software).</w:t>
      </w:r>
      <w:r w:rsidR="007168D4" w:rsidRPr="004D1D1A">
        <w:rPr>
          <w:rFonts w:ascii="Times New Roman" w:eastAsia="Times New Roman" w:hAnsi="Times New Roman" w:cs="Times New Roman"/>
          <w:b/>
          <w:bCs/>
          <w:sz w:val="24"/>
          <w:szCs w:val="24"/>
          <w:lang w:eastAsia="en-GB"/>
        </w:rPr>
        <w:br w:type="page"/>
      </w:r>
    </w:p>
    <w:p w:rsidR="007168D4" w:rsidRPr="00FB7749" w:rsidRDefault="007168D4" w:rsidP="007168D4">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r w:rsidRPr="00FB7749">
        <w:rPr>
          <w:rFonts w:ascii="Times New Roman" w:eastAsia="Times New Roman" w:hAnsi="Times New Roman" w:cs="Times New Roman"/>
          <w:b/>
          <w:bCs/>
          <w:sz w:val="24"/>
          <w:szCs w:val="24"/>
          <w:lang w:eastAsia="en-GB"/>
        </w:rPr>
        <w:t>A</w:t>
      </w:r>
      <w:r w:rsidRPr="00FB7749">
        <w:rPr>
          <w:rFonts w:ascii="Times New Roman" w:eastAsia="Times New Roman" w:hAnsi="Times New Roman" w:cs="Times New Roman"/>
          <w:b/>
          <w:bCs/>
          <w:sz w:val="19"/>
          <w:szCs w:val="19"/>
          <w:lang w:eastAsia="en-GB"/>
        </w:rPr>
        <w:t>NNEXES TO PROJECT FICHE</w:t>
      </w:r>
    </w:p>
    <w:p w:rsidR="007168D4" w:rsidRDefault="007168D4" w:rsidP="009C5B6B">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1. </w:t>
      </w:r>
      <w:r w:rsidRPr="00FB7749">
        <w:rPr>
          <w:rFonts w:ascii="Times New Roman" w:eastAsia="Times New Roman" w:hAnsi="Times New Roman" w:cs="Times New Roman"/>
          <w:sz w:val="24"/>
          <w:szCs w:val="24"/>
          <w:lang w:eastAsia="en-GB"/>
        </w:rPr>
        <w:tab/>
        <w:t xml:space="preserve">Logical framework matrix in standard format </w:t>
      </w:r>
      <w:r w:rsidR="00700251">
        <w:rPr>
          <w:rFonts w:ascii="Times New Roman" w:eastAsia="Times New Roman" w:hAnsi="Times New Roman" w:cs="Times New Roman"/>
          <w:sz w:val="24"/>
          <w:szCs w:val="24"/>
          <w:lang w:eastAsia="en-GB"/>
        </w:rPr>
        <w:t xml:space="preserve"> </w:t>
      </w:r>
      <w:r w:rsidRPr="00FB7749">
        <w:rPr>
          <w:rFonts w:ascii="Times New Roman" w:eastAsia="Times New Roman" w:hAnsi="Times New Roman" w:cs="Times New Roman"/>
          <w:sz w:val="24"/>
          <w:szCs w:val="24"/>
          <w:lang w:eastAsia="en-GB"/>
        </w:rPr>
        <w:t xml:space="preserve"> </w:t>
      </w:r>
    </w:p>
    <w:p w:rsidR="007168D4" w:rsidRPr="00FB7749" w:rsidRDefault="007168D4" w:rsidP="007168D4">
      <w:pPr>
        <w:sectPr w:rsidR="007168D4" w:rsidRPr="00FB7749" w:rsidSect="0096534D">
          <w:headerReference w:type="default" r:id="rId13"/>
          <w:footerReference w:type="even" r:id="rId14"/>
          <w:footerReference w:type="default" r:id="rId15"/>
          <w:footnotePr>
            <w:numRestart w:val="eachSect"/>
          </w:footnotePr>
          <w:pgSz w:w="11907" w:h="16840" w:code="9"/>
          <w:pgMar w:top="1418" w:right="1417" w:bottom="851" w:left="1418" w:header="567" w:footer="567" w:gutter="0"/>
          <w:pgNumType w:fmt="numberInDash"/>
          <w:cols w:space="720"/>
          <w:docGrid w:linePitch="326"/>
        </w:sectPr>
      </w:pPr>
    </w:p>
    <w:p w:rsidR="003D35A7" w:rsidRPr="000F0952" w:rsidRDefault="003D35A7" w:rsidP="005006FD">
      <w:pPr>
        <w:spacing w:line="240" w:lineRule="auto"/>
        <w:jc w:val="center"/>
        <w:rPr>
          <w:rFonts w:ascii="Times New Roman" w:hAnsi="Times New Roman"/>
          <w:sz w:val="24"/>
          <w:szCs w:val="24"/>
          <w:lang w:eastAsia="en-GB"/>
        </w:rPr>
      </w:pPr>
      <w:r w:rsidRPr="000F0952">
        <w:rPr>
          <w:rFonts w:ascii="Times New Roman" w:hAnsi="Times New Roman"/>
          <w:b/>
          <w:bCs/>
          <w:sz w:val="24"/>
          <w:szCs w:val="24"/>
          <w:lang w:eastAsia="en-GB"/>
        </w:rPr>
        <w:t>Annex 1: Logical Framework Matrix</w:t>
      </w:r>
    </w:p>
    <w:tbl>
      <w:tblPr>
        <w:tblW w:w="13466" w:type="dxa"/>
        <w:tblInd w:w="392" w:type="dxa"/>
        <w:tblCellMar>
          <w:left w:w="0" w:type="dxa"/>
          <w:right w:w="0" w:type="dxa"/>
        </w:tblCellMar>
        <w:tblLook w:val="00A0" w:firstRow="1" w:lastRow="0" w:firstColumn="1" w:lastColumn="0" w:noHBand="0" w:noVBand="0"/>
      </w:tblPr>
      <w:tblGrid>
        <w:gridCol w:w="3226"/>
        <w:gridCol w:w="4320"/>
        <w:gridCol w:w="2790"/>
        <w:gridCol w:w="3130"/>
      </w:tblGrid>
      <w:tr w:rsidR="003D35A7" w:rsidRPr="005F52E7" w:rsidTr="005F52E7">
        <w:trPr>
          <w:trHeight w:val="553"/>
        </w:trPr>
        <w:tc>
          <w:tcPr>
            <w:tcW w:w="7546" w:type="dxa"/>
            <w:gridSpan w:val="2"/>
            <w:vMerge w:val="restart"/>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p>
          <w:p w:rsidR="003D35A7" w:rsidRDefault="003D35A7" w:rsidP="0096534D">
            <w:pPr>
              <w:spacing w:line="240" w:lineRule="auto"/>
              <w:jc w:val="both"/>
              <w:rPr>
                <w:rFonts w:ascii="Times New Roman" w:hAnsi="Times New Roman"/>
                <w:lang w:eastAsia="en-GB"/>
              </w:rPr>
            </w:pPr>
            <w:r w:rsidRPr="005F52E7">
              <w:rPr>
                <w:rFonts w:ascii="Times New Roman" w:hAnsi="Times New Roman"/>
                <w:lang w:eastAsia="en-GB"/>
              </w:rPr>
              <w:t xml:space="preserve">Twinning Project: </w:t>
            </w:r>
            <w:r w:rsidRPr="005F52E7">
              <w:rPr>
                <w:rFonts w:ascii="Times New Roman" w:hAnsi="Times New Roman"/>
                <w:b/>
                <w:lang w:eastAsia="en-GB"/>
              </w:rPr>
              <w:t>Strengthen supervision, corporate governance and risk management in the financial sector</w:t>
            </w:r>
            <w:r w:rsidRPr="005F52E7">
              <w:rPr>
                <w:rFonts w:ascii="Times New Roman" w:hAnsi="Times New Roman"/>
                <w:lang w:eastAsia="en-GB"/>
              </w:rPr>
              <w:t xml:space="preserve"> </w:t>
            </w:r>
          </w:p>
          <w:p w:rsidR="00576DB2" w:rsidRPr="002E74F5" w:rsidRDefault="002E74F5" w:rsidP="0096534D">
            <w:pPr>
              <w:spacing w:line="240" w:lineRule="auto"/>
              <w:jc w:val="both"/>
              <w:rPr>
                <w:rFonts w:ascii="Times New Roman" w:hAnsi="Times New Roman"/>
                <w:lang w:val="it-IT" w:eastAsia="en-GB"/>
              </w:rPr>
            </w:pPr>
            <w:r>
              <w:rPr>
                <w:rFonts w:ascii="Times New Roman" w:hAnsi="Times New Roman"/>
                <w:lang w:val="it-IT" w:eastAsia="en-GB"/>
              </w:rPr>
              <w:t>MD 17 ENI FI 01 19</w:t>
            </w:r>
            <w:r w:rsidRPr="002E74F5">
              <w:rPr>
                <w:rFonts w:ascii="Times New Roman" w:hAnsi="Times New Roman"/>
                <w:lang w:val="it-IT" w:eastAsia="en-GB"/>
              </w:rPr>
              <w:t xml:space="preserve"> R (MD/37)</w:t>
            </w:r>
          </w:p>
        </w:tc>
        <w:tc>
          <w:tcPr>
            <w:tcW w:w="5920" w:type="dxa"/>
            <w:gridSpan w:val="2"/>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D35A7" w:rsidRPr="005F52E7" w:rsidRDefault="003D35A7" w:rsidP="0096534D">
            <w:pPr>
              <w:keepNext/>
              <w:spacing w:line="240" w:lineRule="auto"/>
              <w:jc w:val="both"/>
              <w:rPr>
                <w:rFonts w:ascii="Times New Roman" w:hAnsi="Times New Roman"/>
                <w:b/>
                <w:bCs/>
                <w:lang w:eastAsia="en-GB"/>
              </w:rPr>
            </w:pPr>
            <w:r w:rsidRPr="005F52E7">
              <w:rPr>
                <w:rFonts w:ascii="Times New Roman" w:hAnsi="Times New Roman"/>
                <w:lang w:eastAsia="en-GB"/>
              </w:rPr>
              <w:t>Name and number of the program:</w:t>
            </w:r>
            <w:r w:rsidRPr="005F52E7">
              <w:rPr>
                <w:rFonts w:ascii="Times New Roman" w:hAnsi="Times New Roman"/>
                <w:b/>
                <w:bCs/>
                <w:lang w:eastAsia="en-GB"/>
              </w:rPr>
              <w:t xml:space="preserve"> </w:t>
            </w:r>
            <w:r w:rsidR="0005753B" w:rsidRPr="005F52E7">
              <w:rPr>
                <w:rFonts w:ascii="Times New Roman" w:eastAsia="Times New Roman" w:hAnsi="Times New Roman" w:cs="Times New Roman"/>
                <w:b/>
                <w:bCs/>
                <w:lang w:eastAsia="en-GB"/>
              </w:rPr>
              <w:t>Strengthening the growth potential of the Republic of Moldova through a more transparent, efficient, competitive and resilient economic environment</w:t>
            </w:r>
            <w:r w:rsidR="0005753B" w:rsidRPr="005F52E7">
              <w:rPr>
                <w:rFonts w:ascii="Times New Roman" w:eastAsia="Times New Roman" w:hAnsi="Times New Roman" w:cs="Times New Roman"/>
                <w:b/>
                <w:lang w:eastAsia="en-GB"/>
              </w:rPr>
              <w:t>, ref. CRIS N ENI/2017/040-480</w:t>
            </w:r>
          </w:p>
        </w:tc>
      </w:tr>
      <w:tr w:rsidR="003D35A7" w:rsidRPr="005F52E7" w:rsidTr="005F52E7">
        <w:trPr>
          <w:trHeight w:val="653"/>
        </w:trPr>
        <w:tc>
          <w:tcPr>
            <w:tcW w:w="7546" w:type="dxa"/>
            <w:gridSpan w:val="2"/>
            <w:vMerge/>
            <w:tcBorders>
              <w:top w:val="single" w:sz="4" w:space="0" w:color="000000"/>
              <w:left w:val="single" w:sz="4" w:space="0" w:color="000000"/>
              <w:bottom w:val="single" w:sz="6" w:space="0" w:color="000000"/>
              <w:right w:val="single" w:sz="6" w:space="0" w:color="000000"/>
            </w:tcBorders>
            <w:vAlign w:val="center"/>
          </w:tcPr>
          <w:p w:rsidR="003D35A7" w:rsidRPr="005F52E7" w:rsidRDefault="003D35A7" w:rsidP="0096534D">
            <w:pPr>
              <w:spacing w:line="240" w:lineRule="auto"/>
              <w:jc w:val="both"/>
              <w:rPr>
                <w:rFonts w:ascii="Times New Roman" w:hAnsi="Times New Roman"/>
                <w:lang w:eastAsia="en-GB"/>
              </w:rPr>
            </w:pP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6548AA" w:rsidRDefault="003D35A7" w:rsidP="0096534D">
            <w:pPr>
              <w:spacing w:line="240" w:lineRule="auto"/>
              <w:jc w:val="both"/>
              <w:rPr>
                <w:rFonts w:ascii="Times New Roman" w:hAnsi="Times New Roman"/>
                <w:lang w:eastAsia="en-GB"/>
              </w:rPr>
            </w:pPr>
            <w:r w:rsidRPr="006548AA">
              <w:rPr>
                <w:rFonts w:ascii="Times New Roman" w:hAnsi="Times New Roman"/>
                <w:lang w:eastAsia="en-GB"/>
              </w:rPr>
              <w:t xml:space="preserve">Contractual period expires at: </w:t>
            </w:r>
          </w:p>
          <w:p w:rsidR="003D35A7" w:rsidRPr="005F52E7" w:rsidRDefault="007D3D41" w:rsidP="0096534D">
            <w:pPr>
              <w:spacing w:line="240" w:lineRule="auto"/>
              <w:jc w:val="both"/>
              <w:rPr>
                <w:rFonts w:ascii="Times New Roman" w:hAnsi="Times New Roman"/>
                <w:lang w:eastAsia="en-GB"/>
              </w:rPr>
            </w:pPr>
            <w:r w:rsidRPr="006548AA">
              <w:rPr>
                <w:rFonts w:ascii="Times New Roman" w:hAnsi="Times New Roman"/>
                <w:lang w:eastAsia="en-GB"/>
              </w:rPr>
              <w:t>01/08/2020</w:t>
            </w:r>
            <w:r w:rsidR="00576DB2" w:rsidRPr="006548AA">
              <w:rPr>
                <w:rFonts w:ascii="Times New Roman" w:hAnsi="Times New Roman"/>
                <w:lang w:eastAsia="en-GB"/>
              </w:rPr>
              <w:t xml:space="preserve"> </w:t>
            </w:r>
            <w:r w:rsidR="00576DB2" w:rsidRPr="006548AA">
              <w:rPr>
                <w:rFonts w:ascii="Times New Roman" w:hAnsi="Times New Roman"/>
                <w:sz w:val="20"/>
                <w:szCs w:val="20"/>
                <w:lang w:eastAsia="en-GB"/>
              </w:rPr>
              <w:t>(date is indicative, subject to the signature of FA)</w:t>
            </w:r>
          </w:p>
        </w:tc>
        <w:tc>
          <w:tcPr>
            <w:tcW w:w="313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t xml:space="preserve">Payment period expires at: </w:t>
            </w:r>
          </w:p>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t> </w:t>
            </w:r>
            <w:r w:rsidR="007D3D41">
              <w:rPr>
                <w:rFonts w:ascii="Times New Roman" w:hAnsi="Times New Roman"/>
                <w:lang w:eastAsia="en-GB"/>
              </w:rPr>
              <w:t>01/02/2022</w:t>
            </w:r>
          </w:p>
        </w:tc>
      </w:tr>
      <w:tr w:rsidR="003D35A7" w:rsidRPr="005F52E7" w:rsidTr="005F52E7">
        <w:trPr>
          <w:trHeight w:val="345"/>
        </w:trPr>
        <w:tc>
          <w:tcPr>
            <w:tcW w:w="7546" w:type="dxa"/>
            <w:gridSpan w:val="2"/>
            <w:vMerge/>
            <w:tcBorders>
              <w:top w:val="single" w:sz="4" w:space="0" w:color="000000"/>
              <w:left w:val="single" w:sz="4" w:space="0" w:color="000000"/>
              <w:bottom w:val="single" w:sz="6" w:space="0" w:color="000000"/>
              <w:right w:val="single" w:sz="6" w:space="0" w:color="000000"/>
            </w:tcBorders>
            <w:vAlign w:val="center"/>
          </w:tcPr>
          <w:p w:rsidR="003D35A7" w:rsidRPr="005F52E7" w:rsidRDefault="003D35A7" w:rsidP="0096534D">
            <w:pPr>
              <w:spacing w:line="240" w:lineRule="auto"/>
              <w:jc w:val="both"/>
              <w:rPr>
                <w:rFonts w:ascii="Times New Roman" w:hAnsi="Times New Roman"/>
                <w:lang w:eastAsia="en-GB"/>
              </w:rPr>
            </w:pP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t xml:space="preserve">Total Budget: </w:t>
            </w:r>
            <w:r w:rsidR="004B5505" w:rsidRPr="005F52E7">
              <w:rPr>
                <w:rFonts w:ascii="Times New Roman" w:hAnsi="Times New Roman"/>
                <w:lang w:eastAsia="en-GB"/>
              </w:rPr>
              <w:t>EUR 1.750.000</w:t>
            </w:r>
          </w:p>
        </w:tc>
        <w:tc>
          <w:tcPr>
            <w:tcW w:w="313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t xml:space="preserve">Contribution: </w:t>
            </w:r>
            <w:r w:rsidR="004B5505" w:rsidRPr="005F52E7">
              <w:rPr>
                <w:rFonts w:ascii="Times New Roman" w:hAnsi="Times New Roman"/>
                <w:lang w:eastAsia="en-GB"/>
              </w:rPr>
              <w:t>EUR 1.750.000</w:t>
            </w:r>
          </w:p>
        </w:tc>
      </w:tr>
      <w:tr w:rsidR="003D35A7" w:rsidRPr="005F52E7" w:rsidTr="004E629E">
        <w:trPr>
          <w:trHeight w:val="473"/>
        </w:trPr>
        <w:tc>
          <w:tcPr>
            <w:tcW w:w="322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General Objective</w:t>
            </w:r>
            <w:r w:rsidRPr="005F52E7">
              <w:rPr>
                <w:rFonts w:ascii="Times New Roman" w:hAnsi="Times New Roman"/>
                <w:lang w:eastAsia="en-GB"/>
              </w:rPr>
              <w:t xml:space="preserve">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Objectively verifiable indicators</w:t>
            </w:r>
            <w:r w:rsidRPr="005F52E7">
              <w:rPr>
                <w:rFonts w:ascii="Times New Roman" w:hAnsi="Times New Roman"/>
                <w:b/>
                <w:lang w:eastAsia="en-GB"/>
              </w:rPr>
              <w:t xml:space="preserve"> (OVI)</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Sources of verification</w:t>
            </w:r>
            <w:r w:rsidRPr="005F52E7">
              <w:rPr>
                <w:rFonts w:ascii="Times New Roman" w:hAnsi="Times New Roman"/>
                <w:lang w:eastAsia="en-GB"/>
              </w:rPr>
              <w:t xml:space="preserve"> </w:t>
            </w:r>
          </w:p>
        </w:tc>
        <w:tc>
          <w:tcPr>
            <w:tcW w:w="3130" w:type="dxa"/>
            <w:vMerge w:val="restart"/>
            <w:tcBorders>
              <w:top w:val="single" w:sz="6" w:space="0" w:color="000000"/>
              <w:left w:val="single" w:sz="6" w:space="0" w:color="000000"/>
              <w:bottom w:val="single" w:sz="4" w:space="0" w:color="000000"/>
              <w:right w:val="single" w:sz="4" w:space="0" w:color="000000"/>
            </w:tcBorders>
            <w:shd w:val="clear" w:color="auto" w:fill="E6E6E6"/>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t> </w:t>
            </w:r>
          </w:p>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t> </w:t>
            </w:r>
          </w:p>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 </w:t>
            </w:r>
          </w:p>
        </w:tc>
      </w:tr>
      <w:tr w:rsidR="003D35A7" w:rsidRPr="005F52E7" w:rsidTr="004E629E">
        <w:trPr>
          <w:trHeight w:val="1959"/>
        </w:trPr>
        <w:tc>
          <w:tcPr>
            <w:tcW w:w="322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sym w:font="Wingdings" w:char="F076"/>
            </w:r>
            <w:r w:rsidRPr="005F52E7">
              <w:rPr>
                <w:rFonts w:ascii="Times New Roman" w:hAnsi="Times New Roman"/>
                <w:lang w:eastAsia="en-GB"/>
              </w:rPr>
              <w:t xml:space="preserve"> To support the potential for economic growth in the Republic of Moldova through a more transparent, efficient, competitive and resilient economic environment.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sym w:font="Symbol" w:char="F0B7"/>
            </w:r>
            <w:r w:rsidRPr="005F52E7">
              <w:rPr>
                <w:rFonts w:ascii="Times New Roman" w:hAnsi="Times New Roman"/>
                <w:lang w:eastAsia="en-GB"/>
              </w:rPr>
              <w:t xml:space="preserve"> </w:t>
            </w:r>
            <w:r w:rsidR="006421B2">
              <w:rPr>
                <w:rFonts w:ascii="Times New Roman" w:hAnsi="Times New Roman"/>
                <w:lang w:eastAsia="en-GB"/>
              </w:rPr>
              <w:t xml:space="preserve">Qualitative assessment by relevant </w:t>
            </w:r>
            <w:r w:rsidR="003812FF">
              <w:rPr>
                <w:rFonts w:ascii="Times New Roman" w:hAnsi="Times New Roman"/>
                <w:lang w:eastAsia="en-GB"/>
              </w:rPr>
              <w:t xml:space="preserve">EU </w:t>
            </w:r>
            <w:r w:rsidR="006421B2">
              <w:rPr>
                <w:rFonts w:ascii="Times New Roman" w:hAnsi="Times New Roman"/>
                <w:lang w:eastAsia="en-GB"/>
              </w:rPr>
              <w:t>institutions</w:t>
            </w:r>
            <w:r w:rsidR="005D49D7">
              <w:rPr>
                <w:rFonts w:ascii="Times New Roman" w:hAnsi="Times New Roman"/>
                <w:lang w:eastAsia="en-GB"/>
              </w:rPr>
              <w:t xml:space="preserve"> </w:t>
            </w:r>
          </w:p>
          <w:p w:rsidR="003D35A7" w:rsidRPr="005F52E7" w:rsidRDefault="003D35A7" w:rsidP="006421B2">
            <w:pPr>
              <w:spacing w:line="240" w:lineRule="auto"/>
              <w:jc w:val="both"/>
              <w:rPr>
                <w:rFonts w:ascii="Times New Roman" w:hAnsi="Times New Roman"/>
                <w:lang w:eastAsia="en-GB"/>
              </w:rPr>
            </w:pPr>
            <w:r w:rsidRPr="005F52E7">
              <w:rPr>
                <w:rFonts w:ascii="Times New Roman" w:hAnsi="Times New Roman"/>
                <w:lang w:eastAsia="en-GB"/>
              </w:rPr>
              <w:sym w:font="Symbol" w:char="F0B7"/>
            </w:r>
            <w:r w:rsidRPr="005F52E7">
              <w:rPr>
                <w:rFonts w:ascii="Times New Roman" w:hAnsi="Times New Roman"/>
                <w:lang w:eastAsia="en-GB"/>
              </w:rPr>
              <w:t xml:space="preserve"> Evaluation by </w:t>
            </w:r>
            <w:r w:rsidR="006421B2">
              <w:rPr>
                <w:rFonts w:ascii="Times New Roman" w:hAnsi="Times New Roman"/>
                <w:lang w:eastAsia="en-GB"/>
              </w:rPr>
              <w:t>other international</w:t>
            </w:r>
            <w:r w:rsidRPr="005F52E7">
              <w:rPr>
                <w:rFonts w:ascii="Times New Roman" w:hAnsi="Times New Roman"/>
                <w:lang w:eastAsia="en-GB"/>
              </w:rPr>
              <w:t xml:space="preserve"> institutions such as IMF/WB in periodic reviews (Art. IV and FSAP)</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sym w:font="Symbol" w:char="F0B7"/>
            </w:r>
            <w:r w:rsidRPr="005F52E7">
              <w:rPr>
                <w:rFonts w:ascii="Times New Roman" w:hAnsi="Times New Roman"/>
                <w:lang w:eastAsia="en-GB"/>
              </w:rPr>
              <w:t xml:space="preserve"> The assessment of EC</w:t>
            </w:r>
          </w:p>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lang w:eastAsia="en-GB"/>
              </w:rPr>
              <w:sym w:font="Symbol" w:char="F0B7"/>
            </w:r>
            <w:r w:rsidRPr="005F52E7">
              <w:rPr>
                <w:rFonts w:ascii="Times New Roman" w:hAnsi="Times New Roman"/>
                <w:lang w:eastAsia="en-GB"/>
              </w:rPr>
              <w:t xml:space="preserve"> Evaluation reports prepared by the IMF/WB and other institutions </w:t>
            </w:r>
          </w:p>
        </w:tc>
        <w:tc>
          <w:tcPr>
            <w:tcW w:w="3130" w:type="dxa"/>
            <w:vMerge/>
            <w:tcBorders>
              <w:top w:val="single" w:sz="6" w:space="0" w:color="000000"/>
              <w:left w:val="single" w:sz="6" w:space="0" w:color="000000"/>
              <w:bottom w:val="single" w:sz="4" w:space="0" w:color="000000"/>
              <w:right w:val="single" w:sz="4" w:space="0" w:color="000000"/>
            </w:tcBorders>
            <w:vAlign w:val="center"/>
          </w:tcPr>
          <w:p w:rsidR="003D35A7" w:rsidRPr="005F52E7" w:rsidRDefault="003D35A7" w:rsidP="0096534D">
            <w:pPr>
              <w:spacing w:line="240" w:lineRule="auto"/>
              <w:jc w:val="both"/>
              <w:rPr>
                <w:rFonts w:ascii="Times New Roman" w:hAnsi="Times New Roman"/>
                <w:lang w:eastAsia="en-GB"/>
              </w:rPr>
            </w:pPr>
          </w:p>
        </w:tc>
      </w:tr>
      <w:tr w:rsidR="003D35A7" w:rsidRPr="005F52E7" w:rsidTr="004E629E">
        <w:tc>
          <w:tcPr>
            <w:tcW w:w="322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 xml:space="preserve">The project purpose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Objectively verifiable indicators</w:t>
            </w:r>
            <w:r w:rsidRPr="005F52E7">
              <w:rPr>
                <w:rFonts w:ascii="Times New Roman" w:hAnsi="Times New Roman"/>
                <w:lang w:eastAsia="en-GB"/>
              </w:rPr>
              <w:t xml:space="preserve"> </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Source of verification</w:t>
            </w:r>
            <w:r w:rsidRPr="005F52E7">
              <w:rPr>
                <w:rFonts w:ascii="Times New Roman" w:hAnsi="Times New Roman"/>
                <w:lang w:eastAsia="en-GB"/>
              </w:rPr>
              <w:t xml:space="preserve"> </w:t>
            </w:r>
          </w:p>
        </w:tc>
        <w:tc>
          <w:tcPr>
            <w:tcW w:w="3130" w:type="dxa"/>
            <w:tcBorders>
              <w:top w:val="single" w:sz="4"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Assumptions</w:t>
            </w:r>
            <w:r w:rsidRPr="005F52E7">
              <w:rPr>
                <w:rFonts w:ascii="Times New Roman" w:hAnsi="Times New Roman"/>
                <w:lang w:eastAsia="en-GB"/>
              </w:rPr>
              <w:t xml:space="preserve"> </w:t>
            </w:r>
          </w:p>
        </w:tc>
      </w:tr>
      <w:tr w:rsidR="00BA1262" w:rsidRPr="005F52E7" w:rsidTr="004E629E">
        <w:tc>
          <w:tcPr>
            <w:tcW w:w="322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BA1262" w:rsidRPr="005F52E7" w:rsidRDefault="00BA1262" w:rsidP="0096534D">
            <w:pPr>
              <w:spacing w:line="240" w:lineRule="auto"/>
              <w:jc w:val="both"/>
              <w:rPr>
                <w:rFonts w:ascii="Times New Roman" w:hAnsi="Times New Roman"/>
                <w:b/>
                <w:bCs/>
                <w:lang w:eastAsia="en-GB"/>
              </w:rPr>
            </w:pPr>
            <w:r w:rsidRPr="005F52E7">
              <w:rPr>
                <w:rFonts w:ascii="Times New Roman" w:eastAsia="Times New Roman" w:hAnsi="Times New Roman" w:cs="Times New Roman"/>
                <w:lang w:eastAsia="en-GB"/>
              </w:rPr>
              <w:t>To strengthen supervision, corporate governance and risk management in the financial sector.</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262" w:rsidRPr="005F52E7" w:rsidRDefault="009D241A" w:rsidP="0096534D">
            <w:pPr>
              <w:spacing w:line="240" w:lineRule="auto"/>
              <w:jc w:val="both"/>
              <w:rPr>
                <w:rFonts w:ascii="Times New Roman" w:hAnsi="Times New Roman"/>
                <w:bCs/>
                <w:lang w:eastAsia="en-GB"/>
              </w:rPr>
            </w:pPr>
            <w:r w:rsidRPr="005F52E7">
              <w:rPr>
                <w:rFonts w:ascii="Times New Roman" w:hAnsi="Times New Roman"/>
                <w:bCs/>
                <w:lang w:eastAsia="en-GB"/>
              </w:rPr>
              <w:t>Qualitative progress on the mitigation of systemic risks to financial stability</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262" w:rsidRDefault="009D241A" w:rsidP="0096534D">
            <w:pPr>
              <w:spacing w:line="240" w:lineRule="auto"/>
              <w:jc w:val="both"/>
              <w:rPr>
                <w:rFonts w:ascii="Times New Roman" w:hAnsi="Times New Roman"/>
                <w:bCs/>
                <w:lang w:eastAsia="en-GB"/>
              </w:rPr>
            </w:pPr>
            <w:r w:rsidRPr="005F52E7">
              <w:rPr>
                <w:rFonts w:ascii="Times New Roman" w:hAnsi="Times New Roman"/>
                <w:bCs/>
                <w:lang w:eastAsia="en-GB"/>
              </w:rPr>
              <w:t>WB &amp; IMF reports and NBM and NCFM Annual Reports and qualitative assessment by the end of the project</w:t>
            </w:r>
          </w:p>
          <w:p w:rsidR="0007297C" w:rsidRPr="005F52E7" w:rsidRDefault="0007297C" w:rsidP="0096534D">
            <w:pPr>
              <w:spacing w:line="240" w:lineRule="auto"/>
              <w:jc w:val="both"/>
              <w:rPr>
                <w:rFonts w:ascii="Times New Roman" w:hAnsi="Times New Roman"/>
                <w:bCs/>
                <w:lang w:eastAsia="en-GB"/>
              </w:rPr>
            </w:pPr>
          </w:p>
        </w:tc>
        <w:tc>
          <w:tcPr>
            <w:tcW w:w="3130" w:type="dxa"/>
            <w:tcBorders>
              <w:top w:val="single" w:sz="4" w:space="0" w:color="000000"/>
              <w:left w:val="single" w:sz="6" w:space="0" w:color="000000"/>
              <w:bottom w:val="single" w:sz="6" w:space="0" w:color="000000"/>
              <w:right w:val="single" w:sz="12" w:space="0" w:color="000000"/>
            </w:tcBorders>
            <w:tcMar>
              <w:top w:w="0" w:type="dxa"/>
              <w:left w:w="108" w:type="dxa"/>
              <w:bottom w:w="0" w:type="dxa"/>
              <w:right w:w="108" w:type="dxa"/>
            </w:tcMar>
          </w:tcPr>
          <w:p w:rsidR="00BA1262" w:rsidRPr="005F52E7" w:rsidRDefault="005834FB" w:rsidP="0096534D">
            <w:pPr>
              <w:spacing w:line="240" w:lineRule="auto"/>
              <w:jc w:val="both"/>
              <w:rPr>
                <w:rFonts w:ascii="Times New Roman" w:hAnsi="Times New Roman"/>
                <w:bCs/>
                <w:lang w:eastAsia="en-GB"/>
              </w:rPr>
            </w:pPr>
            <w:r w:rsidRPr="005F52E7">
              <w:rPr>
                <w:rFonts w:ascii="Times New Roman" w:hAnsi="Times New Roman"/>
                <w:bCs/>
                <w:lang w:eastAsia="en-GB"/>
              </w:rPr>
              <w:t xml:space="preserve">The Moldovan authorities remain committed to the reforms, vested interests do not </w:t>
            </w:r>
            <w:r w:rsidR="00C8423A" w:rsidRPr="005F52E7">
              <w:rPr>
                <w:rFonts w:ascii="Times New Roman" w:hAnsi="Times New Roman"/>
                <w:bCs/>
                <w:lang w:eastAsia="en-GB"/>
              </w:rPr>
              <w:t>hamper the reform process</w:t>
            </w:r>
          </w:p>
        </w:tc>
      </w:tr>
      <w:tr w:rsidR="003D35A7" w:rsidRPr="005F52E7" w:rsidTr="004E629E">
        <w:trPr>
          <w:trHeight w:val="355"/>
        </w:trPr>
        <w:tc>
          <w:tcPr>
            <w:tcW w:w="3226" w:type="dxa"/>
            <w:tcBorders>
              <w:top w:val="single" w:sz="6" w:space="0" w:color="000000"/>
              <w:left w:val="single" w:sz="12" w:space="0" w:color="000000"/>
              <w:bottom w:val="single" w:sz="4"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 xml:space="preserve">Results </w:t>
            </w: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Objectively verifiable indicators</w:t>
            </w:r>
            <w:r w:rsidRPr="005F52E7">
              <w:rPr>
                <w:rFonts w:ascii="Times New Roman" w:hAnsi="Times New Roman"/>
                <w:lang w:eastAsia="en-GB"/>
              </w:rPr>
              <w:t xml:space="preserve"> </w:t>
            </w:r>
          </w:p>
        </w:tc>
        <w:tc>
          <w:tcPr>
            <w:tcW w:w="279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Source of verification</w:t>
            </w:r>
            <w:r w:rsidRPr="005F52E7">
              <w:rPr>
                <w:rFonts w:ascii="Times New Roman" w:hAnsi="Times New Roman"/>
                <w:lang w:eastAsia="en-GB"/>
              </w:rPr>
              <w:t xml:space="preserve"> </w:t>
            </w:r>
          </w:p>
        </w:tc>
        <w:tc>
          <w:tcPr>
            <w:tcW w:w="3130"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rsidR="003D35A7" w:rsidRPr="005F52E7" w:rsidRDefault="003D35A7" w:rsidP="0096534D">
            <w:pPr>
              <w:spacing w:line="240" w:lineRule="auto"/>
              <w:jc w:val="both"/>
              <w:rPr>
                <w:rFonts w:ascii="Times New Roman" w:hAnsi="Times New Roman"/>
                <w:lang w:eastAsia="en-GB"/>
              </w:rPr>
            </w:pPr>
            <w:r w:rsidRPr="005F52E7">
              <w:rPr>
                <w:rFonts w:ascii="Times New Roman" w:hAnsi="Times New Roman"/>
                <w:b/>
                <w:bCs/>
                <w:lang w:eastAsia="en-GB"/>
              </w:rPr>
              <w:t>Assumptions</w:t>
            </w:r>
            <w:r w:rsidRPr="005F52E7">
              <w:rPr>
                <w:rFonts w:ascii="Times New Roman" w:hAnsi="Times New Roman"/>
                <w:lang w:eastAsia="en-GB"/>
              </w:rPr>
              <w:t xml:space="preserve"> </w:t>
            </w:r>
          </w:p>
        </w:tc>
      </w:tr>
      <w:tr w:rsidR="00465F73" w:rsidRPr="005F52E7" w:rsidTr="004E629E">
        <w:trPr>
          <w:trHeight w:val="355"/>
        </w:trPr>
        <w:tc>
          <w:tcPr>
            <w:tcW w:w="3226" w:type="dxa"/>
            <w:vMerge w:val="restart"/>
            <w:tcBorders>
              <w:top w:val="single" w:sz="6" w:space="0" w:color="000000"/>
              <w:left w:val="single" w:sz="12"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Cs/>
                <w:lang w:eastAsia="en-GB"/>
              </w:rPr>
            </w:pPr>
            <w:r w:rsidRPr="005F52E7">
              <w:rPr>
                <w:rFonts w:ascii="Times New Roman" w:hAnsi="Times New Roman"/>
                <w:bCs/>
                <w:lang w:eastAsia="en-GB"/>
              </w:rPr>
              <w:t>Component I: Supervision framework in line with Basel III principles is fully implemented.</w:t>
            </w: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2A6D66">
            <w:pPr>
              <w:spacing w:line="240" w:lineRule="auto"/>
              <w:jc w:val="both"/>
              <w:rPr>
                <w:rFonts w:ascii="Times New Roman" w:hAnsi="Times New Roman"/>
                <w:bCs/>
                <w:lang w:eastAsia="en-GB"/>
              </w:rPr>
            </w:pPr>
            <w:r w:rsidRPr="005F52E7">
              <w:rPr>
                <w:rFonts w:ascii="Times New Roman" w:hAnsi="Times New Roman"/>
                <w:bCs/>
                <w:lang w:eastAsia="en-GB"/>
              </w:rPr>
              <w:t>Decreased number of banks, which present to NBM non-accurate reports (COREP) for risks identification at an early stage</w:t>
            </w:r>
            <w:r w:rsidR="00AE74AE">
              <w:rPr>
                <w:rFonts w:ascii="Times New Roman" w:hAnsi="Times New Roman"/>
                <w:bCs/>
                <w:lang w:eastAsia="en-GB"/>
              </w:rPr>
              <w:t xml:space="preserve"> (</w:t>
            </w:r>
            <w:r w:rsidR="002A6D66">
              <w:rPr>
                <w:rFonts w:ascii="Times New Roman" w:hAnsi="Times New Roman"/>
                <w:bCs/>
                <w:lang w:eastAsia="en-GB"/>
              </w:rPr>
              <w:t>baseline- c</w:t>
            </w:r>
            <w:r w:rsidR="00AE74AE">
              <w:rPr>
                <w:rFonts w:ascii="Times New Roman" w:hAnsi="Times New Roman"/>
                <w:bCs/>
                <w:lang w:eastAsia="en-GB"/>
              </w:rPr>
              <w:t>urrent legislation does not require</w:t>
            </w:r>
            <w:r w:rsidR="002A6D66">
              <w:rPr>
                <w:rFonts w:ascii="Times New Roman" w:hAnsi="Times New Roman"/>
                <w:bCs/>
                <w:lang w:eastAsia="en-GB"/>
              </w:rPr>
              <w:t xml:space="preserve"> to produce such reports</w:t>
            </w:r>
            <w:r w:rsidR="00AE74AE">
              <w:rPr>
                <w:rFonts w:ascii="Times New Roman" w:hAnsi="Times New Roman"/>
                <w:bCs/>
                <w:lang w:eastAsia="en-GB"/>
              </w:rPr>
              <w:t>; first COREP report</w:t>
            </w:r>
            <w:r w:rsidR="002A6D66">
              <w:rPr>
                <w:rFonts w:ascii="Times New Roman" w:hAnsi="Times New Roman"/>
                <w:bCs/>
                <w:lang w:eastAsia="en-GB"/>
              </w:rPr>
              <w:t xml:space="preserve"> </w:t>
            </w:r>
            <w:r w:rsidR="00AE74AE">
              <w:rPr>
                <w:rFonts w:ascii="Times New Roman" w:hAnsi="Times New Roman"/>
                <w:bCs/>
                <w:lang w:eastAsia="en-GB"/>
              </w:rPr>
              <w:t>will be presented by banks in Q2 2018)</w:t>
            </w:r>
          </w:p>
        </w:tc>
        <w:tc>
          <w:tcPr>
            <w:tcW w:w="2790"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465F73" w:rsidRPr="005F52E7" w:rsidRDefault="00465F73" w:rsidP="00532E79">
            <w:pPr>
              <w:spacing w:line="240" w:lineRule="auto"/>
              <w:jc w:val="both"/>
              <w:rPr>
                <w:rFonts w:ascii="Times New Roman" w:hAnsi="Times New Roman"/>
                <w:lang w:eastAsia="en-GB"/>
              </w:rPr>
            </w:pPr>
            <w:r w:rsidRPr="005F52E7">
              <w:rPr>
                <w:rFonts w:ascii="Times New Roman" w:hAnsi="Times New Roman"/>
                <w:lang w:eastAsia="en-GB"/>
              </w:rPr>
              <w:t>• Annual reports of NBM [2018-2020]</w:t>
            </w:r>
          </w:p>
          <w:p w:rsidR="00465F73" w:rsidRPr="005F52E7" w:rsidRDefault="00465F73" w:rsidP="00532E79">
            <w:pPr>
              <w:spacing w:line="240" w:lineRule="auto"/>
              <w:jc w:val="both"/>
              <w:rPr>
                <w:rFonts w:ascii="Times New Roman" w:hAnsi="Times New Roman"/>
                <w:lang w:eastAsia="en-GB"/>
              </w:rPr>
            </w:pPr>
            <w:r w:rsidRPr="005F52E7">
              <w:rPr>
                <w:rFonts w:ascii="Times New Roman" w:hAnsi="Times New Roman"/>
                <w:lang w:eastAsia="en-GB"/>
              </w:rPr>
              <w:t xml:space="preserve">• Regulations for banks approved and published in the Official Monitor </w:t>
            </w:r>
            <w:r w:rsidR="00541B6C">
              <w:rPr>
                <w:rFonts w:ascii="Times New Roman" w:hAnsi="Times New Roman"/>
                <w:lang w:eastAsia="en-GB"/>
              </w:rPr>
              <w:t xml:space="preserve"> </w:t>
            </w:r>
          </w:p>
          <w:p w:rsidR="00465F73" w:rsidRPr="005F52E7" w:rsidRDefault="00465F73" w:rsidP="00532E79">
            <w:pPr>
              <w:spacing w:line="240" w:lineRule="auto"/>
              <w:jc w:val="both"/>
              <w:rPr>
                <w:rFonts w:ascii="Times New Roman" w:hAnsi="Times New Roman"/>
                <w:lang w:eastAsia="en-GB"/>
              </w:rPr>
            </w:pPr>
            <w:r w:rsidRPr="005F52E7">
              <w:rPr>
                <w:rFonts w:ascii="Times New Roman" w:hAnsi="Times New Roman"/>
                <w:lang w:eastAsia="en-GB"/>
              </w:rPr>
              <w:t>• Final report on the project</w:t>
            </w:r>
          </w:p>
          <w:p w:rsidR="00465F73" w:rsidRPr="005F52E7" w:rsidRDefault="00465F73" w:rsidP="0096534D">
            <w:pPr>
              <w:spacing w:line="240" w:lineRule="auto"/>
              <w:jc w:val="both"/>
              <w:rPr>
                <w:rFonts w:ascii="Times New Roman" w:hAnsi="Times New Roman"/>
                <w:b/>
                <w:bCs/>
                <w:lang w:eastAsia="en-GB"/>
              </w:rPr>
            </w:pPr>
            <w:r w:rsidRPr="005F52E7">
              <w:rPr>
                <w:rFonts w:ascii="Times New Roman" w:hAnsi="Times New Roman"/>
                <w:lang w:eastAsia="en-GB"/>
              </w:rPr>
              <w:t xml:space="preserve">• Reports prepared by the IMF/WB (FSAP) and other international institutions </w:t>
            </w:r>
          </w:p>
        </w:tc>
        <w:tc>
          <w:tcPr>
            <w:tcW w:w="3130" w:type="dxa"/>
            <w:vMerge w:val="restart"/>
            <w:tcBorders>
              <w:top w:val="single" w:sz="6" w:space="0" w:color="000000"/>
              <w:left w:val="single" w:sz="6" w:space="0" w:color="000000"/>
              <w:right w:val="single" w:sz="4" w:space="0" w:color="000000"/>
            </w:tcBorders>
            <w:tcMar>
              <w:top w:w="0" w:type="dxa"/>
              <w:left w:w="108" w:type="dxa"/>
              <w:bottom w:w="0" w:type="dxa"/>
              <w:right w:w="108" w:type="dxa"/>
            </w:tcMar>
          </w:tcPr>
          <w:p w:rsidR="00465F73" w:rsidRPr="00343BE6" w:rsidRDefault="00343BE6" w:rsidP="0096534D">
            <w:pPr>
              <w:spacing w:line="240" w:lineRule="auto"/>
              <w:jc w:val="both"/>
              <w:rPr>
                <w:rFonts w:ascii="Times New Roman" w:hAnsi="Times New Roman"/>
                <w:bCs/>
                <w:lang w:eastAsia="en-GB"/>
              </w:rPr>
            </w:pPr>
            <w:r w:rsidRPr="00343BE6">
              <w:rPr>
                <w:rFonts w:ascii="Times New Roman" w:hAnsi="Times New Roman"/>
                <w:bCs/>
                <w:lang w:eastAsia="en-GB"/>
              </w:rPr>
              <w:t>NBM remains committed to the reforms</w:t>
            </w:r>
          </w:p>
          <w:p w:rsidR="00343BE6" w:rsidRPr="005F52E7" w:rsidRDefault="00343BE6" w:rsidP="00343BE6">
            <w:pPr>
              <w:spacing w:line="240" w:lineRule="auto"/>
              <w:jc w:val="both"/>
              <w:rPr>
                <w:rFonts w:ascii="Times New Roman" w:hAnsi="Times New Roman"/>
                <w:b/>
                <w:bCs/>
                <w:lang w:eastAsia="en-GB"/>
              </w:rPr>
            </w:pPr>
            <w:r w:rsidRPr="00343BE6">
              <w:rPr>
                <w:rFonts w:ascii="Times New Roman" w:hAnsi="Times New Roman"/>
                <w:bCs/>
                <w:lang w:eastAsia="en-GB"/>
              </w:rPr>
              <w:t>There is an appropriate involvement of the NBM staff in project's  activities</w:t>
            </w:r>
          </w:p>
        </w:tc>
      </w:tr>
      <w:tr w:rsidR="00465F73" w:rsidRPr="005F52E7" w:rsidTr="004E629E">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2A6D66">
            <w:pPr>
              <w:spacing w:line="240" w:lineRule="auto"/>
              <w:jc w:val="both"/>
              <w:rPr>
                <w:rFonts w:ascii="Times New Roman" w:hAnsi="Times New Roman"/>
                <w:b/>
                <w:bCs/>
                <w:lang w:eastAsia="en-GB"/>
              </w:rPr>
            </w:pPr>
            <w:r w:rsidRPr="005F52E7">
              <w:rPr>
                <w:rFonts w:ascii="Times New Roman" w:hAnsi="Times New Roman"/>
                <w:bCs/>
                <w:lang w:eastAsia="en-GB"/>
              </w:rPr>
              <w:t>Decreased number of banks with the highest (riskiest) overall SREP score for less risk-taking</w:t>
            </w:r>
            <w:r w:rsidR="00AE74AE">
              <w:rPr>
                <w:rFonts w:ascii="Times New Roman" w:hAnsi="Times New Roman"/>
                <w:bCs/>
                <w:lang w:eastAsia="en-GB"/>
              </w:rPr>
              <w:t xml:space="preserve"> (</w:t>
            </w:r>
            <w:r w:rsidR="002A6D66">
              <w:rPr>
                <w:rFonts w:ascii="Times New Roman" w:hAnsi="Times New Roman"/>
                <w:bCs/>
                <w:lang w:eastAsia="en-GB"/>
              </w:rPr>
              <w:t>baseline - c</w:t>
            </w:r>
            <w:r w:rsidR="00AE74AE">
              <w:rPr>
                <w:rFonts w:ascii="Times New Roman" w:hAnsi="Times New Roman"/>
                <w:bCs/>
                <w:lang w:eastAsia="en-GB"/>
              </w:rPr>
              <w:t>urrent legislation does not requi</w:t>
            </w:r>
            <w:r w:rsidR="006513AB">
              <w:rPr>
                <w:rFonts w:ascii="Times New Roman" w:hAnsi="Times New Roman"/>
                <w:bCs/>
                <w:lang w:eastAsia="en-GB"/>
              </w:rPr>
              <w:t>re</w:t>
            </w:r>
            <w:r w:rsidR="002A6D66">
              <w:rPr>
                <w:rFonts w:ascii="Times New Roman" w:hAnsi="Times New Roman"/>
                <w:bCs/>
                <w:lang w:eastAsia="en-GB"/>
              </w:rPr>
              <w:t xml:space="preserve"> to produce SREP reports with scoring</w:t>
            </w:r>
            <w:r w:rsidR="006513AB">
              <w:rPr>
                <w:rFonts w:ascii="Times New Roman" w:hAnsi="Times New Roman"/>
                <w:bCs/>
                <w:lang w:eastAsia="en-GB"/>
              </w:rPr>
              <w:t>; first SREP</w:t>
            </w:r>
            <w:r w:rsidR="00AE74AE">
              <w:rPr>
                <w:rFonts w:ascii="Times New Roman" w:hAnsi="Times New Roman"/>
                <w:bCs/>
                <w:lang w:eastAsia="en-GB"/>
              </w:rPr>
              <w:t xml:space="preserve"> report</w:t>
            </w:r>
            <w:r w:rsidR="002A6D66">
              <w:rPr>
                <w:rFonts w:ascii="Times New Roman" w:hAnsi="Times New Roman"/>
                <w:bCs/>
                <w:lang w:eastAsia="en-GB"/>
              </w:rPr>
              <w:t xml:space="preserve"> </w:t>
            </w:r>
            <w:r w:rsidR="006513AB">
              <w:rPr>
                <w:rFonts w:ascii="Times New Roman" w:hAnsi="Times New Roman"/>
                <w:bCs/>
                <w:lang w:eastAsia="en-GB"/>
              </w:rPr>
              <w:t xml:space="preserve">will be </w:t>
            </w:r>
            <w:r w:rsidR="002A6D66">
              <w:rPr>
                <w:rFonts w:ascii="Times New Roman" w:hAnsi="Times New Roman"/>
                <w:bCs/>
                <w:lang w:eastAsia="en-GB"/>
              </w:rPr>
              <w:t xml:space="preserve">prepared </w:t>
            </w:r>
            <w:r w:rsidR="006513AB">
              <w:rPr>
                <w:rFonts w:ascii="Times New Roman" w:hAnsi="Times New Roman"/>
                <w:bCs/>
                <w:lang w:eastAsia="en-GB"/>
              </w:rPr>
              <w:t>in H</w:t>
            </w:r>
            <w:r w:rsidR="00AE74AE">
              <w:rPr>
                <w:rFonts w:ascii="Times New Roman" w:hAnsi="Times New Roman"/>
                <w:bCs/>
                <w:lang w:eastAsia="en-GB"/>
              </w:rPr>
              <w:t>2 2018)</w:t>
            </w:r>
          </w:p>
        </w:tc>
        <w:tc>
          <w:tcPr>
            <w:tcW w:w="2790" w:type="dxa"/>
            <w:vMerge/>
            <w:tcBorders>
              <w:left w:val="single" w:sz="6"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r>
      <w:tr w:rsidR="00465F73" w:rsidRPr="005F52E7" w:rsidTr="004E629E">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2A6D66">
            <w:pPr>
              <w:spacing w:line="240" w:lineRule="auto"/>
              <w:jc w:val="both"/>
              <w:rPr>
                <w:rFonts w:ascii="Times New Roman" w:hAnsi="Times New Roman"/>
                <w:b/>
                <w:bCs/>
                <w:lang w:eastAsia="en-GB"/>
              </w:rPr>
            </w:pPr>
            <w:r w:rsidRPr="005F52E7">
              <w:rPr>
                <w:rFonts w:ascii="Times New Roman" w:eastAsia="Times New Roman" w:hAnsi="Times New Roman" w:cs="Times New Roman"/>
                <w:lang w:eastAsia="en-GB"/>
              </w:rPr>
              <w:t>Increased number of banks with additional own funds requirements determined by NBM’s SREP capital assessment for higher capitalization</w:t>
            </w:r>
            <w:r w:rsidR="006513AB">
              <w:rPr>
                <w:rFonts w:ascii="Times New Roman" w:eastAsia="Times New Roman" w:hAnsi="Times New Roman" w:cs="Times New Roman"/>
                <w:lang w:eastAsia="en-GB"/>
              </w:rPr>
              <w:t xml:space="preserve"> </w:t>
            </w:r>
            <w:r w:rsidR="006513AB">
              <w:rPr>
                <w:rFonts w:ascii="Times New Roman" w:hAnsi="Times New Roman"/>
                <w:bCs/>
                <w:lang w:eastAsia="en-GB"/>
              </w:rPr>
              <w:t>(</w:t>
            </w:r>
            <w:r w:rsidR="002A6D66">
              <w:rPr>
                <w:rFonts w:ascii="Times New Roman" w:hAnsi="Times New Roman"/>
                <w:bCs/>
                <w:lang w:eastAsia="en-GB"/>
              </w:rPr>
              <w:t>baseline - c</w:t>
            </w:r>
            <w:r w:rsidR="006513AB">
              <w:rPr>
                <w:rFonts w:ascii="Times New Roman" w:hAnsi="Times New Roman"/>
                <w:bCs/>
                <w:lang w:eastAsia="en-GB"/>
              </w:rPr>
              <w:t>urrent legislation does not require</w:t>
            </w:r>
            <w:r w:rsidR="002A6D66">
              <w:rPr>
                <w:rFonts w:ascii="Times New Roman" w:hAnsi="Times New Roman"/>
                <w:bCs/>
                <w:lang w:eastAsia="en-GB"/>
              </w:rPr>
              <w:t xml:space="preserve"> to produce SREP reports</w:t>
            </w:r>
            <w:r w:rsidR="006513AB">
              <w:rPr>
                <w:rFonts w:ascii="Times New Roman" w:hAnsi="Times New Roman"/>
                <w:bCs/>
                <w:lang w:eastAsia="en-GB"/>
              </w:rPr>
              <w:t>; first SREP report</w:t>
            </w:r>
            <w:r w:rsidR="002A6D66">
              <w:rPr>
                <w:rFonts w:ascii="Times New Roman" w:hAnsi="Times New Roman"/>
                <w:bCs/>
                <w:lang w:eastAsia="en-GB"/>
              </w:rPr>
              <w:t xml:space="preserve"> </w:t>
            </w:r>
            <w:r w:rsidR="006513AB">
              <w:rPr>
                <w:rFonts w:ascii="Times New Roman" w:hAnsi="Times New Roman"/>
                <w:bCs/>
                <w:lang w:eastAsia="en-GB"/>
              </w:rPr>
              <w:t xml:space="preserve">will be </w:t>
            </w:r>
            <w:r w:rsidR="002A6D66">
              <w:rPr>
                <w:rFonts w:ascii="Times New Roman" w:hAnsi="Times New Roman"/>
                <w:bCs/>
                <w:lang w:eastAsia="en-GB"/>
              </w:rPr>
              <w:t xml:space="preserve">prepared </w:t>
            </w:r>
            <w:r w:rsidR="006513AB">
              <w:rPr>
                <w:rFonts w:ascii="Times New Roman" w:hAnsi="Times New Roman"/>
                <w:bCs/>
                <w:lang w:eastAsia="en-GB"/>
              </w:rPr>
              <w:t>in H2 2018)</w:t>
            </w:r>
          </w:p>
        </w:tc>
        <w:tc>
          <w:tcPr>
            <w:tcW w:w="2790" w:type="dxa"/>
            <w:vMerge/>
            <w:tcBorders>
              <w:left w:val="single" w:sz="6"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r>
      <w:tr w:rsidR="00465F73" w:rsidRPr="005F52E7" w:rsidTr="004E629E">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2A6D66">
            <w:pPr>
              <w:spacing w:line="240" w:lineRule="auto"/>
              <w:jc w:val="both"/>
              <w:rPr>
                <w:rFonts w:ascii="Times New Roman" w:hAnsi="Times New Roman"/>
                <w:b/>
                <w:bCs/>
                <w:lang w:eastAsia="en-GB"/>
              </w:rPr>
            </w:pPr>
            <w:r w:rsidRPr="005F52E7">
              <w:rPr>
                <w:rFonts w:ascii="Times New Roman" w:eastAsia="Times New Roman" w:hAnsi="Times New Roman" w:cs="Times New Roman"/>
                <w:lang w:eastAsia="en-GB"/>
              </w:rPr>
              <w:t>Decreased number of banks with weak compliance with requirements regarding internal governance and risk management determined by NBM ‘s SREP risk assessment</w:t>
            </w:r>
            <w:r w:rsidR="006513AB">
              <w:rPr>
                <w:rFonts w:ascii="Times New Roman" w:eastAsia="Times New Roman" w:hAnsi="Times New Roman" w:cs="Times New Roman"/>
                <w:lang w:eastAsia="en-GB"/>
              </w:rPr>
              <w:t xml:space="preserve"> </w:t>
            </w:r>
            <w:r w:rsidR="006513AB">
              <w:rPr>
                <w:rFonts w:ascii="Times New Roman" w:hAnsi="Times New Roman"/>
                <w:bCs/>
                <w:lang w:eastAsia="en-GB"/>
              </w:rPr>
              <w:t>(</w:t>
            </w:r>
            <w:r w:rsidR="002A6D66">
              <w:rPr>
                <w:rFonts w:ascii="Times New Roman" w:hAnsi="Times New Roman"/>
                <w:bCs/>
                <w:lang w:eastAsia="en-GB"/>
              </w:rPr>
              <w:t>baseline - c</w:t>
            </w:r>
            <w:r w:rsidR="006513AB">
              <w:rPr>
                <w:rFonts w:ascii="Times New Roman" w:hAnsi="Times New Roman"/>
                <w:bCs/>
                <w:lang w:eastAsia="en-GB"/>
              </w:rPr>
              <w:t>urrent legislation does not require</w:t>
            </w:r>
            <w:r w:rsidR="002A6D66">
              <w:rPr>
                <w:rFonts w:ascii="Times New Roman" w:hAnsi="Times New Roman"/>
                <w:bCs/>
                <w:lang w:eastAsia="en-GB"/>
              </w:rPr>
              <w:t xml:space="preserve"> to produce SREP risk assessment</w:t>
            </w:r>
            <w:r w:rsidR="006513AB">
              <w:rPr>
                <w:rFonts w:ascii="Times New Roman" w:hAnsi="Times New Roman"/>
                <w:bCs/>
                <w:lang w:eastAsia="en-GB"/>
              </w:rPr>
              <w:t xml:space="preserve">; first SREP </w:t>
            </w:r>
            <w:r w:rsidR="002A6D66">
              <w:rPr>
                <w:rFonts w:ascii="Times New Roman" w:hAnsi="Times New Roman"/>
                <w:bCs/>
                <w:lang w:eastAsia="en-GB"/>
              </w:rPr>
              <w:t xml:space="preserve"> risk assessment </w:t>
            </w:r>
            <w:r w:rsidR="006513AB">
              <w:rPr>
                <w:rFonts w:ascii="Times New Roman" w:hAnsi="Times New Roman"/>
                <w:bCs/>
                <w:lang w:eastAsia="en-GB"/>
              </w:rPr>
              <w:t>will be pre</w:t>
            </w:r>
            <w:r w:rsidR="002A6D66">
              <w:rPr>
                <w:rFonts w:ascii="Times New Roman" w:hAnsi="Times New Roman"/>
                <w:bCs/>
                <w:lang w:eastAsia="en-GB"/>
              </w:rPr>
              <w:t xml:space="preserve">pared </w:t>
            </w:r>
            <w:r w:rsidR="006513AB">
              <w:rPr>
                <w:rFonts w:ascii="Times New Roman" w:hAnsi="Times New Roman"/>
                <w:bCs/>
                <w:lang w:eastAsia="en-GB"/>
              </w:rPr>
              <w:t>in H2 2018)</w:t>
            </w:r>
          </w:p>
        </w:tc>
        <w:tc>
          <w:tcPr>
            <w:tcW w:w="2790" w:type="dxa"/>
            <w:vMerge/>
            <w:tcBorders>
              <w:left w:val="single" w:sz="6"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r>
      <w:tr w:rsidR="00465F73" w:rsidRPr="005F52E7" w:rsidTr="004E629E">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6513AB">
            <w:pPr>
              <w:spacing w:line="240" w:lineRule="auto"/>
              <w:jc w:val="both"/>
              <w:rPr>
                <w:rFonts w:ascii="Times New Roman" w:hAnsi="Times New Roman"/>
                <w:b/>
                <w:bCs/>
                <w:lang w:eastAsia="en-GB"/>
              </w:rPr>
            </w:pPr>
            <w:r w:rsidRPr="005F52E7">
              <w:rPr>
                <w:rFonts w:ascii="Times New Roman" w:eastAsia="Times New Roman" w:hAnsi="Times New Roman" w:cs="Times New Roman"/>
                <w:lang w:eastAsia="en-GB"/>
              </w:rPr>
              <w:t>Increased number of prompt and effective corrective and sanctioning measures for banks applied by NBM for acting at an early stage to address unsafe and unsound practices</w:t>
            </w:r>
            <w:r w:rsidR="006513AB">
              <w:rPr>
                <w:rFonts w:ascii="Times New Roman" w:eastAsia="Times New Roman" w:hAnsi="Times New Roman" w:cs="Times New Roman"/>
                <w:lang w:eastAsia="en-GB"/>
              </w:rPr>
              <w:t xml:space="preserve"> </w:t>
            </w:r>
            <w:r w:rsidR="006513AB">
              <w:rPr>
                <w:rFonts w:ascii="Times New Roman" w:hAnsi="Times New Roman"/>
                <w:bCs/>
                <w:lang w:eastAsia="en-GB"/>
              </w:rPr>
              <w:t xml:space="preserve">(baseline – </w:t>
            </w:r>
            <w:r w:rsidR="00756048">
              <w:rPr>
                <w:rFonts w:ascii="Times New Roman" w:hAnsi="Times New Roman"/>
                <w:bCs/>
                <w:lang w:eastAsia="en-GB"/>
              </w:rPr>
              <w:t>current legislation has</w:t>
            </w:r>
            <w:r w:rsidR="00016EF8">
              <w:rPr>
                <w:rFonts w:ascii="Times New Roman" w:hAnsi="Times New Roman"/>
                <w:bCs/>
                <w:lang w:eastAsia="en-GB"/>
              </w:rPr>
              <w:t xml:space="preserve"> old sanctioning system</w:t>
            </w:r>
            <w:r w:rsidR="00756048">
              <w:rPr>
                <w:rFonts w:ascii="Times New Roman" w:hAnsi="Times New Roman"/>
                <w:bCs/>
                <w:lang w:eastAsia="en-GB"/>
              </w:rPr>
              <w:t>; new sanctioning</w:t>
            </w:r>
            <w:r w:rsidR="006513AB">
              <w:rPr>
                <w:rFonts w:ascii="Times New Roman" w:hAnsi="Times New Roman"/>
                <w:bCs/>
                <w:lang w:eastAsia="en-GB"/>
              </w:rPr>
              <w:t xml:space="preserve"> system </w:t>
            </w:r>
            <w:r w:rsidR="00756048">
              <w:rPr>
                <w:rFonts w:ascii="Times New Roman" w:hAnsi="Times New Roman"/>
                <w:bCs/>
                <w:lang w:eastAsia="en-GB"/>
              </w:rPr>
              <w:t xml:space="preserve">will be </w:t>
            </w:r>
            <w:r w:rsidR="006513AB">
              <w:rPr>
                <w:rFonts w:ascii="Times New Roman" w:hAnsi="Times New Roman"/>
                <w:bCs/>
                <w:lang w:eastAsia="en-GB"/>
              </w:rPr>
              <w:t>in place from January 1, 2018)</w:t>
            </w:r>
            <w:r w:rsidR="00756048">
              <w:rPr>
                <w:rFonts w:ascii="Times New Roman" w:hAnsi="Times New Roman"/>
                <w:bCs/>
                <w:lang w:eastAsia="en-GB"/>
              </w:rPr>
              <w:t>.</w:t>
            </w:r>
          </w:p>
        </w:tc>
        <w:tc>
          <w:tcPr>
            <w:tcW w:w="2790" w:type="dxa"/>
            <w:vMerge/>
            <w:tcBorders>
              <w:left w:val="single" w:sz="6"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r>
      <w:tr w:rsidR="00465F73" w:rsidRPr="005F52E7" w:rsidTr="004E629E">
        <w:trPr>
          <w:trHeight w:val="355"/>
        </w:trPr>
        <w:tc>
          <w:tcPr>
            <w:tcW w:w="3226" w:type="dxa"/>
            <w:vMerge/>
            <w:tcBorders>
              <w:left w:val="single" w:sz="12"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eastAsia="Times New Roman" w:hAnsi="Times New Roman" w:cs="Times New Roman"/>
                <w:lang w:eastAsia="en-GB"/>
              </w:rPr>
            </w:pPr>
            <w:r w:rsidRPr="005F52E7">
              <w:rPr>
                <w:rFonts w:ascii="Times New Roman" w:eastAsia="Times New Roman" w:hAnsi="Times New Roman" w:cs="Times New Roman"/>
                <w:lang w:eastAsia="en-GB"/>
              </w:rPr>
              <w:t>A “Largely compliant” level of compliance with BCBS Core Principle for Effective Banking Supervision (Principles 8, 9, 10, 11, 13, 14-26) is achieved by the next IMF/WB FSAP assessment of NBM banking supervision</w:t>
            </w:r>
          </w:p>
        </w:tc>
        <w:tc>
          <w:tcPr>
            <w:tcW w:w="2790" w:type="dxa"/>
            <w:vMerge/>
            <w:tcBorders>
              <w:left w:val="single" w:sz="6" w:space="0" w:color="000000"/>
              <w:bottom w:val="single" w:sz="4" w:space="0" w:color="000000"/>
              <w:right w:val="single" w:sz="6"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c>
          <w:tcPr>
            <w:tcW w:w="3130" w:type="dxa"/>
            <w:vMerge/>
            <w:tcBorders>
              <w:left w:val="single" w:sz="6" w:space="0" w:color="000000"/>
              <w:bottom w:val="single" w:sz="4" w:space="0" w:color="000000"/>
              <w:right w:val="single" w:sz="4" w:space="0" w:color="000000"/>
            </w:tcBorders>
            <w:tcMar>
              <w:top w:w="0" w:type="dxa"/>
              <w:left w:w="108" w:type="dxa"/>
              <w:bottom w:w="0" w:type="dxa"/>
              <w:right w:w="108" w:type="dxa"/>
            </w:tcMar>
          </w:tcPr>
          <w:p w:rsidR="00465F73" w:rsidRPr="005F52E7" w:rsidRDefault="00465F73" w:rsidP="0096534D">
            <w:pPr>
              <w:spacing w:line="240" w:lineRule="auto"/>
              <w:jc w:val="both"/>
              <w:rPr>
                <w:rFonts w:ascii="Times New Roman" w:hAnsi="Times New Roman"/>
                <w:b/>
                <w:bCs/>
                <w:lang w:eastAsia="en-GB"/>
              </w:rPr>
            </w:pPr>
          </w:p>
        </w:tc>
      </w:tr>
      <w:tr w:rsidR="00D036DB" w:rsidRPr="005F52E7" w:rsidTr="00532E79">
        <w:trPr>
          <w:trHeight w:val="355"/>
        </w:trPr>
        <w:tc>
          <w:tcPr>
            <w:tcW w:w="3226" w:type="dxa"/>
            <w:vMerge w:val="restart"/>
            <w:tcBorders>
              <w:left w:val="single" w:sz="12" w:space="0" w:color="000000"/>
              <w:right w:val="single" w:sz="6" w:space="0" w:color="000000"/>
            </w:tcBorders>
            <w:tcMar>
              <w:top w:w="0" w:type="dxa"/>
              <w:left w:w="108" w:type="dxa"/>
              <w:bottom w:w="0" w:type="dxa"/>
              <w:right w:w="108" w:type="dxa"/>
            </w:tcMar>
          </w:tcPr>
          <w:p w:rsidR="00D036DB" w:rsidRPr="005F52E7" w:rsidRDefault="00D036DB" w:rsidP="0096534D">
            <w:pPr>
              <w:spacing w:line="240" w:lineRule="auto"/>
              <w:jc w:val="both"/>
              <w:rPr>
                <w:rFonts w:ascii="Times New Roman" w:hAnsi="Times New Roman"/>
                <w:bCs/>
                <w:lang w:eastAsia="en-GB"/>
              </w:rPr>
            </w:pPr>
            <w:r>
              <w:rPr>
                <w:rFonts w:ascii="Times New Roman" w:hAnsi="Times New Roman"/>
                <w:bCs/>
                <w:lang w:eastAsia="en-GB"/>
              </w:rPr>
              <w:t xml:space="preserve">Component II: </w:t>
            </w:r>
            <w:r w:rsidRPr="003D67C4">
              <w:rPr>
                <w:rFonts w:ascii="Times New Roman" w:hAnsi="Times New Roman"/>
                <w:bCs/>
                <w:lang w:eastAsia="en-GB"/>
              </w:rPr>
              <w:t>The macro prudential framework is enhanced through improved capacities of the regulators to mitigate a build-up of systemic risks</w:t>
            </w: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D036DB" w:rsidRPr="005F52E7" w:rsidRDefault="00D036DB" w:rsidP="00FB2916">
            <w:pPr>
              <w:spacing w:line="240" w:lineRule="auto"/>
              <w:jc w:val="both"/>
              <w:rPr>
                <w:rFonts w:ascii="Times New Roman" w:eastAsia="Times New Roman" w:hAnsi="Times New Roman" w:cs="Times New Roman"/>
                <w:lang w:eastAsia="en-GB"/>
              </w:rPr>
            </w:pPr>
            <w:r w:rsidRPr="003D67C4">
              <w:rPr>
                <w:rFonts w:ascii="Times New Roman" w:eastAsia="Times New Roman" w:hAnsi="Times New Roman" w:cs="Times New Roman"/>
                <w:lang w:eastAsia="en-GB"/>
              </w:rPr>
              <w:t>A Macroprudential Policy Stra</w:t>
            </w:r>
            <w:r>
              <w:rPr>
                <w:rFonts w:ascii="Times New Roman" w:eastAsia="Times New Roman" w:hAnsi="Times New Roman" w:cs="Times New Roman"/>
                <w:lang w:eastAsia="en-GB"/>
              </w:rPr>
              <w:t>tegy is developed</w:t>
            </w:r>
            <w:r w:rsidR="00F0154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and approved</w:t>
            </w:r>
          </w:p>
        </w:tc>
        <w:tc>
          <w:tcPr>
            <w:tcW w:w="2790" w:type="dxa"/>
            <w:vMerge w:val="restart"/>
            <w:tcBorders>
              <w:left w:val="single" w:sz="6" w:space="0" w:color="000000"/>
              <w:right w:val="single" w:sz="6" w:space="0" w:color="000000"/>
            </w:tcBorders>
            <w:tcMar>
              <w:top w:w="0" w:type="dxa"/>
              <w:left w:w="108" w:type="dxa"/>
              <w:bottom w:w="0" w:type="dxa"/>
              <w:right w:w="108" w:type="dxa"/>
            </w:tcMar>
          </w:tcPr>
          <w:p w:rsidR="00D036DB" w:rsidRDefault="00D036DB" w:rsidP="00904B7C">
            <w:pPr>
              <w:spacing w:after="120" w:line="240" w:lineRule="auto"/>
              <w:jc w:val="both"/>
              <w:rPr>
                <w:rFonts w:ascii="Times New Roman" w:hAnsi="Times New Roman"/>
                <w:bCs/>
                <w:lang w:eastAsia="en-GB"/>
              </w:rPr>
            </w:pPr>
            <w:r w:rsidRPr="00BF2B95">
              <w:rPr>
                <w:rFonts w:ascii="Times New Roman" w:hAnsi="Times New Roman"/>
                <w:bCs/>
                <w:lang w:eastAsia="en-GB"/>
              </w:rPr>
              <w:t>Publicly available macro prudential policy</w:t>
            </w:r>
            <w:r w:rsidR="00524043">
              <w:rPr>
                <w:rFonts w:ascii="Times New Roman" w:hAnsi="Times New Roman"/>
                <w:bCs/>
                <w:lang w:eastAsia="en-GB"/>
              </w:rPr>
              <w:t xml:space="preserve"> strategy</w:t>
            </w:r>
            <w:r w:rsidRPr="00BF2B95">
              <w:rPr>
                <w:rFonts w:ascii="Times New Roman" w:hAnsi="Times New Roman"/>
                <w:bCs/>
                <w:lang w:eastAsia="en-GB"/>
              </w:rPr>
              <w:t xml:space="preserve"> </w:t>
            </w:r>
          </w:p>
          <w:p w:rsidR="00D036DB" w:rsidRDefault="00D036DB" w:rsidP="00904B7C">
            <w:pPr>
              <w:spacing w:after="120" w:line="240" w:lineRule="auto"/>
              <w:jc w:val="both"/>
              <w:rPr>
                <w:rFonts w:ascii="Times New Roman" w:hAnsi="Times New Roman"/>
                <w:bCs/>
                <w:lang w:eastAsia="en-GB"/>
              </w:rPr>
            </w:pPr>
            <w:r w:rsidRPr="00BF2B95">
              <w:rPr>
                <w:rFonts w:ascii="Times New Roman" w:hAnsi="Times New Roman"/>
                <w:bCs/>
                <w:lang w:eastAsia="en-GB"/>
              </w:rPr>
              <w:t xml:space="preserve">Publicly available Annual Financial </w:t>
            </w:r>
            <w:r w:rsidR="00931D34">
              <w:rPr>
                <w:rFonts w:ascii="Times New Roman" w:hAnsi="Times New Roman"/>
                <w:bCs/>
                <w:lang w:eastAsia="en-GB"/>
              </w:rPr>
              <w:t>S</w:t>
            </w:r>
            <w:r w:rsidRPr="00BF2B95">
              <w:rPr>
                <w:rFonts w:ascii="Times New Roman" w:hAnsi="Times New Roman"/>
                <w:bCs/>
                <w:lang w:eastAsia="en-GB"/>
              </w:rPr>
              <w:t>tability Reports</w:t>
            </w:r>
          </w:p>
          <w:p w:rsidR="00D036DB" w:rsidRDefault="00D036DB" w:rsidP="00904B7C">
            <w:pPr>
              <w:spacing w:after="120" w:line="240" w:lineRule="auto"/>
              <w:jc w:val="both"/>
              <w:rPr>
                <w:rFonts w:ascii="Times New Roman" w:hAnsi="Times New Roman"/>
                <w:lang w:eastAsia="en-GB"/>
              </w:rPr>
            </w:pPr>
            <w:r w:rsidRPr="00BF2B95">
              <w:rPr>
                <w:rFonts w:ascii="Times New Roman" w:hAnsi="Times New Roman"/>
                <w:bCs/>
                <w:lang w:eastAsia="en-GB"/>
              </w:rPr>
              <w:t xml:space="preserve">Qualitative assessment by </w:t>
            </w:r>
            <w:r w:rsidRPr="00BF2B95">
              <w:rPr>
                <w:rFonts w:ascii="Times New Roman" w:hAnsi="Times New Roman"/>
                <w:lang w:eastAsia="en-GB"/>
              </w:rPr>
              <w:t>the IMF/WB (FSAP) and other international institutions</w:t>
            </w:r>
          </w:p>
          <w:p w:rsidR="00D036DB" w:rsidRDefault="00D036DB" w:rsidP="00904B7C">
            <w:pPr>
              <w:spacing w:after="120" w:line="240" w:lineRule="auto"/>
              <w:jc w:val="both"/>
              <w:rPr>
                <w:rFonts w:ascii="Times New Roman" w:hAnsi="Times New Roman"/>
                <w:lang w:eastAsia="en-GB"/>
              </w:rPr>
            </w:pPr>
            <w:r w:rsidRPr="005F52E7">
              <w:rPr>
                <w:rFonts w:ascii="Times New Roman" w:hAnsi="Times New Roman"/>
                <w:lang w:eastAsia="en-GB"/>
              </w:rPr>
              <w:t>Annual reports of NBM [2018-2020]</w:t>
            </w:r>
          </w:p>
          <w:p w:rsidR="00491A0F" w:rsidRPr="00BF2B95" w:rsidRDefault="00491A0F" w:rsidP="00904B7C">
            <w:pPr>
              <w:spacing w:after="120" w:line="240" w:lineRule="auto"/>
              <w:jc w:val="both"/>
              <w:rPr>
                <w:rFonts w:ascii="Times New Roman" w:hAnsi="Times New Roman"/>
                <w:bCs/>
                <w:lang w:eastAsia="en-GB"/>
              </w:rPr>
            </w:pPr>
            <w:r>
              <w:rPr>
                <w:rFonts w:ascii="Times New Roman" w:hAnsi="Times New Roman"/>
                <w:lang w:eastAsia="en-GB"/>
              </w:rPr>
              <w:t>Project's reports</w:t>
            </w:r>
          </w:p>
        </w:tc>
        <w:tc>
          <w:tcPr>
            <w:tcW w:w="3130" w:type="dxa"/>
            <w:vMerge w:val="restart"/>
            <w:tcBorders>
              <w:left w:val="single" w:sz="6" w:space="0" w:color="000000"/>
              <w:right w:val="single" w:sz="4" w:space="0" w:color="000000"/>
            </w:tcBorders>
            <w:tcMar>
              <w:top w:w="0" w:type="dxa"/>
              <w:left w:w="108" w:type="dxa"/>
              <w:bottom w:w="0" w:type="dxa"/>
              <w:right w:w="108" w:type="dxa"/>
            </w:tcMar>
          </w:tcPr>
          <w:p w:rsidR="00D036DB" w:rsidRDefault="00D036DB" w:rsidP="00904B7C">
            <w:pPr>
              <w:spacing w:after="120" w:line="240" w:lineRule="auto"/>
              <w:jc w:val="both"/>
              <w:rPr>
                <w:rFonts w:ascii="Times New Roman" w:hAnsi="Times New Roman"/>
                <w:bCs/>
                <w:lang w:eastAsia="en-GB"/>
              </w:rPr>
            </w:pPr>
            <w:r>
              <w:rPr>
                <w:rFonts w:ascii="Times New Roman" w:hAnsi="Times New Roman"/>
                <w:bCs/>
                <w:lang w:eastAsia="en-GB"/>
              </w:rPr>
              <w:t>Financial Stability Committee is functional and it is committed to the reforms</w:t>
            </w:r>
          </w:p>
          <w:p w:rsidR="00D036DB" w:rsidRPr="00343BE6" w:rsidRDefault="00D036DB" w:rsidP="00904B7C">
            <w:pPr>
              <w:spacing w:after="120" w:line="240" w:lineRule="auto"/>
              <w:jc w:val="both"/>
              <w:rPr>
                <w:rFonts w:ascii="Times New Roman" w:hAnsi="Times New Roman"/>
                <w:bCs/>
                <w:lang w:eastAsia="en-GB"/>
              </w:rPr>
            </w:pPr>
            <w:r w:rsidRPr="00343BE6">
              <w:rPr>
                <w:rFonts w:ascii="Times New Roman" w:hAnsi="Times New Roman"/>
                <w:bCs/>
                <w:lang w:eastAsia="en-GB"/>
              </w:rPr>
              <w:t>NBM remains committed to the reforms</w:t>
            </w:r>
          </w:p>
          <w:p w:rsidR="00D036DB" w:rsidRPr="005F52E7" w:rsidRDefault="00D036DB" w:rsidP="00904B7C">
            <w:pPr>
              <w:spacing w:after="120" w:line="240" w:lineRule="auto"/>
              <w:jc w:val="both"/>
              <w:rPr>
                <w:rFonts w:ascii="Times New Roman" w:hAnsi="Times New Roman"/>
                <w:b/>
                <w:bCs/>
                <w:lang w:eastAsia="en-GB"/>
              </w:rPr>
            </w:pPr>
            <w:r w:rsidRPr="00343BE6">
              <w:rPr>
                <w:rFonts w:ascii="Times New Roman" w:hAnsi="Times New Roman"/>
                <w:bCs/>
                <w:lang w:eastAsia="en-GB"/>
              </w:rPr>
              <w:t>There is an appropriate involvement of the NBM staff in project's  activities</w:t>
            </w:r>
          </w:p>
        </w:tc>
      </w:tr>
      <w:tr w:rsidR="00D036DB" w:rsidRPr="005F52E7" w:rsidTr="00532E79">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D036DB" w:rsidRPr="005F52E7" w:rsidRDefault="00D036DB"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D036DB" w:rsidRPr="005F52E7" w:rsidRDefault="00D036DB" w:rsidP="00FB2916">
            <w:pPr>
              <w:spacing w:line="240" w:lineRule="auto"/>
              <w:jc w:val="both"/>
              <w:rPr>
                <w:rFonts w:ascii="Times New Roman" w:eastAsia="Times New Roman" w:hAnsi="Times New Roman" w:cs="Times New Roman"/>
                <w:lang w:eastAsia="en-GB"/>
              </w:rPr>
            </w:pPr>
            <w:r w:rsidRPr="003D67C4">
              <w:rPr>
                <w:rFonts w:ascii="Times New Roman" w:eastAsia="Times New Roman" w:hAnsi="Times New Roman" w:cs="Times New Roman"/>
                <w:lang w:eastAsia="en-GB"/>
              </w:rPr>
              <w:t>The quality of Annual Financial Stability Reports is improved;</w:t>
            </w:r>
          </w:p>
        </w:tc>
        <w:tc>
          <w:tcPr>
            <w:tcW w:w="2790" w:type="dxa"/>
            <w:vMerge/>
            <w:tcBorders>
              <w:left w:val="single" w:sz="6" w:space="0" w:color="000000"/>
              <w:right w:val="single" w:sz="6" w:space="0" w:color="000000"/>
            </w:tcBorders>
            <w:tcMar>
              <w:top w:w="0" w:type="dxa"/>
              <w:left w:w="108" w:type="dxa"/>
              <w:bottom w:w="0" w:type="dxa"/>
              <w:right w:w="108" w:type="dxa"/>
            </w:tcMar>
          </w:tcPr>
          <w:p w:rsidR="00D036DB" w:rsidRPr="00BF2B95" w:rsidRDefault="00D036DB" w:rsidP="0096534D">
            <w:pPr>
              <w:spacing w:line="240" w:lineRule="auto"/>
              <w:jc w:val="both"/>
              <w:rPr>
                <w:rFonts w:ascii="Times New Roman" w:hAnsi="Times New Roman"/>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D036DB" w:rsidRPr="005F52E7" w:rsidRDefault="00D036DB" w:rsidP="0096534D">
            <w:pPr>
              <w:spacing w:line="240" w:lineRule="auto"/>
              <w:jc w:val="both"/>
              <w:rPr>
                <w:rFonts w:ascii="Times New Roman" w:hAnsi="Times New Roman"/>
                <w:b/>
                <w:bCs/>
                <w:lang w:eastAsia="en-GB"/>
              </w:rPr>
            </w:pPr>
          </w:p>
        </w:tc>
      </w:tr>
      <w:tr w:rsidR="00D036DB" w:rsidRPr="005F52E7" w:rsidTr="004E629E">
        <w:trPr>
          <w:trHeight w:val="355"/>
        </w:trPr>
        <w:tc>
          <w:tcPr>
            <w:tcW w:w="3226" w:type="dxa"/>
            <w:vMerge/>
            <w:tcBorders>
              <w:left w:val="single" w:sz="12" w:space="0" w:color="000000"/>
              <w:bottom w:val="single" w:sz="4" w:space="0" w:color="000000"/>
              <w:right w:val="single" w:sz="6" w:space="0" w:color="000000"/>
            </w:tcBorders>
            <w:tcMar>
              <w:top w:w="0" w:type="dxa"/>
              <w:left w:w="108" w:type="dxa"/>
              <w:bottom w:w="0" w:type="dxa"/>
              <w:right w:w="108" w:type="dxa"/>
            </w:tcMar>
          </w:tcPr>
          <w:p w:rsidR="00D036DB" w:rsidRPr="005F52E7" w:rsidRDefault="00D036DB"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D036DB" w:rsidRPr="005F52E7" w:rsidRDefault="00D036DB" w:rsidP="00016EF8">
            <w:pPr>
              <w:spacing w:line="240" w:lineRule="auto"/>
              <w:jc w:val="both"/>
              <w:rPr>
                <w:rFonts w:ascii="Times New Roman" w:eastAsia="Times New Roman" w:hAnsi="Times New Roman" w:cs="Times New Roman"/>
                <w:lang w:eastAsia="en-GB"/>
              </w:rPr>
            </w:pPr>
            <w:r w:rsidRPr="003D67C4">
              <w:rPr>
                <w:rFonts w:ascii="Times New Roman" w:eastAsia="Times New Roman" w:hAnsi="Times New Roman" w:cs="Times New Roman"/>
                <w:lang w:eastAsia="en-GB"/>
              </w:rPr>
              <w:t>Increasing number of macroprudential tools used and of National Bank’s publications on the implementation of macroprudential policy</w:t>
            </w:r>
            <w:r w:rsidR="006513AB">
              <w:rPr>
                <w:rFonts w:ascii="Times New Roman" w:eastAsia="Times New Roman" w:hAnsi="Times New Roman" w:cs="Times New Roman"/>
                <w:lang w:eastAsia="en-GB"/>
              </w:rPr>
              <w:t xml:space="preserve"> </w:t>
            </w:r>
            <w:r w:rsidR="006513AB">
              <w:rPr>
                <w:rFonts w:ascii="Times New Roman" w:hAnsi="Times New Roman"/>
                <w:bCs/>
                <w:lang w:eastAsia="en-GB"/>
              </w:rPr>
              <w:t>(</w:t>
            </w:r>
            <w:r w:rsidR="00756048">
              <w:rPr>
                <w:rFonts w:ascii="Times New Roman" w:hAnsi="Times New Roman"/>
                <w:bCs/>
                <w:lang w:eastAsia="en-GB"/>
              </w:rPr>
              <w:t>baseline - c</w:t>
            </w:r>
            <w:r w:rsidR="006513AB">
              <w:rPr>
                <w:rFonts w:ascii="Times New Roman" w:hAnsi="Times New Roman"/>
                <w:bCs/>
                <w:lang w:eastAsia="en-GB"/>
              </w:rPr>
              <w:t>urrent legislation does not require</w:t>
            </w:r>
            <w:r w:rsidR="00016EF8">
              <w:rPr>
                <w:rFonts w:ascii="Times New Roman" w:hAnsi="Times New Roman"/>
                <w:bCs/>
                <w:lang w:eastAsia="en-GB"/>
              </w:rPr>
              <w:t xml:space="preserve"> to apply macroprudential tools</w:t>
            </w:r>
            <w:r w:rsidR="006513AB">
              <w:rPr>
                <w:rFonts w:ascii="Times New Roman" w:hAnsi="Times New Roman"/>
                <w:bCs/>
                <w:lang w:eastAsia="en-GB"/>
              </w:rPr>
              <w:t xml:space="preserve">; new macroprudential framework </w:t>
            </w:r>
            <w:r w:rsidR="00016EF8">
              <w:rPr>
                <w:rFonts w:ascii="Times New Roman" w:hAnsi="Times New Roman"/>
                <w:bCs/>
                <w:lang w:eastAsia="en-GB"/>
              </w:rPr>
              <w:t xml:space="preserve">will be </w:t>
            </w:r>
            <w:r w:rsidR="006513AB">
              <w:rPr>
                <w:rFonts w:ascii="Times New Roman" w:hAnsi="Times New Roman"/>
                <w:bCs/>
                <w:lang w:eastAsia="en-GB"/>
              </w:rPr>
              <w:t>in place from January 1, 2018</w:t>
            </w:r>
            <w:r w:rsidR="00F3200A">
              <w:rPr>
                <w:rStyle w:val="FootnoteReference"/>
                <w:rFonts w:ascii="Times New Roman" w:hAnsi="Times New Roman"/>
                <w:bCs/>
                <w:lang w:eastAsia="en-GB"/>
              </w:rPr>
              <w:footnoteReference w:id="4"/>
            </w:r>
            <w:r w:rsidR="006513AB">
              <w:rPr>
                <w:rFonts w:ascii="Times New Roman" w:hAnsi="Times New Roman"/>
                <w:bCs/>
                <w:lang w:eastAsia="en-GB"/>
              </w:rPr>
              <w:t>)</w:t>
            </w:r>
          </w:p>
        </w:tc>
        <w:tc>
          <w:tcPr>
            <w:tcW w:w="2790" w:type="dxa"/>
            <w:vMerge/>
            <w:tcBorders>
              <w:left w:val="single" w:sz="6" w:space="0" w:color="000000"/>
              <w:bottom w:val="single" w:sz="4" w:space="0" w:color="000000"/>
              <w:right w:val="single" w:sz="6" w:space="0" w:color="000000"/>
            </w:tcBorders>
            <w:tcMar>
              <w:top w:w="0" w:type="dxa"/>
              <w:left w:w="108" w:type="dxa"/>
              <w:bottom w:w="0" w:type="dxa"/>
              <w:right w:w="108" w:type="dxa"/>
            </w:tcMar>
          </w:tcPr>
          <w:p w:rsidR="00D036DB" w:rsidRPr="00BF2B95" w:rsidRDefault="00D036DB" w:rsidP="00BF2B95">
            <w:pPr>
              <w:spacing w:line="240" w:lineRule="auto"/>
              <w:jc w:val="both"/>
              <w:rPr>
                <w:rFonts w:ascii="Times New Roman" w:hAnsi="Times New Roman"/>
                <w:bCs/>
                <w:lang w:eastAsia="en-GB"/>
              </w:rPr>
            </w:pPr>
          </w:p>
        </w:tc>
        <w:tc>
          <w:tcPr>
            <w:tcW w:w="3130" w:type="dxa"/>
            <w:vMerge/>
            <w:tcBorders>
              <w:left w:val="single" w:sz="6" w:space="0" w:color="000000"/>
              <w:bottom w:val="single" w:sz="4" w:space="0" w:color="000000"/>
              <w:right w:val="single" w:sz="4" w:space="0" w:color="000000"/>
            </w:tcBorders>
            <w:tcMar>
              <w:top w:w="0" w:type="dxa"/>
              <w:left w:w="108" w:type="dxa"/>
              <w:bottom w:w="0" w:type="dxa"/>
              <w:right w:w="108" w:type="dxa"/>
            </w:tcMar>
          </w:tcPr>
          <w:p w:rsidR="00D036DB" w:rsidRPr="005F52E7" w:rsidRDefault="00D036DB" w:rsidP="0096534D">
            <w:pPr>
              <w:spacing w:line="240" w:lineRule="auto"/>
              <w:jc w:val="both"/>
              <w:rPr>
                <w:rFonts w:ascii="Times New Roman" w:hAnsi="Times New Roman"/>
                <w:b/>
                <w:bCs/>
                <w:lang w:eastAsia="en-GB"/>
              </w:rPr>
            </w:pPr>
          </w:p>
        </w:tc>
      </w:tr>
      <w:tr w:rsidR="00C222F9" w:rsidRPr="005F52E7" w:rsidTr="00532E79">
        <w:trPr>
          <w:trHeight w:val="355"/>
        </w:trPr>
        <w:tc>
          <w:tcPr>
            <w:tcW w:w="3226" w:type="dxa"/>
            <w:vMerge w:val="restart"/>
            <w:tcBorders>
              <w:left w:val="single" w:sz="12" w:space="0" w:color="000000"/>
              <w:right w:val="single" w:sz="6"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hAnsi="Times New Roman"/>
                <w:bCs/>
                <w:lang w:eastAsia="en-GB"/>
              </w:rPr>
            </w:pPr>
            <w:r>
              <w:rPr>
                <w:rFonts w:ascii="Times New Roman" w:hAnsi="Times New Roman"/>
                <w:bCs/>
                <w:lang w:eastAsia="en-GB"/>
              </w:rPr>
              <w:t xml:space="preserve">Component III: </w:t>
            </w:r>
            <w:r w:rsidR="00F20E3F" w:rsidRPr="00F20E3F">
              <w:rPr>
                <w:rFonts w:ascii="Times New Roman" w:hAnsi="Times New Roman"/>
                <w:bCs/>
                <w:lang w:eastAsia="en-GB"/>
              </w:rPr>
              <w:t>Bank recovery and resolution framework in line with EU standards (EU Directive 2014/59/EU on recovery and resolution of credit institutions and investment firms) implemented and enforced</w:t>
            </w: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C222F9" w:rsidRPr="005F52E7" w:rsidRDefault="00C222F9" w:rsidP="00F94FF6">
            <w:pPr>
              <w:spacing w:line="240" w:lineRule="auto"/>
              <w:jc w:val="both"/>
              <w:rPr>
                <w:rFonts w:ascii="Times New Roman" w:eastAsia="Times New Roman" w:hAnsi="Times New Roman" w:cs="Times New Roman"/>
                <w:lang w:eastAsia="en-GB"/>
              </w:rPr>
            </w:pPr>
            <w:r w:rsidRPr="004E629E">
              <w:rPr>
                <w:rFonts w:ascii="Times New Roman" w:eastAsia="Times New Roman" w:hAnsi="Times New Roman" w:cs="Times New Roman"/>
                <w:lang w:eastAsia="en-GB"/>
              </w:rPr>
              <w:t xml:space="preserve">Bank’s recovery and resolution framework is developed and enhanced; </w:t>
            </w:r>
          </w:p>
        </w:tc>
        <w:tc>
          <w:tcPr>
            <w:tcW w:w="2790" w:type="dxa"/>
            <w:vMerge w:val="restart"/>
            <w:tcBorders>
              <w:left w:val="single" w:sz="6" w:space="0" w:color="000000"/>
              <w:right w:val="single" w:sz="6" w:space="0" w:color="000000"/>
            </w:tcBorders>
            <w:tcMar>
              <w:top w:w="0" w:type="dxa"/>
              <w:left w:w="108" w:type="dxa"/>
              <w:bottom w:w="0" w:type="dxa"/>
              <w:right w:w="108" w:type="dxa"/>
            </w:tcMar>
          </w:tcPr>
          <w:p w:rsidR="001727B2" w:rsidRPr="001727B2" w:rsidRDefault="001727B2" w:rsidP="0096534D">
            <w:pPr>
              <w:spacing w:line="240" w:lineRule="auto"/>
              <w:jc w:val="both"/>
              <w:rPr>
                <w:rFonts w:ascii="Times New Roman" w:hAnsi="Times New Roman"/>
                <w:bCs/>
                <w:lang w:eastAsia="en-GB"/>
              </w:rPr>
            </w:pPr>
            <w:r w:rsidRPr="001727B2">
              <w:rPr>
                <w:rFonts w:ascii="Times New Roman" w:hAnsi="Times New Roman"/>
                <w:bCs/>
                <w:lang w:eastAsia="en-GB"/>
              </w:rPr>
              <w:t>Annual report</w:t>
            </w:r>
            <w:r w:rsidR="00931D34">
              <w:rPr>
                <w:rFonts w:ascii="Times New Roman" w:hAnsi="Times New Roman"/>
                <w:bCs/>
                <w:lang w:eastAsia="en-GB"/>
              </w:rPr>
              <w:t>s</w:t>
            </w:r>
            <w:r w:rsidRPr="001727B2">
              <w:rPr>
                <w:rFonts w:ascii="Times New Roman" w:hAnsi="Times New Roman"/>
                <w:bCs/>
                <w:lang w:eastAsia="en-GB"/>
              </w:rPr>
              <w:t xml:space="preserve"> of NBM</w:t>
            </w:r>
            <w:r w:rsidR="00931D34">
              <w:rPr>
                <w:rFonts w:ascii="Times New Roman" w:hAnsi="Times New Roman"/>
                <w:bCs/>
                <w:lang w:eastAsia="en-GB"/>
              </w:rPr>
              <w:t xml:space="preserve"> </w:t>
            </w:r>
            <w:r w:rsidR="00931D34" w:rsidRPr="005F52E7">
              <w:rPr>
                <w:rFonts w:ascii="Times New Roman" w:hAnsi="Times New Roman"/>
                <w:lang w:eastAsia="en-GB"/>
              </w:rPr>
              <w:t>[2018-2020]</w:t>
            </w:r>
          </w:p>
          <w:p w:rsidR="001727B2" w:rsidRPr="001727B2" w:rsidRDefault="001727B2" w:rsidP="001727B2">
            <w:pPr>
              <w:spacing w:after="120" w:line="240" w:lineRule="auto"/>
              <w:jc w:val="both"/>
              <w:rPr>
                <w:rFonts w:ascii="Times New Roman" w:hAnsi="Times New Roman"/>
                <w:lang w:eastAsia="en-GB"/>
              </w:rPr>
            </w:pPr>
            <w:r w:rsidRPr="001727B2">
              <w:rPr>
                <w:rFonts w:ascii="Times New Roman" w:hAnsi="Times New Roman"/>
                <w:bCs/>
                <w:lang w:eastAsia="en-GB"/>
              </w:rPr>
              <w:t xml:space="preserve">Qualitative assessment by </w:t>
            </w:r>
            <w:r w:rsidRPr="001727B2">
              <w:rPr>
                <w:rFonts w:ascii="Times New Roman" w:hAnsi="Times New Roman"/>
                <w:lang w:eastAsia="en-GB"/>
              </w:rPr>
              <w:t>the IMF/WB (FSAP) and other international institutions</w:t>
            </w:r>
          </w:p>
          <w:p w:rsidR="001B2A90" w:rsidRPr="005F52E7" w:rsidRDefault="001B2A90" w:rsidP="0096534D">
            <w:pPr>
              <w:spacing w:line="240" w:lineRule="auto"/>
              <w:jc w:val="both"/>
              <w:rPr>
                <w:rFonts w:ascii="Times New Roman" w:hAnsi="Times New Roman"/>
                <w:b/>
                <w:bCs/>
                <w:lang w:eastAsia="en-GB"/>
              </w:rPr>
            </w:pPr>
            <w:r w:rsidRPr="001727B2">
              <w:rPr>
                <w:rFonts w:ascii="Times New Roman" w:hAnsi="Times New Roman"/>
                <w:bCs/>
                <w:lang w:eastAsia="en-GB"/>
              </w:rPr>
              <w:t>Project's reports</w:t>
            </w:r>
          </w:p>
        </w:tc>
        <w:tc>
          <w:tcPr>
            <w:tcW w:w="3130" w:type="dxa"/>
            <w:vMerge w:val="restart"/>
            <w:tcBorders>
              <w:left w:val="single" w:sz="6" w:space="0" w:color="000000"/>
              <w:right w:val="single" w:sz="4" w:space="0" w:color="000000"/>
            </w:tcBorders>
            <w:tcMar>
              <w:top w:w="0" w:type="dxa"/>
              <w:left w:w="108" w:type="dxa"/>
              <w:bottom w:w="0" w:type="dxa"/>
              <w:right w:w="108" w:type="dxa"/>
            </w:tcMar>
          </w:tcPr>
          <w:p w:rsidR="000102CD" w:rsidRPr="00343BE6" w:rsidRDefault="000102CD" w:rsidP="000102CD">
            <w:pPr>
              <w:spacing w:after="120" w:line="240" w:lineRule="auto"/>
              <w:jc w:val="both"/>
              <w:rPr>
                <w:rFonts w:ascii="Times New Roman" w:hAnsi="Times New Roman"/>
                <w:bCs/>
                <w:lang w:eastAsia="en-GB"/>
              </w:rPr>
            </w:pPr>
            <w:r w:rsidRPr="00343BE6">
              <w:rPr>
                <w:rFonts w:ascii="Times New Roman" w:hAnsi="Times New Roman"/>
                <w:bCs/>
                <w:lang w:eastAsia="en-GB"/>
              </w:rPr>
              <w:t>NBM remains committed to the reforms</w:t>
            </w:r>
          </w:p>
          <w:p w:rsidR="00C222F9" w:rsidRPr="005F52E7" w:rsidRDefault="000102CD" w:rsidP="000102CD">
            <w:pPr>
              <w:spacing w:line="240" w:lineRule="auto"/>
              <w:jc w:val="both"/>
              <w:rPr>
                <w:rFonts w:ascii="Times New Roman" w:hAnsi="Times New Roman"/>
                <w:b/>
                <w:bCs/>
                <w:lang w:eastAsia="en-GB"/>
              </w:rPr>
            </w:pPr>
            <w:r w:rsidRPr="00343BE6">
              <w:rPr>
                <w:rFonts w:ascii="Times New Roman" w:hAnsi="Times New Roman"/>
                <w:bCs/>
                <w:lang w:eastAsia="en-GB"/>
              </w:rPr>
              <w:t>There is an appropriate involvement of the NBM staff in project's  activities</w:t>
            </w:r>
          </w:p>
        </w:tc>
      </w:tr>
      <w:tr w:rsidR="00C222F9" w:rsidRPr="005F52E7" w:rsidTr="00532E79">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C222F9" w:rsidRPr="005F52E7" w:rsidRDefault="00C222F9" w:rsidP="004E629E">
            <w:pPr>
              <w:spacing w:line="240" w:lineRule="auto"/>
              <w:jc w:val="both"/>
              <w:rPr>
                <w:rFonts w:ascii="Times New Roman" w:eastAsia="Times New Roman" w:hAnsi="Times New Roman" w:cs="Times New Roman"/>
                <w:lang w:eastAsia="en-GB"/>
              </w:rPr>
            </w:pPr>
            <w:r w:rsidRPr="004E629E">
              <w:rPr>
                <w:rFonts w:ascii="Times New Roman" w:eastAsia="Times New Roman" w:hAnsi="Times New Roman" w:cs="Times New Roman"/>
                <w:lang w:eastAsia="en-GB"/>
              </w:rPr>
              <w:t xml:space="preserve">NBM is capacitated to apply the appropriate resolution tools timely and </w:t>
            </w:r>
            <w:r>
              <w:rPr>
                <w:rFonts w:ascii="Times New Roman" w:eastAsia="Times New Roman" w:hAnsi="Times New Roman" w:cs="Times New Roman"/>
                <w:lang w:eastAsia="en-GB"/>
              </w:rPr>
              <w:t>effectively, whenever required</w:t>
            </w:r>
          </w:p>
        </w:tc>
        <w:tc>
          <w:tcPr>
            <w:tcW w:w="2790" w:type="dxa"/>
            <w:vMerge/>
            <w:tcBorders>
              <w:left w:val="single" w:sz="6" w:space="0" w:color="000000"/>
              <w:right w:val="single" w:sz="6"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hAnsi="Times New Roman"/>
                <w:b/>
                <w:bCs/>
                <w:lang w:eastAsia="en-GB"/>
              </w:rPr>
            </w:pPr>
          </w:p>
        </w:tc>
      </w:tr>
      <w:tr w:rsidR="00C222F9" w:rsidRPr="005F52E7" w:rsidTr="004E629E">
        <w:trPr>
          <w:trHeight w:val="355"/>
        </w:trPr>
        <w:tc>
          <w:tcPr>
            <w:tcW w:w="3226" w:type="dxa"/>
            <w:vMerge/>
            <w:tcBorders>
              <w:left w:val="single" w:sz="12" w:space="0" w:color="000000"/>
              <w:bottom w:val="single" w:sz="4" w:space="0" w:color="000000"/>
              <w:right w:val="single" w:sz="6"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eastAsia="Times New Roman" w:hAnsi="Times New Roman" w:cs="Times New Roman"/>
                <w:lang w:eastAsia="en-GB"/>
              </w:rPr>
            </w:pPr>
            <w:r w:rsidRPr="004E629E">
              <w:rPr>
                <w:rFonts w:ascii="Times New Roman" w:eastAsia="Times New Roman" w:hAnsi="Times New Roman" w:cs="Times New Roman"/>
                <w:lang w:eastAsia="en-GB"/>
              </w:rPr>
              <w:t>Improved quality of banks’ recovery and resolution plans for being prepared to act in case a bank enters in financial distress</w:t>
            </w:r>
          </w:p>
        </w:tc>
        <w:tc>
          <w:tcPr>
            <w:tcW w:w="2790" w:type="dxa"/>
            <w:vMerge/>
            <w:tcBorders>
              <w:left w:val="single" w:sz="6" w:space="0" w:color="000000"/>
              <w:bottom w:val="single" w:sz="4" w:space="0" w:color="000000"/>
              <w:right w:val="single" w:sz="6"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hAnsi="Times New Roman"/>
                <w:b/>
                <w:bCs/>
                <w:lang w:eastAsia="en-GB"/>
              </w:rPr>
            </w:pPr>
          </w:p>
        </w:tc>
        <w:tc>
          <w:tcPr>
            <w:tcW w:w="3130" w:type="dxa"/>
            <w:vMerge/>
            <w:tcBorders>
              <w:left w:val="single" w:sz="6" w:space="0" w:color="000000"/>
              <w:bottom w:val="single" w:sz="4" w:space="0" w:color="000000"/>
              <w:right w:val="single" w:sz="4" w:space="0" w:color="000000"/>
            </w:tcBorders>
            <w:tcMar>
              <w:top w:w="0" w:type="dxa"/>
              <w:left w:w="108" w:type="dxa"/>
              <w:bottom w:w="0" w:type="dxa"/>
              <w:right w:w="108" w:type="dxa"/>
            </w:tcMar>
          </w:tcPr>
          <w:p w:rsidR="00C222F9" w:rsidRPr="005F52E7" w:rsidRDefault="00C222F9" w:rsidP="0096534D">
            <w:pPr>
              <w:spacing w:line="240" w:lineRule="auto"/>
              <w:jc w:val="both"/>
              <w:rPr>
                <w:rFonts w:ascii="Times New Roman" w:hAnsi="Times New Roman"/>
                <w:b/>
                <w:bCs/>
                <w:lang w:eastAsia="en-GB"/>
              </w:rPr>
            </w:pPr>
          </w:p>
        </w:tc>
      </w:tr>
      <w:tr w:rsidR="00541B6C" w:rsidRPr="005F52E7" w:rsidTr="00532E79">
        <w:trPr>
          <w:trHeight w:val="355"/>
        </w:trPr>
        <w:tc>
          <w:tcPr>
            <w:tcW w:w="3226" w:type="dxa"/>
            <w:vMerge w:val="restart"/>
            <w:tcBorders>
              <w:left w:val="single" w:sz="12" w:space="0" w:color="000000"/>
              <w:right w:val="single" w:sz="6" w:space="0" w:color="000000"/>
            </w:tcBorders>
            <w:tcMar>
              <w:top w:w="0" w:type="dxa"/>
              <w:left w:w="108" w:type="dxa"/>
              <w:bottom w:w="0" w:type="dxa"/>
              <w:right w:w="108" w:type="dxa"/>
            </w:tcMar>
          </w:tcPr>
          <w:p w:rsidR="00541B6C" w:rsidRPr="005F52E7" w:rsidRDefault="00700C79" w:rsidP="0096534D">
            <w:pPr>
              <w:spacing w:line="240" w:lineRule="auto"/>
              <w:jc w:val="both"/>
              <w:rPr>
                <w:rFonts w:ascii="Times New Roman" w:hAnsi="Times New Roman"/>
                <w:bCs/>
                <w:lang w:eastAsia="en-GB"/>
              </w:rPr>
            </w:pPr>
            <w:r>
              <w:rPr>
                <w:rFonts w:ascii="Times New Roman" w:hAnsi="Times New Roman"/>
                <w:bCs/>
                <w:lang w:eastAsia="en-GB"/>
              </w:rPr>
              <w:t>Component IV</w:t>
            </w:r>
            <w:r w:rsidR="00541B6C">
              <w:rPr>
                <w:rFonts w:ascii="Times New Roman" w:hAnsi="Times New Roman"/>
                <w:bCs/>
                <w:lang w:eastAsia="en-GB"/>
              </w:rPr>
              <w:t xml:space="preserve">: </w:t>
            </w:r>
            <w:r w:rsidR="00541B6C" w:rsidRPr="00BB2236">
              <w:rPr>
                <w:rFonts w:ascii="Times New Roman" w:hAnsi="Times New Roman"/>
                <w:bCs/>
                <w:lang w:eastAsia="en-GB"/>
              </w:rPr>
              <w:t>New legislation on supervision of insurance sector and on third party liability motor insurance aligned to EU acquis is developed and enforced.</w:t>
            </w: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541B6C" w:rsidRPr="00707225" w:rsidRDefault="00541B6C" w:rsidP="0096534D">
            <w:pPr>
              <w:spacing w:line="240" w:lineRule="auto"/>
              <w:jc w:val="both"/>
              <w:rPr>
                <w:rFonts w:ascii="Times New Roman" w:eastAsia="Times New Roman" w:hAnsi="Times New Roman" w:cs="Times New Roman"/>
                <w:lang w:eastAsia="en-GB"/>
              </w:rPr>
            </w:pPr>
            <w:r w:rsidRPr="00707225">
              <w:rPr>
                <w:rFonts w:ascii="Times New Roman" w:eastAsia="Times New Roman" w:hAnsi="Times New Roman" w:cs="Times New Roman"/>
                <w:lang w:eastAsia="en-GB"/>
              </w:rPr>
              <w:t>New draft primary legislation on insurance assessed regarding the compliance with EU Solvency II Directive and related framework;</w:t>
            </w:r>
          </w:p>
        </w:tc>
        <w:tc>
          <w:tcPr>
            <w:tcW w:w="2790" w:type="dxa"/>
            <w:vMerge w:val="restart"/>
            <w:tcBorders>
              <w:left w:val="single" w:sz="6" w:space="0" w:color="000000"/>
              <w:right w:val="single" w:sz="6" w:space="0" w:color="000000"/>
            </w:tcBorders>
            <w:tcMar>
              <w:top w:w="0" w:type="dxa"/>
              <w:left w:w="108" w:type="dxa"/>
              <w:bottom w:w="0" w:type="dxa"/>
              <w:right w:w="108" w:type="dxa"/>
            </w:tcMar>
          </w:tcPr>
          <w:p w:rsidR="00541B6C" w:rsidRDefault="00541B6C" w:rsidP="0096534D">
            <w:pPr>
              <w:spacing w:line="240" w:lineRule="auto"/>
              <w:jc w:val="both"/>
              <w:rPr>
                <w:rFonts w:ascii="Times New Roman" w:eastAsia="Times New Roman" w:hAnsi="Times New Roman" w:cs="Times New Roman"/>
                <w:lang w:eastAsia="en-GB"/>
              </w:rPr>
            </w:pPr>
            <w:r>
              <w:rPr>
                <w:rFonts w:ascii="Times New Roman" w:hAnsi="Times New Roman"/>
                <w:lang w:eastAsia="en-GB"/>
              </w:rPr>
              <w:t xml:space="preserve">Legislation </w:t>
            </w:r>
            <w:r w:rsidRPr="005F52E7">
              <w:rPr>
                <w:rFonts w:ascii="Times New Roman" w:hAnsi="Times New Roman"/>
                <w:lang w:eastAsia="en-GB"/>
              </w:rPr>
              <w:t>approved and published in the Official Monitor of the RM</w:t>
            </w:r>
            <w:r w:rsidRPr="00541B6C">
              <w:rPr>
                <w:rFonts w:ascii="Times New Roman" w:eastAsia="Times New Roman" w:hAnsi="Times New Roman" w:cs="Times New Roman"/>
                <w:lang w:eastAsia="en-GB"/>
              </w:rPr>
              <w:t xml:space="preserve"> </w:t>
            </w:r>
          </w:p>
          <w:p w:rsidR="00491A0F" w:rsidRDefault="00491A0F" w:rsidP="0096534D">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Annual report of NCFM</w:t>
            </w:r>
          </w:p>
          <w:p w:rsidR="00491A0F" w:rsidRDefault="00491A0F" w:rsidP="00491A0F">
            <w:pPr>
              <w:spacing w:after="120" w:line="240" w:lineRule="auto"/>
              <w:jc w:val="both"/>
              <w:rPr>
                <w:rFonts w:ascii="Times New Roman" w:hAnsi="Times New Roman"/>
                <w:lang w:eastAsia="en-GB"/>
              </w:rPr>
            </w:pPr>
            <w:r w:rsidRPr="00BF2B95">
              <w:rPr>
                <w:rFonts w:ascii="Times New Roman" w:hAnsi="Times New Roman"/>
                <w:bCs/>
                <w:lang w:eastAsia="en-GB"/>
              </w:rPr>
              <w:t xml:space="preserve">Qualitative assessment by </w:t>
            </w:r>
            <w:r w:rsidRPr="00BF2B95">
              <w:rPr>
                <w:rFonts w:ascii="Times New Roman" w:hAnsi="Times New Roman"/>
                <w:lang w:eastAsia="en-GB"/>
              </w:rPr>
              <w:t>the IMF/WB (FSAP) and other international institutions</w:t>
            </w:r>
          </w:p>
          <w:p w:rsidR="00491A0F" w:rsidRDefault="00491A0F" w:rsidP="0096534D">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Project's reports</w:t>
            </w:r>
          </w:p>
          <w:p w:rsidR="00491A0F" w:rsidRPr="005F52E7" w:rsidRDefault="00491A0F" w:rsidP="0096534D">
            <w:pPr>
              <w:spacing w:line="240" w:lineRule="auto"/>
              <w:jc w:val="both"/>
              <w:rPr>
                <w:rFonts w:ascii="Times New Roman" w:hAnsi="Times New Roman"/>
                <w:b/>
                <w:bCs/>
                <w:lang w:eastAsia="en-GB"/>
              </w:rPr>
            </w:pPr>
          </w:p>
        </w:tc>
        <w:tc>
          <w:tcPr>
            <w:tcW w:w="3130" w:type="dxa"/>
            <w:vMerge w:val="restart"/>
            <w:tcBorders>
              <w:left w:val="single" w:sz="6" w:space="0" w:color="000000"/>
              <w:right w:val="single" w:sz="4" w:space="0" w:color="000000"/>
            </w:tcBorders>
            <w:tcMar>
              <w:top w:w="0" w:type="dxa"/>
              <w:left w:w="108" w:type="dxa"/>
              <w:bottom w:w="0" w:type="dxa"/>
              <w:right w:w="108" w:type="dxa"/>
            </w:tcMar>
          </w:tcPr>
          <w:p w:rsidR="00CD4822" w:rsidRDefault="00CD4822" w:rsidP="00CD4822">
            <w:pPr>
              <w:spacing w:after="120" w:line="240" w:lineRule="auto"/>
              <w:jc w:val="both"/>
              <w:rPr>
                <w:rFonts w:ascii="Times New Roman" w:hAnsi="Times New Roman"/>
                <w:bCs/>
                <w:lang w:eastAsia="en-GB"/>
              </w:rPr>
            </w:pPr>
            <w:r>
              <w:rPr>
                <w:rFonts w:ascii="Times New Roman" w:hAnsi="Times New Roman"/>
                <w:bCs/>
                <w:lang w:eastAsia="en-GB"/>
              </w:rPr>
              <w:t xml:space="preserve">Draft laws on insurance and third </w:t>
            </w:r>
            <w:r w:rsidR="00740A35">
              <w:rPr>
                <w:rFonts w:ascii="Times New Roman" w:hAnsi="Times New Roman"/>
                <w:bCs/>
                <w:lang w:eastAsia="en-GB"/>
              </w:rPr>
              <w:t>parties liability</w:t>
            </w:r>
            <w:r w:rsidR="00991BEB">
              <w:rPr>
                <w:rFonts w:ascii="Times New Roman" w:hAnsi="Times New Roman"/>
                <w:bCs/>
                <w:lang w:eastAsia="en-GB"/>
              </w:rPr>
              <w:t xml:space="preserve"> </w:t>
            </w:r>
            <w:r w:rsidR="00740A35">
              <w:rPr>
                <w:rFonts w:ascii="Times New Roman" w:hAnsi="Times New Roman"/>
                <w:bCs/>
                <w:lang w:eastAsia="en-GB"/>
              </w:rPr>
              <w:t xml:space="preserve">motor insurance </w:t>
            </w:r>
            <w:r>
              <w:rPr>
                <w:rFonts w:ascii="Times New Roman" w:hAnsi="Times New Roman"/>
                <w:bCs/>
                <w:lang w:eastAsia="en-GB"/>
              </w:rPr>
              <w:t>prepared by WB by the beginning of the project</w:t>
            </w:r>
          </w:p>
          <w:p w:rsidR="00CD4822" w:rsidRPr="00343BE6" w:rsidRDefault="00CD4822" w:rsidP="00CD4822">
            <w:pPr>
              <w:spacing w:after="120" w:line="240" w:lineRule="auto"/>
              <w:jc w:val="both"/>
              <w:rPr>
                <w:rFonts w:ascii="Times New Roman" w:hAnsi="Times New Roman"/>
                <w:bCs/>
                <w:lang w:eastAsia="en-GB"/>
              </w:rPr>
            </w:pPr>
            <w:r>
              <w:rPr>
                <w:rFonts w:ascii="Times New Roman" w:hAnsi="Times New Roman"/>
                <w:bCs/>
                <w:lang w:eastAsia="en-GB"/>
              </w:rPr>
              <w:t>NCFM</w:t>
            </w:r>
            <w:r w:rsidRPr="00343BE6">
              <w:rPr>
                <w:rFonts w:ascii="Times New Roman" w:hAnsi="Times New Roman"/>
                <w:bCs/>
                <w:lang w:eastAsia="en-GB"/>
              </w:rPr>
              <w:t xml:space="preserve"> remains committed to the reforms</w:t>
            </w:r>
          </w:p>
          <w:p w:rsidR="00541B6C" w:rsidRPr="005F52E7" w:rsidRDefault="00CD4822" w:rsidP="00CD4822">
            <w:pPr>
              <w:spacing w:line="240" w:lineRule="auto"/>
              <w:jc w:val="both"/>
              <w:rPr>
                <w:rFonts w:ascii="Times New Roman" w:hAnsi="Times New Roman"/>
                <w:b/>
                <w:bCs/>
                <w:lang w:eastAsia="en-GB"/>
              </w:rPr>
            </w:pPr>
            <w:r w:rsidRPr="00343BE6">
              <w:rPr>
                <w:rFonts w:ascii="Times New Roman" w:hAnsi="Times New Roman"/>
                <w:bCs/>
                <w:lang w:eastAsia="en-GB"/>
              </w:rPr>
              <w:t>There is an appropriate involvement of the N</w:t>
            </w:r>
            <w:r>
              <w:rPr>
                <w:rFonts w:ascii="Times New Roman" w:hAnsi="Times New Roman"/>
                <w:bCs/>
                <w:lang w:eastAsia="en-GB"/>
              </w:rPr>
              <w:t>CFM</w:t>
            </w:r>
            <w:r w:rsidRPr="00343BE6">
              <w:rPr>
                <w:rFonts w:ascii="Times New Roman" w:hAnsi="Times New Roman"/>
                <w:bCs/>
                <w:lang w:eastAsia="en-GB"/>
              </w:rPr>
              <w:t xml:space="preserve"> staff in project's activities</w:t>
            </w:r>
          </w:p>
        </w:tc>
      </w:tr>
      <w:tr w:rsidR="00541B6C" w:rsidRPr="005F52E7" w:rsidTr="00532E79">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541B6C" w:rsidRPr="00707225" w:rsidRDefault="00541B6C" w:rsidP="00F94FF6">
            <w:pPr>
              <w:spacing w:line="240" w:lineRule="auto"/>
              <w:jc w:val="both"/>
              <w:rPr>
                <w:rFonts w:ascii="Times New Roman" w:eastAsia="Times New Roman" w:hAnsi="Times New Roman" w:cs="Times New Roman"/>
                <w:lang w:eastAsia="en-GB"/>
              </w:rPr>
            </w:pPr>
            <w:r w:rsidRPr="00707225">
              <w:rPr>
                <w:rFonts w:ascii="Times New Roman" w:eastAsia="Times New Roman" w:hAnsi="Times New Roman" w:cs="Times New Roman"/>
                <w:lang w:eastAsia="en-GB"/>
              </w:rPr>
              <w:t xml:space="preserve">New secondary legal framework on supervision of insurance sector and on third party liability motor insurance aligned to EU acquis is developed and approved; </w:t>
            </w:r>
          </w:p>
        </w:tc>
        <w:tc>
          <w:tcPr>
            <w:tcW w:w="2790" w:type="dxa"/>
            <w:vMerge/>
            <w:tcBorders>
              <w:left w:val="single" w:sz="6"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r>
      <w:tr w:rsidR="00541B6C" w:rsidRPr="005F52E7" w:rsidTr="00532E79">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541B6C" w:rsidRPr="00707225" w:rsidRDefault="00541B6C" w:rsidP="0096534D">
            <w:pPr>
              <w:spacing w:line="240" w:lineRule="auto"/>
              <w:jc w:val="both"/>
              <w:rPr>
                <w:rFonts w:ascii="Times New Roman" w:eastAsia="Times New Roman" w:hAnsi="Times New Roman" w:cs="Times New Roman"/>
                <w:lang w:eastAsia="en-GB"/>
              </w:rPr>
            </w:pPr>
            <w:r w:rsidRPr="00707225">
              <w:rPr>
                <w:rFonts w:ascii="Times New Roman" w:eastAsia="Times New Roman" w:hAnsi="Times New Roman" w:cs="Times New Roman"/>
                <w:lang w:eastAsia="en-GB"/>
              </w:rPr>
              <w:t>All relevant employees responsible for insurance licensing, authorisation and supervision are capacitated to effectively enforce the new regulatory framework.</w:t>
            </w:r>
          </w:p>
        </w:tc>
        <w:tc>
          <w:tcPr>
            <w:tcW w:w="2790" w:type="dxa"/>
            <w:vMerge/>
            <w:tcBorders>
              <w:left w:val="single" w:sz="6"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r>
      <w:tr w:rsidR="00541B6C" w:rsidRPr="005F52E7" w:rsidTr="00532E79">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541B6C" w:rsidRPr="00707225" w:rsidRDefault="00541B6C" w:rsidP="0096534D">
            <w:pPr>
              <w:spacing w:line="240" w:lineRule="auto"/>
              <w:jc w:val="both"/>
              <w:rPr>
                <w:rFonts w:ascii="Times New Roman" w:eastAsia="Times New Roman" w:hAnsi="Times New Roman" w:cs="Times New Roman"/>
                <w:lang w:eastAsia="en-GB"/>
              </w:rPr>
            </w:pPr>
            <w:r w:rsidRPr="00707225">
              <w:rPr>
                <w:rFonts w:ascii="Times New Roman" w:eastAsia="Times New Roman" w:hAnsi="Times New Roman" w:cs="Times New Roman"/>
                <w:lang w:eastAsia="en-GB"/>
              </w:rPr>
              <w:t>Risk matrixes per each insurance company and per sector as a whole developed and enforced</w:t>
            </w:r>
          </w:p>
        </w:tc>
        <w:tc>
          <w:tcPr>
            <w:tcW w:w="2790" w:type="dxa"/>
            <w:vMerge/>
            <w:tcBorders>
              <w:left w:val="single" w:sz="6"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r>
      <w:tr w:rsidR="00541B6C" w:rsidRPr="005F52E7" w:rsidTr="004E629E">
        <w:trPr>
          <w:trHeight w:val="355"/>
        </w:trPr>
        <w:tc>
          <w:tcPr>
            <w:tcW w:w="3226" w:type="dxa"/>
            <w:vMerge/>
            <w:tcBorders>
              <w:left w:val="single" w:sz="12" w:space="0" w:color="000000"/>
              <w:bottom w:val="single" w:sz="4"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541B6C" w:rsidRPr="00707225" w:rsidRDefault="00541B6C" w:rsidP="0096534D">
            <w:pPr>
              <w:spacing w:line="240" w:lineRule="auto"/>
              <w:jc w:val="both"/>
              <w:rPr>
                <w:rFonts w:ascii="Times New Roman" w:eastAsia="Times New Roman" w:hAnsi="Times New Roman" w:cs="Times New Roman"/>
                <w:lang w:eastAsia="en-GB"/>
              </w:rPr>
            </w:pPr>
            <w:r w:rsidRPr="00707225">
              <w:rPr>
                <w:rFonts w:ascii="Times New Roman" w:eastAsia="Times New Roman" w:hAnsi="Times New Roman" w:cs="Times New Roman"/>
                <w:lang w:eastAsia="en-GB"/>
              </w:rPr>
              <w:t>Solvency Capital Requirements enforced and reported to NCFM by all insurers</w:t>
            </w:r>
          </w:p>
        </w:tc>
        <w:tc>
          <w:tcPr>
            <w:tcW w:w="2790" w:type="dxa"/>
            <w:vMerge/>
            <w:tcBorders>
              <w:left w:val="single" w:sz="6" w:space="0" w:color="000000"/>
              <w:bottom w:val="single" w:sz="4" w:space="0" w:color="000000"/>
              <w:right w:val="single" w:sz="6"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c>
          <w:tcPr>
            <w:tcW w:w="3130" w:type="dxa"/>
            <w:vMerge/>
            <w:tcBorders>
              <w:left w:val="single" w:sz="6" w:space="0" w:color="000000"/>
              <w:bottom w:val="single" w:sz="4" w:space="0" w:color="000000"/>
              <w:right w:val="single" w:sz="4" w:space="0" w:color="000000"/>
            </w:tcBorders>
            <w:tcMar>
              <w:top w:w="0" w:type="dxa"/>
              <w:left w:w="108" w:type="dxa"/>
              <w:bottom w:w="0" w:type="dxa"/>
              <w:right w:w="108" w:type="dxa"/>
            </w:tcMar>
          </w:tcPr>
          <w:p w:rsidR="00541B6C" w:rsidRPr="005F52E7" w:rsidRDefault="00541B6C" w:rsidP="0096534D">
            <w:pPr>
              <w:spacing w:line="240" w:lineRule="auto"/>
              <w:jc w:val="both"/>
              <w:rPr>
                <w:rFonts w:ascii="Times New Roman" w:hAnsi="Times New Roman"/>
                <w:b/>
                <w:bCs/>
                <w:lang w:eastAsia="en-GB"/>
              </w:rPr>
            </w:pPr>
          </w:p>
        </w:tc>
      </w:tr>
      <w:tr w:rsidR="00190B6C" w:rsidRPr="005F52E7" w:rsidTr="00176C25">
        <w:trPr>
          <w:trHeight w:val="355"/>
        </w:trPr>
        <w:tc>
          <w:tcPr>
            <w:tcW w:w="3226" w:type="dxa"/>
            <w:vMerge w:val="restart"/>
            <w:tcBorders>
              <w:left w:val="single" w:sz="12" w:space="0" w:color="000000"/>
              <w:right w:val="single" w:sz="6" w:space="0" w:color="000000"/>
            </w:tcBorders>
            <w:tcMar>
              <w:top w:w="0" w:type="dxa"/>
              <w:left w:w="108" w:type="dxa"/>
              <w:bottom w:w="0" w:type="dxa"/>
              <w:right w:w="108" w:type="dxa"/>
            </w:tcMar>
          </w:tcPr>
          <w:p w:rsidR="00190B6C" w:rsidRPr="00994B05" w:rsidRDefault="00190B6C" w:rsidP="0096534D">
            <w:pPr>
              <w:spacing w:line="240" w:lineRule="auto"/>
              <w:jc w:val="both"/>
              <w:rPr>
                <w:rFonts w:ascii="Times New Roman" w:hAnsi="Times New Roman"/>
                <w:bCs/>
                <w:lang w:eastAsia="en-GB"/>
              </w:rPr>
            </w:pPr>
            <w:r>
              <w:rPr>
                <w:rFonts w:ascii="Times New Roman" w:eastAsia="Times New Roman" w:hAnsi="Times New Roman" w:cs="Times New Roman"/>
                <w:lang w:eastAsia="en-GB"/>
              </w:rPr>
              <w:t>Component V</w:t>
            </w:r>
            <w:r w:rsidRPr="00994B05">
              <w:rPr>
                <w:rFonts w:ascii="Times New Roman" w:eastAsia="Times New Roman" w:hAnsi="Times New Roman" w:cs="Times New Roman"/>
                <w:lang w:eastAsia="en-GB"/>
              </w:rPr>
              <w:t>: A new legal framework strengthening supervision of non-bank credit organisations is developed and enforced</w:t>
            </w: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190B6C" w:rsidRPr="00994B05" w:rsidRDefault="00190B6C" w:rsidP="00994B05">
            <w:pPr>
              <w:spacing w:line="240" w:lineRule="auto"/>
              <w:jc w:val="both"/>
              <w:rPr>
                <w:rFonts w:ascii="Times New Roman" w:eastAsia="Times New Roman" w:hAnsi="Times New Roman" w:cs="Times New Roman"/>
                <w:lang w:eastAsia="en-GB"/>
              </w:rPr>
            </w:pPr>
            <w:r w:rsidRPr="00994B05">
              <w:rPr>
                <w:rFonts w:ascii="Times New Roman" w:eastAsia="Times New Roman" w:hAnsi="Times New Roman" w:cs="Times New Roman"/>
                <w:lang w:eastAsia="en-GB"/>
              </w:rPr>
              <w:t xml:space="preserve">Necessary methodologies, regulatory and supervisory tools under the new legal framework (primary and secondary legislation) are fully developed and enforced, including: </w:t>
            </w:r>
          </w:p>
          <w:p w:rsidR="00190B6C" w:rsidRPr="00994B05" w:rsidRDefault="00190B6C" w:rsidP="00994B05">
            <w:pPr>
              <w:spacing w:after="0" w:line="240" w:lineRule="auto"/>
              <w:jc w:val="both"/>
              <w:rPr>
                <w:rFonts w:ascii="Times New Roman" w:eastAsia="Times New Roman" w:hAnsi="Times New Roman" w:cs="Times New Roman"/>
                <w:lang w:eastAsia="en-GB"/>
              </w:rPr>
            </w:pPr>
            <w:r w:rsidRPr="00994B05">
              <w:rPr>
                <w:rFonts w:ascii="Times New Roman" w:eastAsia="Times New Roman" w:hAnsi="Times New Roman" w:cs="Times New Roman"/>
                <w:lang w:eastAsia="en-GB"/>
              </w:rPr>
              <w:t>- Guidelines for assessing the transparency of the ownership structure of the non-bank credit organisations and updating of information about founders (ultimate beneficiaries) prepared and enforced;</w:t>
            </w:r>
          </w:p>
          <w:p w:rsidR="00190B6C" w:rsidRPr="00994B05" w:rsidRDefault="00190B6C" w:rsidP="00994B05">
            <w:pPr>
              <w:spacing w:after="0" w:line="240" w:lineRule="auto"/>
              <w:jc w:val="both"/>
              <w:rPr>
                <w:rFonts w:ascii="Times New Roman" w:eastAsia="Times New Roman" w:hAnsi="Times New Roman" w:cs="Times New Roman"/>
                <w:lang w:eastAsia="en-GB"/>
              </w:rPr>
            </w:pPr>
            <w:r w:rsidRPr="00994B05">
              <w:rPr>
                <w:rFonts w:ascii="Times New Roman" w:eastAsia="Times New Roman" w:hAnsi="Times New Roman" w:cs="Times New Roman"/>
                <w:lang w:eastAsia="en-GB"/>
              </w:rPr>
              <w:t>- Over-indebtedness index of population assessed and mitigating measures are formulated;</w:t>
            </w:r>
          </w:p>
          <w:p w:rsidR="00190B6C" w:rsidRPr="00994B05" w:rsidRDefault="00190B6C" w:rsidP="00994B05">
            <w:pPr>
              <w:spacing w:after="0" w:line="240" w:lineRule="auto"/>
              <w:jc w:val="both"/>
              <w:rPr>
                <w:rFonts w:ascii="Times New Roman" w:eastAsia="Times New Roman" w:hAnsi="Times New Roman" w:cs="Times New Roman"/>
                <w:lang w:eastAsia="en-GB"/>
              </w:rPr>
            </w:pPr>
            <w:r w:rsidRPr="00994B05">
              <w:rPr>
                <w:rFonts w:ascii="Times New Roman" w:eastAsia="Times New Roman" w:hAnsi="Times New Roman" w:cs="Times New Roman"/>
                <w:lang w:eastAsia="en-GB"/>
              </w:rPr>
              <w:t>- Portfolio at risk indicator for non-bank credit organisations assessed and monitored;</w:t>
            </w:r>
          </w:p>
          <w:p w:rsidR="00190B6C" w:rsidRPr="00700C79" w:rsidRDefault="00190B6C" w:rsidP="00994B05">
            <w:pPr>
              <w:spacing w:after="0" w:line="240" w:lineRule="auto"/>
              <w:jc w:val="both"/>
              <w:rPr>
                <w:rFonts w:ascii="Times New Roman" w:eastAsia="Times New Roman" w:hAnsi="Times New Roman" w:cs="Times New Roman"/>
                <w:lang w:eastAsia="en-GB"/>
              </w:rPr>
            </w:pPr>
            <w:r w:rsidRPr="00994B05">
              <w:rPr>
                <w:rFonts w:ascii="Times New Roman" w:eastAsia="Times New Roman" w:hAnsi="Times New Roman" w:cs="Times New Roman"/>
                <w:lang w:eastAsia="en-GB"/>
              </w:rPr>
              <w:t>- Increased accuracy and quality of financial data reported by the operators</w:t>
            </w:r>
          </w:p>
        </w:tc>
        <w:tc>
          <w:tcPr>
            <w:tcW w:w="2790" w:type="dxa"/>
            <w:vMerge w:val="restart"/>
            <w:tcBorders>
              <w:left w:val="single" w:sz="6" w:space="0" w:color="000000"/>
              <w:right w:val="single" w:sz="6" w:space="0" w:color="000000"/>
            </w:tcBorders>
            <w:tcMar>
              <w:top w:w="0" w:type="dxa"/>
              <w:left w:w="108" w:type="dxa"/>
              <w:bottom w:w="0" w:type="dxa"/>
              <w:right w:w="108" w:type="dxa"/>
            </w:tcMar>
          </w:tcPr>
          <w:p w:rsidR="00190B6C" w:rsidRDefault="00190B6C" w:rsidP="00C724EB">
            <w:pPr>
              <w:spacing w:line="240" w:lineRule="auto"/>
              <w:jc w:val="both"/>
              <w:rPr>
                <w:rFonts w:ascii="Times New Roman" w:hAnsi="Times New Roman"/>
                <w:lang w:eastAsia="en-GB"/>
              </w:rPr>
            </w:pPr>
            <w:r w:rsidRPr="005F52E7">
              <w:rPr>
                <w:rFonts w:ascii="Times New Roman" w:hAnsi="Times New Roman"/>
                <w:lang w:eastAsia="en-GB"/>
              </w:rPr>
              <w:t>Regulations</w:t>
            </w:r>
            <w:r>
              <w:rPr>
                <w:rFonts w:ascii="Times New Roman" w:hAnsi="Times New Roman"/>
                <w:lang w:eastAsia="en-GB"/>
              </w:rPr>
              <w:t xml:space="preserve"> publicly available</w:t>
            </w:r>
          </w:p>
          <w:p w:rsidR="00190B6C" w:rsidRDefault="00190B6C" w:rsidP="00C724EB">
            <w:pPr>
              <w:spacing w:line="240" w:lineRule="auto"/>
              <w:jc w:val="both"/>
              <w:rPr>
                <w:rFonts w:ascii="Times New Roman" w:hAnsi="Times New Roman"/>
                <w:lang w:eastAsia="en-GB"/>
              </w:rPr>
            </w:pPr>
            <w:r>
              <w:rPr>
                <w:rFonts w:ascii="Times New Roman" w:hAnsi="Times New Roman"/>
                <w:lang w:eastAsia="en-GB"/>
              </w:rPr>
              <w:t>Over-indebtedness Index and the mitigating measures are published on NCFM website</w:t>
            </w:r>
          </w:p>
          <w:p w:rsidR="00190B6C" w:rsidRDefault="00190B6C" w:rsidP="00C724EB">
            <w:pPr>
              <w:spacing w:line="240" w:lineRule="auto"/>
              <w:jc w:val="both"/>
              <w:rPr>
                <w:rFonts w:ascii="Times New Roman" w:hAnsi="Times New Roman"/>
                <w:lang w:eastAsia="en-GB"/>
              </w:rPr>
            </w:pPr>
            <w:r>
              <w:rPr>
                <w:rFonts w:ascii="Times New Roman" w:hAnsi="Times New Roman"/>
                <w:lang w:eastAsia="en-GB"/>
              </w:rPr>
              <w:t>NCFM reports</w:t>
            </w:r>
          </w:p>
          <w:p w:rsidR="00190B6C" w:rsidRPr="005F52E7" w:rsidRDefault="00190B6C" w:rsidP="00C724EB">
            <w:pPr>
              <w:spacing w:line="240" w:lineRule="auto"/>
              <w:jc w:val="both"/>
              <w:rPr>
                <w:rFonts w:ascii="Times New Roman" w:hAnsi="Times New Roman"/>
                <w:lang w:eastAsia="en-GB"/>
              </w:rPr>
            </w:pPr>
            <w:r>
              <w:rPr>
                <w:rFonts w:ascii="Times New Roman" w:hAnsi="Times New Roman"/>
                <w:lang w:eastAsia="en-GB"/>
              </w:rPr>
              <w:t>Project's reports</w:t>
            </w:r>
          </w:p>
          <w:p w:rsidR="00190B6C" w:rsidRPr="00700C79" w:rsidRDefault="00190B6C" w:rsidP="00C724EB">
            <w:pPr>
              <w:spacing w:line="240" w:lineRule="auto"/>
              <w:jc w:val="both"/>
              <w:rPr>
                <w:rFonts w:ascii="Times New Roman" w:hAnsi="Times New Roman"/>
                <w:b/>
                <w:bCs/>
                <w:lang w:eastAsia="en-GB"/>
              </w:rPr>
            </w:pPr>
            <w:r w:rsidRPr="005F52E7">
              <w:rPr>
                <w:rFonts w:ascii="Times New Roman" w:hAnsi="Times New Roman"/>
                <w:lang w:eastAsia="en-GB"/>
              </w:rPr>
              <w:t>Reports prepared by the IMF/WB (FSAP) and other international institutions</w:t>
            </w:r>
          </w:p>
        </w:tc>
        <w:tc>
          <w:tcPr>
            <w:tcW w:w="3130" w:type="dxa"/>
            <w:vMerge w:val="restart"/>
            <w:tcBorders>
              <w:left w:val="single" w:sz="6" w:space="0" w:color="000000"/>
              <w:right w:val="single" w:sz="4" w:space="0" w:color="000000"/>
            </w:tcBorders>
            <w:tcMar>
              <w:top w:w="0" w:type="dxa"/>
              <w:left w:w="108" w:type="dxa"/>
              <w:bottom w:w="0" w:type="dxa"/>
              <w:right w:w="108" w:type="dxa"/>
            </w:tcMar>
          </w:tcPr>
          <w:p w:rsidR="00190B6C" w:rsidRPr="005F079C" w:rsidRDefault="00AE5154" w:rsidP="0096534D">
            <w:pPr>
              <w:spacing w:line="240" w:lineRule="auto"/>
              <w:jc w:val="both"/>
              <w:rPr>
                <w:rFonts w:ascii="Times New Roman" w:hAnsi="Times New Roman"/>
                <w:lang w:eastAsia="en-GB"/>
              </w:rPr>
            </w:pPr>
            <w:r w:rsidRPr="005F079C">
              <w:rPr>
                <w:rFonts w:ascii="Times New Roman" w:hAnsi="Times New Roman"/>
                <w:lang w:eastAsia="en-GB"/>
              </w:rPr>
              <w:t xml:space="preserve">The new law </w:t>
            </w:r>
            <w:r w:rsidR="005F079C" w:rsidRPr="005F079C">
              <w:rPr>
                <w:rFonts w:ascii="Times New Roman" w:hAnsi="Times New Roman"/>
                <w:lang w:eastAsia="en-GB"/>
              </w:rPr>
              <w:t xml:space="preserve">and </w:t>
            </w:r>
            <w:r w:rsidRPr="005F079C">
              <w:rPr>
                <w:rFonts w:ascii="Times New Roman" w:hAnsi="Times New Roman"/>
                <w:lang w:eastAsia="en-GB"/>
              </w:rPr>
              <w:t xml:space="preserve">secondary </w:t>
            </w:r>
            <w:r w:rsidR="005F079C" w:rsidRPr="005F079C">
              <w:rPr>
                <w:rFonts w:ascii="Times New Roman" w:hAnsi="Times New Roman"/>
                <w:lang w:eastAsia="en-GB"/>
              </w:rPr>
              <w:t>legislation</w:t>
            </w:r>
            <w:r w:rsidRPr="005F079C">
              <w:rPr>
                <w:rFonts w:ascii="Times New Roman" w:hAnsi="Times New Roman"/>
                <w:lang w:eastAsia="en-GB"/>
              </w:rPr>
              <w:t xml:space="preserve"> on non-bank credit institutions is in force before the start of the project</w:t>
            </w:r>
          </w:p>
          <w:p w:rsidR="00766FE9" w:rsidRPr="005F079C" w:rsidRDefault="00766FE9" w:rsidP="00766FE9">
            <w:pPr>
              <w:spacing w:after="120" w:line="240" w:lineRule="auto"/>
              <w:jc w:val="both"/>
              <w:rPr>
                <w:rFonts w:ascii="Times New Roman" w:hAnsi="Times New Roman"/>
                <w:bCs/>
                <w:lang w:eastAsia="en-GB"/>
              </w:rPr>
            </w:pPr>
            <w:r w:rsidRPr="005F079C">
              <w:rPr>
                <w:rFonts w:ascii="Times New Roman" w:hAnsi="Times New Roman"/>
                <w:bCs/>
                <w:lang w:eastAsia="en-GB"/>
              </w:rPr>
              <w:t>NCFM remains committed to the reforms</w:t>
            </w:r>
          </w:p>
          <w:p w:rsidR="00766FE9" w:rsidRDefault="00766FE9" w:rsidP="00766FE9">
            <w:pPr>
              <w:spacing w:line="240" w:lineRule="auto"/>
              <w:jc w:val="both"/>
              <w:rPr>
                <w:rFonts w:ascii="Times New Roman" w:hAnsi="Times New Roman"/>
                <w:lang w:eastAsia="en-GB"/>
              </w:rPr>
            </w:pPr>
            <w:r w:rsidRPr="005F079C">
              <w:rPr>
                <w:rFonts w:ascii="Times New Roman" w:hAnsi="Times New Roman"/>
                <w:bCs/>
                <w:lang w:eastAsia="en-GB"/>
              </w:rPr>
              <w:t>There</w:t>
            </w:r>
            <w:r w:rsidRPr="00343BE6">
              <w:rPr>
                <w:rFonts w:ascii="Times New Roman" w:hAnsi="Times New Roman"/>
                <w:bCs/>
                <w:lang w:eastAsia="en-GB"/>
              </w:rPr>
              <w:t xml:space="preserve"> is an appropriate involvement of the N</w:t>
            </w:r>
            <w:r>
              <w:rPr>
                <w:rFonts w:ascii="Times New Roman" w:hAnsi="Times New Roman"/>
                <w:bCs/>
                <w:lang w:eastAsia="en-GB"/>
              </w:rPr>
              <w:t>CFM</w:t>
            </w:r>
            <w:r w:rsidRPr="00343BE6">
              <w:rPr>
                <w:rFonts w:ascii="Times New Roman" w:hAnsi="Times New Roman"/>
                <w:bCs/>
                <w:lang w:eastAsia="en-GB"/>
              </w:rPr>
              <w:t xml:space="preserve"> staff in project's activities</w:t>
            </w:r>
          </w:p>
          <w:p w:rsidR="00766FE9" w:rsidRPr="00700C79" w:rsidRDefault="00766FE9" w:rsidP="0096534D">
            <w:pPr>
              <w:spacing w:line="240" w:lineRule="auto"/>
              <w:jc w:val="both"/>
              <w:rPr>
                <w:rFonts w:ascii="Times New Roman" w:hAnsi="Times New Roman"/>
                <w:b/>
                <w:bCs/>
                <w:lang w:eastAsia="en-GB"/>
              </w:rPr>
            </w:pPr>
          </w:p>
        </w:tc>
      </w:tr>
      <w:tr w:rsidR="00190B6C" w:rsidRPr="005F52E7" w:rsidTr="00176C25">
        <w:trPr>
          <w:trHeight w:val="355"/>
        </w:trPr>
        <w:tc>
          <w:tcPr>
            <w:tcW w:w="3226" w:type="dxa"/>
            <w:vMerge/>
            <w:tcBorders>
              <w:left w:val="single" w:sz="12" w:space="0" w:color="000000"/>
              <w:right w:val="single" w:sz="6"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eastAsia="Times New Roman" w:hAnsi="Times New Roman" w:cs="Times New Roman"/>
                <w:lang w:eastAsia="en-GB"/>
              </w:rPr>
            </w:pPr>
            <w:r w:rsidRPr="00994B05">
              <w:rPr>
                <w:rFonts w:ascii="Times New Roman" w:eastAsia="Times New Roman" w:hAnsi="Times New Roman" w:cs="Times New Roman"/>
                <w:lang w:eastAsia="en-GB"/>
              </w:rPr>
              <w:t>Internal procedures for "fit and proper" criteria for administrators of non-bank credit institutions developed and implemented;</w:t>
            </w:r>
          </w:p>
        </w:tc>
        <w:tc>
          <w:tcPr>
            <w:tcW w:w="2790" w:type="dxa"/>
            <w:vMerge/>
            <w:tcBorders>
              <w:left w:val="single" w:sz="6" w:space="0" w:color="000000"/>
              <w:right w:val="single" w:sz="6"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hAnsi="Times New Roman"/>
                <w:b/>
                <w:bCs/>
                <w:lang w:eastAsia="en-GB"/>
              </w:rPr>
            </w:pPr>
          </w:p>
        </w:tc>
        <w:tc>
          <w:tcPr>
            <w:tcW w:w="3130" w:type="dxa"/>
            <w:vMerge/>
            <w:tcBorders>
              <w:left w:val="single" w:sz="6" w:space="0" w:color="000000"/>
              <w:right w:val="single" w:sz="4"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hAnsi="Times New Roman"/>
                <w:b/>
                <w:bCs/>
                <w:lang w:eastAsia="en-GB"/>
              </w:rPr>
            </w:pPr>
          </w:p>
        </w:tc>
      </w:tr>
      <w:tr w:rsidR="00190B6C" w:rsidRPr="005F52E7" w:rsidTr="004E629E">
        <w:trPr>
          <w:trHeight w:val="355"/>
        </w:trPr>
        <w:tc>
          <w:tcPr>
            <w:tcW w:w="3226" w:type="dxa"/>
            <w:vMerge/>
            <w:tcBorders>
              <w:left w:val="single" w:sz="12" w:space="0" w:color="000000"/>
              <w:bottom w:val="single" w:sz="4" w:space="0" w:color="000000"/>
              <w:right w:val="single" w:sz="6"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hAnsi="Times New Roman"/>
                <w:bCs/>
                <w:lang w:eastAsia="en-GB"/>
              </w:rPr>
            </w:pPr>
          </w:p>
        </w:tc>
        <w:tc>
          <w:tcPr>
            <w:tcW w:w="432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eastAsia="Times New Roman" w:hAnsi="Times New Roman" w:cs="Times New Roman"/>
                <w:lang w:eastAsia="en-GB"/>
              </w:rPr>
            </w:pPr>
            <w:r w:rsidRPr="00994B05">
              <w:rPr>
                <w:rFonts w:ascii="Times New Roman" w:eastAsia="Times New Roman" w:hAnsi="Times New Roman" w:cs="Times New Roman"/>
                <w:lang w:eastAsia="en-GB"/>
              </w:rPr>
              <w:t>All relevant employees are capacitated to effectively enforce the new regulatory framework</w:t>
            </w:r>
          </w:p>
        </w:tc>
        <w:tc>
          <w:tcPr>
            <w:tcW w:w="2790" w:type="dxa"/>
            <w:vMerge/>
            <w:tcBorders>
              <w:left w:val="single" w:sz="6" w:space="0" w:color="000000"/>
              <w:bottom w:val="single" w:sz="4" w:space="0" w:color="000000"/>
              <w:right w:val="single" w:sz="6"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hAnsi="Times New Roman"/>
                <w:b/>
                <w:bCs/>
                <w:lang w:eastAsia="en-GB"/>
              </w:rPr>
            </w:pPr>
          </w:p>
        </w:tc>
        <w:tc>
          <w:tcPr>
            <w:tcW w:w="3130" w:type="dxa"/>
            <w:vMerge/>
            <w:tcBorders>
              <w:left w:val="single" w:sz="6" w:space="0" w:color="000000"/>
              <w:bottom w:val="single" w:sz="4" w:space="0" w:color="000000"/>
              <w:right w:val="single" w:sz="4" w:space="0" w:color="000000"/>
            </w:tcBorders>
            <w:tcMar>
              <w:top w:w="0" w:type="dxa"/>
              <w:left w:w="108" w:type="dxa"/>
              <w:bottom w:w="0" w:type="dxa"/>
              <w:right w:w="108" w:type="dxa"/>
            </w:tcMar>
          </w:tcPr>
          <w:p w:rsidR="00190B6C" w:rsidRPr="00700C79" w:rsidRDefault="00190B6C" w:rsidP="0096534D">
            <w:pPr>
              <w:spacing w:line="240" w:lineRule="auto"/>
              <w:jc w:val="both"/>
              <w:rPr>
                <w:rFonts w:ascii="Times New Roman" w:hAnsi="Times New Roman"/>
                <w:b/>
                <w:bCs/>
                <w:lang w:eastAsia="en-GB"/>
              </w:rPr>
            </w:pPr>
          </w:p>
        </w:tc>
      </w:tr>
    </w:tbl>
    <w:p w:rsidR="003D35A7" w:rsidRPr="00252AF5" w:rsidRDefault="003D35A7" w:rsidP="003D35A7">
      <w:pPr>
        <w:rPr>
          <w:sz w:val="2"/>
          <w:szCs w:val="2"/>
        </w:rPr>
      </w:pPr>
    </w:p>
    <w:p w:rsidR="0096534D" w:rsidRPr="00444F72" w:rsidRDefault="0096534D">
      <w:pPr>
        <w:rPr>
          <w:sz w:val="2"/>
          <w:szCs w:val="2"/>
        </w:rPr>
      </w:pPr>
    </w:p>
    <w:sectPr w:rsidR="0096534D" w:rsidRPr="00444F72" w:rsidSect="0096534D">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6524FA" w15:done="0"/>
  <w15:commentEx w15:paraId="3748487D" w15:done="0"/>
  <w15:commentEx w15:paraId="6B11A9B1" w15:done="0"/>
  <w15:commentEx w15:paraId="1FA7D3AE" w15:done="0"/>
  <w15:commentEx w15:paraId="04706EBD" w15:done="0"/>
  <w15:commentEx w15:paraId="685508CC" w15:done="0"/>
  <w15:commentEx w15:paraId="331FACF1" w15:paraIdParent="68550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1" w:rsidRDefault="007513E1">
      <w:pPr>
        <w:spacing w:after="0" w:line="240" w:lineRule="auto"/>
      </w:pPr>
      <w:r>
        <w:separator/>
      </w:r>
    </w:p>
  </w:endnote>
  <w:endnote w:type="continuationSeparator" w:id="0">
    <w:p w:rsidR="007513E1" w:rsidRDefault="0075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CA" w:rsidRDefault="00A716CA" w:rsidP="0061777D">
    <w:pPr>
      <w:pStyle w:val="Footer"/>
      <w:framePr w:wrap="around" w:vAnchor="text" w:hAnchor="margin" w:xAlign="center" w:y="1"/>
      <w:jc w:val="center"/>
      <w:rPr>
        <w:noProof/>
      </w:rPr>
    </w:pPr>
    <w:bookmarkStart w:id="15" w:name="TITUS1FooterEvenPages"/>
    <w:r>
      <w:rPr>
        <w:noProof/>
      </w:rPr>
      <w:t xml:space="preserve"> </w:t>
    </w:r>
  </w:p>
  <w:p w:rsidR="00A716CA" w:rsidRDefault="00A716CA" w:rsidP="0061777D">
    <w:pPr>
      <w:pStyle w:val="Footer"/>
      <w:framePr w:wrap="around" w:vAnchor="text" w:hAnchor="margin" w:xAlign="center" w:y="1"/>
      <w:jc w:val="left"/>
      <w:rPr>
        <w:noProof/>
      </w:rPr>
    </w:pPr>
    <w:r>
      <w:rPr>
        <w:noProof/>
      </w:rPr>
      <w:t xml:space="preserve"> </w:t>
    </w:r>
  </w:p>
  <w:bookmarkEnd w:id="15"/>
  <w:p w:rsidR="00A716CA" w:rsidRPr="007338F0" w:rsidRDefault="00A716CA" w:rsidP="0061777D">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A84BF4">
      <w:rPr>
        <w:noProof/>
      </w:rPr>
      <w:t>- 2 -</w:t>
    </w:r>
    <w:r w:rsidRPr="007338F0">
      <w:rPr>
        <w:noProof/>
      </w:rPr>
      <w:fldChar w:fldCharType="end"/>
    </w:r>
  </w:p>
  <w:p w:rsidR="00A716CA" w:rsidRDefault="00A716CA" w:rsidP="0061777D">
    <w:pPr>
      <w:pStyle w:val="Footer"/>
      <w:framePr w:wrap="around" w:vAnchor="text" w:hAnchor="margin" w:xAlign="center" w:y="1"/>
      <w:rPr>
        <w:rStyle w:val="PageNumber"/>
      </w:rPr>
    </w:pPr>
  </w:p>
  <w:p w:rsidR="00A716CA" w:rsidRDefault="00A716CA" w:rsidP="0061777D">
    <w:pPr>
      <w:pStyle w:val="Footer"/>
      <w:rPr>
        <w:rFonts w:ascii="Arial" w:hAnsi="Arial"/>
        <w:sz w:val="16"/>
      </w:rPr>
    </w:pPr>
  </w:p>
  <w:p w:rsidR="00A716CA" w:rsidRDefault="00A71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CA" w:rsidRDefault="00A716CA" w:rsidP="0061777D">
    <w:pPr>
      <w:pStyle w:val="Footer"/>
      <w:framePr w:wrap="around" w:vAnchor="text" w:hAnchor="margin" w:xAlign="center" w:y="1"/>
      <w:jc w:val="center"/>
      <w:rPr>
        <w:noProof/>
      </w:rPr>
    </w:pPr>
    <w:bookmarkStart w:id="16" w:name="TITUS1FooterPrimary"/>
    <w:r>
      <w:rPr>
        <w:noProof/>
      </w:rPr>
      <w:t xml:space="preserve"> </w:t>
    </w:r>
  </w:p>
  <w:p w:rsidR="00A716CA" w:rsidRDefault="00A716CA" w:rsidP="0061777D">
    <w:pPr>
      <w:pStyle w:val="Footer"/>
      <w:framePr w:wrap="around" w:vAnchor="text" w:hAnchor="margin" w:xAlign="center" w:y="1"/>
      <w:jc w:val="left"/>
      <w:rPr>
        <w:noProof/>
      </w:rPr>
    </w:pPr>
    <w:r>
      <w:rPr>
        <w:noProof/>
      </w:rPr>
      <w:t xml:space="preserve"> </w:t>
    </w:r>
  </w:p>
  <w:bookmarkEnd w:id="16"/>
  <w:p w:rsidR="00A716CA" w:rsidRPr="007338F0" w:rsidRDefault="00A716CA">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A84BF4">
      <w:rPr>
        <w:noProof/>
      </w:rPr>
      <w:t>- 1 -</w:t>
    </w:r>
    <w:r w:rsidRPr="007338F0">
      <w:rPr>
        <w:noProof/>
      </w:rPr>
      <w:fldChar w:fldCharType="end"/>
    </w:r>
  </w:p>
  <w:p w:rsidR="00A716CA" w:rsidRDefault="00A716CA">
    <w:pPr>
      <w:pStyle w:val="Footer"/>
      <w:framePr w:wrap="around" w:vAnchor="text" w:hAnchor="margin" w:xAlign="center" w:y="1"/>
      <w:rPr>
        <w:rStyle w:val="PageNumber"/>
      </w:rPr>
    </w:pPr>
  </w:p>
  <w:p w:rsidR="00A716CA" w:rsidRDefault="00A716CA">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1" w:rsidRDefault="007513E1">
      <w:pPr>
        <w:spacing w:after="0" w:line="240" w:lineRule="auto"/>
      </w:pPr>
      <w:r>
        <w:separator/>
      </w:r>
    </w:p>
  </w:footnote>
  <w:footnote w:type="continuationSeparator" w:id="0">
    <w:p w:rsidR="007513E1" w:rsidRDefault="007513E1">
      <w:pPr>
        <w:spacing w:after="0" w:line="240" w:lineRule="auto"/>
      </w:pPr>
      <w:r>
        <w:continuationSeparator/>
      </w:r>
    </w:p>
  </w:footnote>
  <w:footnote w:id="1">
    <w:p w:rsidR="00A716CA" w:rsidRDefault="00A716CA">
      <w:pPr>
        <w:pStyle w:val="FootnoteText"/>
      </w:pPr>
      <w:r>
        <w:rPr>
          <w:rStyle w:val="FootnoteReference"/>
        </w:rPr>
        <w:footnoteRef/>
      </w:r>
      <w:r>
        <w:t xml:space="preserve"> </w:t>
      </w:r>
      <w:hyperlink r:id="rId1" w:history="1">
        <w:r w:rsidRPr="009F33C8">
          <w:rPr>
            <w:rStyle w:val="Hyperlink"/>
          </w:rPr>
          <w:t>http://eeas.europa.eu/archives/docs/moldova/pdf/eu-md_aa-dcfta_en.pdf</w:t>
        </w:r>
      </w:hyperlink>
      <w:r>
        <w:t xml:space="preserve"> </w:t>
      </w:r>
    </w:p>
  </w:footnote>
  <w:footnote w:id="2">
    <w:p w:rsidR="00A716CA" w:rsidRDefault="00A716CA">
      <w:pPr>
        <w:pStyle w:val="FootnoteText"/>
      </w:pPr>
      <w:r>
        <w:rPr>
          <w:rStyle w:val="FootnoteReference"/>
        </w:rPr>
        <w:footnoteRef/>
      </w:r>
      <w:r>
        <w:t xml:space="preserve"> </w:t>
      </w:r>
      <w:hyperlink r:id="rId2" w:history="1">
        <w:r w:rsidRPr="009F33C8">
          <w:rPr>
            <w:rStyle w:val="Hyperlink"/>
          </w:rPr>
          <w:t>https://eeas.europa.eu/sites/eeas/files/swd_2016_467_f1_joint_staff_working_paper_en_v3_p1_8733051.pdf</w:t>
        </w:r>
      </w:hyperlink>
      <w:r>
        <w:t xml:space="preserve"> </w:t>
      </w:r>
    </w:p>
  </w:footnote>
  <w:footnote w:id="3">
    <w:p w:rsidR="00A716CA" w:rsidRPr="00ED7FE4" w:rsidRDefault="00A716CA" w:rsidP="008F11EF">
      <w:pPr>
        <w:pStyle w:val="FootnoteText"/>
        <w:jc w:val="both"/>
      </w:pPr>
      <w:r>
        <w:rPr>
          <w:rStyle w:val="FootnoteReference"/>
        </w:rPr>
        <w:footnoteRef/>
      </w:r>
      <w:r>
        <w:t xml:space="preserve"> </w:t>
      </w:r>
      <w:r>
        <w:rPr>
          <w:rFonts w:ascii="Times New Roman" w:hAnsi="Times New Roman" w:cs="Times New Roman"/>
        </w:rPr>
        <w:t xml:space="preserve">NBM is providing licenses and supervise the following institutions: </w:t>
      </w:r>
      <w:r w:rsidRPr="00D7185E">
        <w:rPr>
          <w:rFonts w:ascii="Times New Roman" w:hAnsi="Times New Roman" w:cs="Times New Roman"/>
        </w:rPr>
        <w:t xml:space="preserve">banks, payment </w:t>
      </w:r>
      <w:r>
        <w:rPr>
          <w:rFonts w:ascii="Times New Roman" w:hAnsi="Times New Roman" w:cs="Times New Roman"/>
        </w:rPr>
        <w:t>institutions/postal operators,</w:t>
      </w:r>
      <w:r w:rsidRPr="00D7185E">
        <w:rPr>
          <w:rFonts w:ascii="Times New Roman" w:hAnsi="Times New Roman" w:cs="Times New Roman"/>
        </w:rPr>
        <w:t xml:space="preserve"> electronic money institutions, </w:t>
      </w:r>
      <w:r>
        <w:rPr>
          <w:rFonts w:ascii="Times New Roman" w:hAnsi="Times New Roman" w:cs="Times New Roman"/>
        </w:rPr>
        <w:t>foreign exchange entities.</w:t>
      </w:r>
    </w:p>
  </w:footnote>
  <w:footnote w:id="4">
    <w:p w:rsidR="00A716CA" w:rsidRDefault="00A716CA">
      <w:pPr>
        <w:pStyle w:val="FootnoteText"/>
      </w:pPr>
      <w:r>
        <w:rPr>
          <w:rStyle w:val="FootnoteReference"/>
        </w:rPr>
        <w:footnoteRef/>
      </w:r>
      <w:r>
        <w:t xml:space="preserve"> </w:t>
      </w:r>
      <w:r w:rsidRPr="00F3200A">
        <w:t>Macroprudential tools are introduced by CRDIV/CRR package, the full toolkit can be found in ESRB/2013/1 recommendation.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CA" w:rsidRDefault="00A716CA" w:rsidP="0061777D">
    <w:pPr>
      <w:pStyle w:val="BodyText"/>
      <w:spacing w:after="0"/>
      <w:jc w:val="right"/>
    </w:pPr>
    <w:bookmarkStart w:id="14" w:name="TITUS1HeaderPrimary"/>
    <w:r>
      <w:t xml:space="preserve"> </w:t>
    </w:r>
  </w:p>
  <w:bookmarkEnd w:id="14"/>
  <w:p w:rsidR="00A716CA" w:rsidRDefault="00A716CA">
    <w:pPr>
      <w:pStyle w:val="BodyTex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C17"/>
    <w:multiLevelType w:val="hybridMultilevel"/>
    <w:tmpl w:val="3EEC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72CEC"/>
    <w:multiLevelType w:val="hybridMultilevel"/>
    <w:tmpl w:val="40B4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02224"/>
    <w:multiLevelType w:val="hybridMultilevel"/>
    <w:tmpl w:val="CEDEC982"/>
    <w:lvl w:ilvl="0" w:tplc="62FAA922">
      <w:start w:val="1"/>
      <w:numFmt w:val="decimal"/>
      <w:lvlText w:val="%1."/>
      <w:lvlJc w:val="left"/>
      <w:pPr>
        <w:ind w:left="1080" w:hanging="360"/>
      </w:pPr>
      <w:rPr>
        <w:rFonts w:hint="default"/>
      </w:r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3">
    <w:nsid w:val="0E1612F5"/>
    <w:multiLevelType w:val="hybridMultilevel"/>
    <w:tmpl w:val="0E8EDD4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10BE6A49"/>
    <w:multiLevelType w:val="hybridMultilevel"/>
    <w:tmpl w:val="7E388AC0"/>
    <w:lvl w:ilvl="0" w:tplc="7CF2F1F0">
      <w:start w:val="2"/>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04C9B"/>
    <w:multiLevelType w:val="hybridMultilevel"/>
    <w:tmpl w:val="F4D05750"/>
    <w:lvl w:ilvl="0" w:tplc="E262641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1A08671B"/>
    <w:multiLevelType w:val="hybridMultilevel"/>
    <w:tmpl w:val="9E0E1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F50BA"/>
    <w:multiLevelType w:val="hybridMultilevel"/>
    <w:tmpl w:val="591A9234"/>
    <w:lvl w:ilvl="0" w:tplc="C80E7038">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639BC"/>
    <w:multiLevelType w:val="hybridMultilevel"/>
    <w:tmpl w:val="4C220E10"/>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C92177"/>
    <w:multiLevelType w:val="hybridMultilevel"/>
    <w:tmpl w:val="0E14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956A9F"/>
    <w:multiLevelType w:val="hybridMultilevel"/>
    <w:tmpl w:val="51D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2A159B"/>
    <w:multiLevelType w:val="hybridMultilevel"/>
    <w:tmpl w:val="2CF87B3C"/>
    <w:lvl w:ilvl="0" w:tplc="7CF2F1F0">
      <w:start w:val="2"/>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66001"/>
    <w:multiLevelType w:val="hybridMultilevel"/>
    <w:tmpl w:val="DBE8D556"/>
    <w:lvl w:ilvl="0" w:tplc="0418000F">
      <w:start w:val="1"/>
      <w:numFmt w:val="decimal"/>
      <w:lvlText w:val="%1."/>
      <w:lvlJc w:val="left"/>
      <w:pPr>
        <w:ind w:left="1572" w:hanging="360"/>
      </w:pPr>
      <w:rPr>
        <w:rFonts w:hint="default"/>
      </w:rPr>
    </w:lvl>
    <w:lvl w:ilvl="1" w:tplc="04180019">
      <w:start w:val="1"/>
      <w:numFmt w:val="lowerLetter"/>
      <w:lvlText w:val="%2."/>
      <w:lvlJc w:val="left"/>
      <w:pPr>
        <w:ind w:left="2292" w:hanging="360"/>
      </w:pPr>
    </w:lvl>
    <w:lvl w:ilvl="2" w:tplc="0418001B" w:tentative="1">
      <w:start w:val="1"/>
      <w:numFmt w:val="lowerRoman"/>
      <w:lvlText w:val="%3."/>
      <w:lvlJc w:val="right"/>
      <w:pPr>
        <w:ind w:left="3012" w:hanging="180"/>
      </w:pPr>
    </w:lvl>
    <w:lvl w:ilvl="3" w:tplc="0418000F" w:tentative="1">
      <w:start w:val="1"/>
      <w:numFmt w:val="decimal"/>
      <w:lvlText w:val="%4."/>
      <w:lvlJc w:val="left"/>
      <w:pPr>
        <w:ind w:left="3732" w:hanging="360"/>
      </w:pPr>
    </w:lvl>
    <w:lvl w:ilvl="4" w:tplc="04180019" w:tentative="1">
      <w:start w:val="1"/>
      <w:numFmt w:val="lowerLetter"/>
      <w:lvlText w:val="%5."/>
      <w:lvlJc w:val="left"/>
      <w:pPr>
        <w:ind w:left="4452" w:hanging="360"/>
      </w:pPr>
    </w:lvl>
    <w:lvl w:ilvl="5" w:tplc="0418001B" w:tentative="1">
      <w:start w:val="1"/>
      <w:numFmt w:val="lowerRoman"/>
      <w:lvlText w:val="%6."/>
      <w:lvlJc w:val="right"/>
      <w:pPr>
        <w:ind w:left="5172" w:hanging="180"/>
      </w:pPr>
    </w:lvl>
    <w:lvl w:ilvl="6" w:tplc="0418000F" w:tentative="1">
      <w:start w:val="1"/>
      <w:numFmt w:val="decimal"/>
      <w:lvlText w:val="%7."/>
      <w:lvlJc w:val="left"/>
      <w:pPr>
        <w:ind w:left="5892" w:hanging="360"/>
      </w:pPr>
    </w:lvl>
    <w:lvl w:ilvl="7" w:tplc="04180019" w:tentative="1">
      <w:start w:val="1"/>
      <w:numFmt w:val="lowerLetter"/>
      <w:lvlText w:val="%8."/>
      <w:lvlJc w:val="left"/>
      <w:pPr>
        <w:ind w:left="6612" w:hanging="360"/>
      </w:pPr>
    </w:lvl>
    <w:lvl w:ilvl="8" w:tplc="0418001B" w:tentative="1">
      <w:start w:val="1"/>
      <w:numFmt w:val="lowerRoman"/>
      <w:lvlText w:val="%9."/>
      <w:lvlJc w:val="right"/>
      <w:pPr>
        <w:ind w:left="7332" w:hanging="180"/>
      </w:pPr>
    </w:lvl>
  </w:abstractNum>
  <w:abstractNum w:abstractNumId="13">
    <w:nsid w:val="28CA12DD"/>
    <w:multiLevelType w:val="hybridMultilevel"/>
    <w:tmpl w:val="C8120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F92B57"/>
    <w:multiLevelType w:val="hybridMultilevel"/>
    <w:tmpl w:val="E5544BBC"/>
    <w:lvl w:ilvl="0" w:tplc="7CF2F1F0">
      <w:start w:val="2"/>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35082E75"/>
    <w:multiLevelType w:val="hybridMultilevel"/>
    <w:tmpl w:val="BF941AF2"/>
    <w:lvl w:ilvl="0" w:tplc="DF48772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nsid w:val="35D43F58"/>
    <w:multiLevelType w:val="hybridMultilevel"/>
    <w:tmpl w:val="1AC660EC"/>
    <w:lvl w:ilvl="0" w:tplc="7CF2F1F0">
      <w:start w:val="2"/>
      <w:numFmt w:val="bullet"/>
      <w:lvlText w:val="-"/>
      <w:lvlJc w:val="left"/>
      <w:pPr>
        <w:ind w:left="1260" w:hanging="360"/>
      </w:pPr>
      <w:rPr>
        <w:rFonts w:ascii="Times New Roman" w:eastAsia="Times New Roman" w:hAnsi="Times New Roman" w:cs="Times New Roman"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366571AB"/>
    <w:multiLevelType w:val="hybridMultilevel"/>
    <w:tmpl w:val="1AEC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FE358A"/>
    <w:multiLevelType w:val="hybridMultilevel"/>
    <w:tmpl w:val="773E05F2"/>
    <w:lvl w:ilvl="0" w:tplc="1B3C170C">
      <w:start w:val="2"/>
      <w:numFmt w:val="decimal"/>
      <w:lvlText w:val="%1."/>
      <w:lvlJc w:val="left"/>
      <w:pPr>
        <w:ind w:left="1080" w:hanging="360"/>
      </w:pPr>
      <w:rPr>
        <w:rFonts w:hint="default"/>
      </w:r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19">
    <w:nsid w:val="3C8874BD"/>
    <w:multiLevelType w:val="hybridMultilevel"/>
    <w:tmpl w:val="E52ED93C"/>
    <w:lvl w:ilvl="0" w:tplc="476A3C0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nsid w:val="409004EF"/>
    <w:multiLevelType w:val="hybridMultilevel"/>
    <w:tmpl w:val="F8520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2B30956"/>
    <w:multiLevelType w:val="hybridMultilevel"/>
    <w:tmpl w:val="B23891B4"/>
    <w:lvl w:ilvl="0" w:tplc="7CF2F1F0">
      <w:start w:val="2"/>
      <w:numFmt w:val="bullet"/>
      <w:lvlText w:val="-"/>
      <w:lvlJc w:val="left"/>
      <w:pPr>
        <w:ind w:left="1288" w:hanging="360"/>
      </w:pPr>
      <w:rPr>
        <w:rFonts w:ascii="Times New Roman" w:eastAsia="Times New Roman" w:hAnsi="Times New Roman" w:cs="Times New Roman" w:hint="default"/>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22">
    <w:nsid w:val="482F74BD"/>
    <w:multiLevelType w:val="hybridMultilevel"/>
    <w:tmpl w:val="82BA9CC8"/>
    <w:lvl w:ilvl="0" w:tplc="A492F696">
      <w:start w:val="1"/>
      <w:numFmt w:val="decimal"/>
      <w:lvlText w:val="%1."/>
      <w:lvlJc w:val="left"/>
      <w:pPr>
        <w:ind w:left="1080" w:hanging="360"/>
      </w:pPr>
      <w:rPr>
        <w:rFonts w:hint="default"/>
      </w:r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23">
    <w:nsid w:val="4A567AE2"/>
    <w:multiLevelType w:val="hybridMultilevel"/>
    <w:tmpl w:val="E126EE18"/>
    <w:lvl w:ilvl="0" w:tplc="E798366E">
      <w:start w:val="1"/>
      <w:numFmt w:val="decimal"/>
      <w:lvlText w:val="%1."/>
      <w:lvlJc w:val="left"/>
      <w:pPr>
        <w:ind w:left="1080" w:hanging="360"/>
      </w:pPr>
      <w:rPr>
        <w:rFonts w:hint="default"/>
      </w:r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24">
    <w:nsid w:val="4F9F5169"/>
    <w:multiLevelType w:val="hybridMultilevel"/>
    <w:tmpl w:val="DF9637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7D72773"/>
    <w:multiLevelType w:val="hybridMultilevel"/>
    <w:tmpl w:val="664CE830"/>
    <w:lvl w:ilvl="0" w:tplc="AD841DE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5B952582"/>
    <w:multiLevelType w:val="hybridMultilevel"/>
    <w:tmpl w:val="E714A970"/>
    <w:lvl w:ilvl="0" w:tplc="B02055E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nsid w:val="5ED26C3D"/>
    <w:multiLevelType w:val="hybridMultilevel"/>
    <w:tmpl w:val="610C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7E3F89"/>
    <w:multiLevelType w:val="hybridMultilevel"/>
    <w:tmpl w:val="537E85B4"/>
    <w:lvl w:ilvl="0" w:tplc="2C7CD9A8">
      <w:start w:val="2"/>
      <w:numFmt w:val="decimal"/>
      <w:lvlText w:val="%1."/>
      <w:lvlJc w:val="left"/>
      <w:pPr>
        <w:ind w:left="1572" w:hanging="360"/>
      </w:pPr>
      <w:rPr>
        <w:rFonts w:hint="default"/>
      </w:rPr>
    </w:lvl>
    <w:lvl w:ilvl="1" w:tplc="04180019">
      <w:start w:val="1"/>
      <w:numFmt w:val="lowerLetter"/>
      <w:lvlText w:val="%2."/>
      <w:lvlJc w:val="left"/>
      <w:pPr>
        <w:ind w:left="2292" w:hanging="360"/>
      </w:pPr>
    </w:lvl>
    <w:lvl w:ilvl="2" w:tplc="0418001B" w:tentative="1">
      <w:start w:val="1"/>
      <w:numFmt w:val="lowerRoman"/>
      <w:lvlText w:val="%3."/>
      <w:lvlJc w:val="right"/>
      <w:pPr>
        <w:ind w:left="3012" w:hanging="180"/>
      </w:pPr>
    </w:lvl>
    <w:lvl w:ilvl="3" w:tplc="0418000F" w:tentative="1">
      <w:start w:val="1"/>
      <w:numFmt w:val="decimal"/>
      <w:lvlText w:val="%4."/>
      <w:lvlJc w:val="left"/>
      <w:pPr>
        <w:ind w:left="3732" w:hanging="360"/>
      </w:pPr>
    </w:lvl>
    <w:lvl w:ilvl="4" w:tplc="04180019" w:tentative="1">
      <w:start w:val="1"/>
      <w:numFmt w:val="lowerLetter"/>
      <w:lvlText w:val="%5."/>
      <w:lvlJc w:val="left"/>
      <w:pPr>
        <w:ind w:left="4452" w:hanging="360"/>
      </w:pPr>
    </w:lvl>
    <w:lvl w:ilvl="5" w:tplc="0418001B" w:tentative="1">
      <w:start w:val="1"/>
      <w:numFmt w:val="lowerRoman"/>
      <w:lvlText w:val="%6."/>
      <w:lvlJc w:val="right"/>
      <w:pPr>
        <w:ind w:left="5172" w:hanging="180"/>
      </w:pPr>
    </w:lvl>
    <w:lvl w:ilvl="6" w:tplc="0418000F" w:tentative="1">
      <w:start w:val="1"/>
      <w:numFmt w:val="decimal"/>
      <w:lvlText w:val="%7."/>
      <w:lvlJc w:val="left"/>
      <w:pPr>
        <w:ind w:left="5892" w:hanging="360"/>
      </w:pPr>
    </w:lvl>
    <w:lvl w:ilvl="7" w:tplc="04180019" w:tentative="1">
      <w:start w:val="1"/>
      <w:numFmt w:val="lowerLetter"/>
      <w:lvlText w:val="%8."/>
      <w:lvlJc w:val="left"/>
      <w:pPr>
        <w:ind w:left="6612" w:hanging="360"/>
      </w:pPr>
    </w:lvl>
    <w:lvl w:ilvl="8" w:tplc="0418001B" w:tentative="1">
      <w:start w:val="1"/>
      <w:numFmt w:val="lowerRoman"/>
      <w:lvlText w:val="%9."/>
      <w:lvlJc w:val="right"/>
      <w:pPr>
        <w:ind w:left="7332" w:hanging="180"/>
      </w:pPr>
    </w:lvl>
  </w:abstractNum>
  <w:abstractNum w:abstractNumId="29">
    <w:nsid w:val="63417CE0"/>
    <w:multiLevelType w:val="hybridMultilevel"/>
    <w:tmpl w:val="5618713A"/>
    <w:lvl w:ilvl="0" w:tplc="799850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4F1428"/>
    <w:multiLevelType w:val="hybridMultilevel"/>
    <w:tmpl w:val="3912C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24DBD"/>
    <w:multiLevelType w:val="hybridMultilevel"/>
    <w:tmpl w:val="1AB4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20265D"/>
    <w:multiLevelType w:val="hybridMultilevel"/>
    <w:tmpl w:val="63288A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DA1943"/>
    <w:multiLevelType w:val="hybridMultilevel"/>
    <w:tmpl w:val="9E021E32"/>
    <w:lvl w:ilvl="0" w:tplc="956271D8">
      <w:start w:val="1"/>
      <w:numFmt w:val="decimal"/>
      <w:lvlText w:val="%1."/>
      <w:lvlJc w:val="left"/>
      <w:pPr>
        <w:ind w:left="1080" w:hanging="360"/>
      </w:pPr>
      <w:rPr>
        <w:rFonts w:hint="default"/>
      </w:r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34">
    <w:nsid w:val="744C68AF"/>
    <w:multiLevelType w:val="hybridMultilevel"/>
    <w:tmpl w:val="23B89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075789"/>
    <w:multiLevelType w:val="hybridMultilevel"/>
    <w:tmpl w:val="B64ACAE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CFA4740"/>
    <w:multiLevelType w:val="hybridMultilevel"/>
    <w:tmpl w:val="61FC7674"/>
    <w:lvl w:ilvl="0" w:tplc="7ACEC70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31"/>
  </w:num>
  <w:num w:numId="2">
    <w:abstractNumId w:val="9"/>
  </w:num>
  <w:num w:numId="3">
    <w:abstractNumId w:val="29"/>
  </w:num>
  <w:num w:numId="4">
    <w:abstractNumId w:val="20"/>
  </w:num>
  <w:num w:numId="5">
    <w:abstractNumId w:val="30"/>
  </w:num>
  <w:num w:numId="6">
    <w:abstractNumId w:val="16"/>
  </w:num>
  <w:num w:numId="7">
    <w:abstractNumId w:val="25"/>
  </w:num>
  <w:num w:numId="8">
    <w:abstractNumId w:val="36"/>
  </w:num>
  <w:num w:numId="9">
    <w:abstractNumId w:val="5"/>
  </w:num>
  <w:num w:numId="10">
    <w:abstractNumId w:val="19"/>
  </w:num>
  <w:num w:numId="11">
    <w:abstractNumId w:val="26"/>
  </w:num>
  <w:num w:numId="12">
    <w:abstractNumId w:val="15"/>
  </w:num>
  <w:num w:numId="13">
    <w:abstractNumId w:val="24"/>
  </w:num>
  <w:num w:numId="14">
    <w:abstractNumId w:val="12"/>
  </w:num>
  <w:num w:numId="15">
    <w:abstractNumId w:val="32"/>
  </w:num>
  <w:num w:numId="16">
    <w:abstractNumId w:val="21"/>
  </w:num>
  <w:num w:numId="17">
    <w:abstractNumId w:val="35"/>
  </w:num>
  <w:num w:numId="18">
    <w:abstractNumId w:val="8"/>
  </w:num>
  <w:num w:numId="19">
    <w:abstractNumId w:val="14"/>
  </w:num>
  <w:num w:numId="20">
    <w:abstractNumId w:val="27"/>
  </w:num>
  <w:num w:numId="21">
    <w:abstractNumId w:val="11"/>
  </w:num>
  <w:num w:numId="22">
    <w:abstractNumId w:val="4"/>
  </w:num>
  <w:num w:numId="23">
    <w:abstractNumId w:val="17"/>
  </w:num>
  <w:num w:numId="24">
    <w:abstractNumId w:val="6"/>
  </w:num>
  <w:num w:numId="25">
    <w:abstractNumId w:val="34"/>
  </w:num>
  <w:num w:numId="26">
    <w:abstractNumId w:val="0"/>
  </w:num>
  <w:num w:numId="27">
    <w:abstractNumId w:val="13"/>
  </w:num>
  <w:num w:numId="28">
    <w:abstractNumId w:val="28"/>
  </w:num>
  <w:num w:numId="29">
    <w:abstractNumId w:val="23"/>
  </w:num>
  <w:num w:numId="30">
    <w:abstractNumId w:val="2"/>
  </w:num>
  <w:num w:numId="31">
    <w:abstractNumId w:val="22"/>
  </w:num>
  <w:num w:numId="32">
    <w:abstractNumId w:val="10"/>
  </w:num>
  <w:num w:numId="33">
    <w:abstractNumId w:val="33"/>
  </w:num>
  <w:num w:numId="34">
    <w:abstractNumId w:val="18"/>
  </w:num>
  <w:num w:numId="35">
    <w:abstractNumId w:val="3"/>
  </w:num>
  <w:num w:numId="36">
    <w:abstractNumId w:val="7"/>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 O. Homina">
    <w15:presenceInfo w15:providerId="None" w15:userId="Olga O. Hom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evenAndOddHeaders/>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168D4"/>
    <w:rsid w:val="0000337D"/>
    <w:rsid w:val="00004017"/>
    <w:rsid w:val="00004288"/>
    <w:rsid w:val="000060F1"/>
    <w:rsid w:val="00007CFB"/>
    <w:rsid w:val="000102CD"/>
    <w:rsid w:val="00010DBB"/>
    <w:rsid w:val="00011609"/>
    <w:rsid w:val="00011C5D"/>
    <w:rsid w:val="00012EE1"/>
    <w:rsid w:val="0001535F"/>
    <w:rsid w:val="00016EF8"/>
    <w:rsid w:val="00017F3C"/>
    <w:rsid w:val="00021134"/>
    <w:rsid w:val="00021895"/>
    <w:rsid w:val="00021C3C"/>
    <w:rsid w:val="00023533"/>
    <w:rsid w:val="000262F9"/>
    <w:rsid w:val="00026A01"/>
    <w:rsid w:val="00032EEC"/>
    <w:rsid w:val="00033325"/>
    <w:rsid w:val="0003731A"/>
    <w:rsid w:val="00040652"/>
    <w:rsid w:val="000430C7"/>
    <w:rsid w:val="00043472"/>
    <w:rsid w:val="00044FB5"/>
    <w:rsid w:val="00052145"/>
    <w:rsid w:val="0005631B"/>
    <w:rsid w:val="00056A7A"/>
    <w:rsid w:val="00056ED8"/>
    <w:rsid w:val="00057435"/>
    <w:rsid w:val="0005753B"/>
    <w:rsid w:val="00060A98"/>
    <w:rsid w:val="00060FF7"/>
    <w:rsid w:val="0006677A"/>
    <w:rsid w:val="000679C8"/>
    <w:rsid w:val="000712FA"/>
    <w:rsid w:val="0007297C"/>
    <w:rsid w:val="00073C1D"/>
    <w:rsid w:val="00076DE6"/>
    <w:rsid w:val="00077EF1"/>
    <w:rsid w:val="00080487"/>
    <w:rsid w:val="00093E88"/>
    <w:rsid w:val="0009497D"/>
    <w:rsid w:val="00094B5D"/>
    <w:rsid w:val="000A0E02"/>
    <w:rsid w:val="000B1C24"/>
    <w:rsid w:val="000B76D5"/>
    <w:rsid w:val="000C5A53"/>
    <w:rsid w:val="000C7591"/>
    <w:rsid w:val="000C7766"/>
    <w:rsid w:val="000D0377"/>
    <w:rsid w:val="000D05D7"/>
    <w:rsid w:val="000D26A8"/>
    <w:rsid w:val="000D6E56"/>
    <w:rsid w:val="000E4156"/>
    <w:rsid w:val="000E59CA"/>
    <w:rsid w:val="000F10ED"/>
    <w:rsid w:val="000F3FDE"/>
    <w:rsid w:val="00100991"/>
    <w:rsid w:val="00111755"/>
    <w:rsid w:val="001121A8"/>
    <w:rsid w:val="001129B5"/>
    <w:rsid w:val="001137E8"/>
    <w:rsid w:val="00117328"/>
    <w:rsid w:val="001173DB"/>
    <w:rsid w:val="001177D8"/>
    <w:rsid w:val="001313E4"/>
    <w:rsid w:val="0013229E"/>
    <w:rsid w:val="0013461F"/>
    <w:rsid w:val="00137505"/>
    <w:rsid w:val="00142646"/>
    <w:rsid w:val="00152699"/>
    <w:rsid w:val="0015541A"/>
    <w:rsid w:val="00161282"/>
    <w:rsid w:val="00162257"/>
    <w:rsid w:val="0016231E"/>
    <w:rsid w:val="0016272C"/>
    <w:rsid w:val="001727B2"/>
    <w:rsid w:val="001734EC"/>
    <w:rsid w:val="001735FA"/>
    <w:rsid w:val="00176C25"/>
    <w:rsid w:val="00184B98"/>
    <w:rsid w:val="00185282"/>
    <w:rsid w:val="001866DF"/>
    <w:rsid w:val="00190B6C"/>
    <w:rsid w:val="00193B48"/>
    <w:rsid w:val="001A17B2"/>
    <w:rsid w:val="001A306B"/>
    <w:rsid w:val="001B2A90"/>
    <w:rsid w:val="001B3FEB"/>
    <w:rsid w:val="001C7042"/>
    <w:rsid w:val="001C7BCA"/>
    <w:rsid w:val="001D1205"/>
    <w:rsid w:val="001D3A5B"/>
    <w:rsid w:val="001D454F"/>
    <w:rsid w:val="001D4FBB"/>
    <w:rsid w:val="001D57C3"/>
    <w:rsid w:val="001D6ABA"/>
    <w:rsid w:val="001D6D2A"/>
    <w:rsid w:val="001E41CA"/>
    <w:rsid w:val="001E4BE3"/>
    <w:rsid w:val="001E7BF3"/>
    <w:rsid w:val="001E7FFE"/>
    <w:rsid w:val="001F208F"/>
    <w:rsid w:val="001F4F84"/>
    <w:rsid w:val="001F6B92"/>
    <w:rsid w:val="001F71F2"/>
    <w:rsid w:val="002019DA"/>
    <w:rsid w:val="00201FCB"/>
    <w:rsid w:val="002050E2"/>
    <w:rsid w:val="0020551A"/>
    <w:rsid w:val="002066B1"/>
    <w:rsid w:val="00207DD9"/>
    <w:rsid w:val="002113FD"/>
    <w:rsid w:val="00211E0B"/>
    <w:rsid w:val="00212DC9"/>
    <w:rsid w:val="00216A55"/>
    <w:rsid w:val="0021726F"/>
    <w:rsid w:val="002205BC"/>
    <w:rsid w:val="002245B9"/>
    <w:rsid w:val="00225D47"/>
    <w:rsid w:val="002262CB"/>
    <w:rsid w:val="00232B5F"/>
    <w:rsid w:val="0023558A"/>
    <w:rsid w:val="00242FFA"/>
    <w:rsid w:val="00244B30"/>
    <w:rsid w:val="00247293"/>
    <w:rsid w:val="002474BA"/>
    <w:rsid w:val="002529CB"/>
    <w:rsid w:val="00253E74"/>
    <w:rsid w:val="002549F3"/>
    <w:rsid w:val="0025539E"/>
    <w:rsid w:val="00255D5B"/>
    <w:rsid w:val="00260236"/>
    <w:rsid w:val="00260C9A"/>
    <w:rsid w:val="00264916"/>
    <w:rsid w:val="00266F18"/>
    <w:rsid w:val="0026758C"/>
    <w:rsid w:val="0027067E"/>
    <w:rsid w:val="00270C8E"/>
    <w:rsid w:val="002724AC"/>
    <w:rsid w:val="002729EA"/>
    <w:rsid w:val="00282F02"/>
    <w:rsid w:val="002841E7"/>
    <w:rsid w:val="0028500F"/>
    <w:rsid w:val="002873B6"/>
    <w:rsid w:val="0028782A"/>
    <w:rsid w:val="00294527"/>
    <w:rsid w:val="002A0E03"/>
    <w:rsid w:val="002A3EFB"/>
    <w:rsid w:val="002A6D66"/>
    <w:rsid w:val="002B23B6"/>
    <w:rsid w:val="002B7661"/>
    <w:rsid w:val="002B7D61"/>
    <w:rsid w:val="002C0A77"/>
    <w:rsid w:val="002D2CE9"/>
    <w:rsid w:val="002E1696"/>
    <w:rsid w:val="002E74F5"/>
    <w:rsid w:val="002F0975"/>
    <w:rsid w:val="002F1080"/>
    <w:rsid w:val="002F228D"/>
    <w:rsid w:val="002F797D"/>
    <w:rsid w:val="003001A0"/>
    <w:rsid w:val="003009B4"/>
    <w:rsid w:val="0030380F"/>
    <w:rsid w:val="00303F63"/>
    <w:rsid w:val="00306AD4"/>
    <w:rsid w:val="003123BC"/>
    <w:rsid w:val="00315CB0"/>
    <w:rsid w:val="00316625"/>
    <w:rsid w:val="00322B7E"/>
    <w:rsid w:val="00323E34"/>
    <w:rsid w:val="00326204"/>
    <w:rsid w:val="00327E78"/>
    <w:rsid w:val="003306AC"/>
    <w:rsid w:val="00331519"/>
    <w:rsid w:val="003323D9"/>
    <w:rsid w:val="003342EE"/>
    <w:rsid w:val="00343BE6"/>
    <w:rsid w:val="0034547B"/>
    <w:rsid w:val="00352FA3"/>
    <w:rsid w:val="00356EA4"/>
    <w:rsid w:val="0035724A"/>
    <w:rsid w:val="00361FE3"/>
    <w:rsid w:val="0036555A"/>
    <w:rsid w:val="0036644B"/>
    <w:rsid w:val="0037273F"/>
    <w:rsid w:val="003733AC"/>
    <w:rsid w:val="003735AB"/>
    <w:rsid w:val="00373A39"/>
    <w:rsid w:val="00374707"/>
    <w:rsid w:val="003810BA"/>
    <w:rsid w:val="003812FF"/>
    <w:rsid w:val="00384479"/>
    <w:rsid w:val="00384DF8"/>
    <w:rsid w:val="0038669C"/>
    <w:rsid w:val="0038735E"/>
    <w:rsid w:val="00387666"/>
    <w:rsid w:val="00390414"/>
    <w:rsid w:val="003908D9"/>
    <w:rsid w:val="00395BEA"/>
    <w:rsid w:val="003A449E"/>
    <w:rsid w:val="003A4728"/>
    <w:rsid w:val="003B2793"/>
    <w:rsid w:val="003B3AD5"/>
    <w:rsid w:val="003B3C76"/>
    <w:rsid w:val="003B3D65"/>
    <w:rsid w:val="003B4372"/>
    <w:rsid w:val="003B60A9"/>
    <w:rsid w:val="003B668C"/>
    <w:rsid w:val="003C0859"/>
    <w:rsid w:val="003C4C05"/>
    <w:rsid w:val="003D275B"/>
    <w:rsid w:val="003D2CB0"/>
    <w:rsid w:val="003D3417"/>
    <w:rsid w:val="003D35A7"/>
    <w:rsid w:val="003D3B41"/>
    <w:rsid w:val="003D67C4"/>
    <w:rsid w:val="003F3C67"/>
    <w:rsid w:val="003F509A"/>
    <w:rsid w:val="003F5C8D"/>
    <w:rsid w:val="003F6B16"/>
    <w:rsid w:val="004034E6"/>
    <w:rsid w:val="00406351"/>
    <w:rsid w:val="00410304"/>
    <w:rsid w:val="0041063F"/>
    <w:rsid w:val="00415A5D"/>
    <w:rsid w:val="004205FF"/>
    <w:rsid w:val="0042527C"/>
    <w:rsid w:val="004311F8"/>
    <w:rsid w:val="004327ED"/>
    <w:rsid w:val="004362DF"/>
    <w:rsid w:val="00437B1A"/>
    <w:rsid w:val="00441F1C"/>
    <w:rsid w:val="0044283F"/>
    <w:rsid w:val="0044413C"/>
    <w:rsid w:val="004449C2"/>
    <w:rsid w:val="00444F72"/>
    <w:rsid w:val="00450F64"/>
    <w:rsid w:val="0045180F"/>
    <w:rsid w:val="004528AA"/>
    <w:rsid w:val="004568A7"/>
    <w:rsid w:val="004570A2"/>
    <w:rsid w:val="004570C4"/>
    <w:rsid w:val="00465F73"/>
    <w:rsid w:val="00466D91"/>
    <w:rsid w:val="00473B4C"/>
    <w:rsid w:val="004747AC"/>
    <w:rsid w:val="004800BA"/>
    <w:rsid w:val="00482CF8"/>
    <w:rsid w:val="004848F0"/>
    <w:rsid w:val="004854B6"/>
    <w:rsid w:val="00490C94"/>
    <w:rsid w:val="00491A0F"/>
    <w:rsid w:val="00493A1A"/>
    <w:rsid w:val="004966B3"/>
    <w:rsid w:val="004A0505"/>
    <w:rsid w:val="004B2C8D"/>
    <w:rsid w:val="004B5505"/>
    <w:rsid w:val="004B6088"/>
    <w:rsid w:val="004C21CF"/>
    <w:rsid w:val="004C5C62"/>
    <w:rsid w:val="004C6C44"/>
    <w:rsid w:val="004C7FC6"/>
    <w:rsid w:val="004D0C75"/>
    <w:rsid w:val="004D1D1A"/>
    <w:rsid w:val="004D2B01"/>
    <w:rsid w:val="004E1F57"/>
    <w:rsid w:val="004E4906"/>
    <w:rsid w:val="004E5E38"/>
    <w:rsid w:val="004E629E"/>
    <w:rsid w:val="004E741E"/>
    <w:rsid w:val="004E7B71"/>
    <w:rsid w:val="004F04A3"/>
    <w:rsid w:val="004F06DB"/>
    <w:rsid w:val="004F0762"/>
    <w:rsid w:val="004F0E8A"/>
    <w:rsid w:val="004F2647"/>
    <w:rsid w:val="005006FD"/>
    <w:rsid w:val="00503372"/>
    <w:rsid w:val="00505F66"/>
    <w:rsid w:val="005060ED"/>
    <w:rsid w:val="005103BD"/>
    <w:rsid w:val="0051635B"/>
    <w:rsid w:val="00520C6D"/>
    <w:rsid w:val="00521277"/>
    <w:rsid w:val="005231AB"/>
    <w:rsid w:val="0052377D"/>
    <w:rsid w:val="00524043"/>
    <w:rsid w:val="005247DC"/>
    <w:rsid w:val="00524A01"/>
    <w:rsid w:val="00527EF7"/>
    <w:rsid w:val="005319C6"/>
    <w:rsid w:val="00532E79"/>
    <w:rsid w:val="00532EEC"/>
    <w:rsid w:val="005359BB"/>
    <w:rsid w:val="00535ACE"/>
    <w:rsid w:val="00541B6C"/>
    <w:rsid w:val="00543135"/>
    <w:rsid w:val="00543984"/>
    <w:rsid w:val="005463C9"/>
    <w:rsid w:val="00551F69"/>
    <w:rsid w:val="0055663D"/>
    <w:rsid w:val="00557438"/>
    <w:rsid w:val="0056500C"/>
    <w:rsid w:val="005703C2"/>
    <w:rsid w:val="00572CB0"/>
    <w:rsid w:val="00572F8D"/>
    <w:rsid w:val="00576DB2"/>
    <w:rsid w:val="00580AD5"/>
    <w:rsid w:val="00583266"/>
    <w:rsid w:val="005834FB"/>
    <w:rsid w:val="005840F4"/>
    <w:rsid w:val="00584BE6"/>
    <w:rsid w:val="00585D90"/>
    <w:rsid w:val="00586E99"/>
    <w:rsid w:val="00587D99"/>
    <w:rsid w:val="00591B94"/>
    <w:rsid w:val="005A19A0"/>
    <w:rsid w:val="005A2A4A"/>
    <w:rsid w:val="005A312C"/>
    <w:rsid w:val="005A3297"/>
    <w:rsid w:val="005A4C42"/>
    <w:rsid w:val="005A6EE8"/>
    <w:rsid w:val="005B0F5A"/>
    <w:rsid w:val="005B150B"/>
    <w:rsid w:val="005B2094"/>
    <w:rsid w:val="005B4597"/>
    <w:rsid w:val="005B46CC"/>
    <w:rsid w:val="005B7725"/>
    <w:rsid w:val="005B7CAF"/>
    <w:rsid w:val="005C5C92"/>
    <w:rsid w:val="005C5D8A"/>
    <w:rsid w:val="005C7C3D"/>
    <w:rsid w:val="005D0DA5"/>
    <w:rsid w:val="005D49D7"/>
    <w:rsid w:val="005D5CF4"/>
    <w:rsid w:val="005E026B"/>
    <w:rsid w:val="005E2698"/>
    <w:rsid w:val="005E41C2"/>
    <w:rsid w:val="005E5E22"/>
    <w:rsid w:val="005E7CCF"/>
    <w:rsid w:val="005F079C"/>
    <w:rsid w:val="005F519F"/>
    <w:rsid w:val="005F52E7"/>
    <w:rsid w:val="006023A4"/>
    <w:rsid w:val="006037C4"/>
    <w:rsid w:val="00603D1B"/>
    <w:rsid w:val="00604728"/>
    <w:rsid w:val="00604927"/>
    <w:rsid w:val="00604C11"/>
    <w:rsid w:val="00605B1F"/>
    <w:rsid w:val="0061336D"/>
    <w:rsid w:val="00613E1E"/>
    <w:rsid w:val="0061627E"/>
    <w:rsid w:val="0061777D"/>
    <w:rsid w:val="0062134F"/>
    <w:rsid w:val="00621407"/>
    <w:rsid w:val="0062354D"/>
    <w:rsid w:val="00623757"/>
    <w:rsid w:val="0062703D"/>
    <w:rsid w:val="00642141"/>
    <w:rsid w:val="006421B2"/>
    <w:rsid w:val="0064776D"/>
    <w:rsid w:val="006513AB"/>
    <w:rsid w:val="00653939"/>
    <w:rsid w:val="006548AA"/>
    <w:rsid w:val="006575B7"/>
    <w:rsid w:val="00663C69"/>
    <w:rsid w:val="00680901"/>
    <w:rsid w:val="00681FA3"/>
    <w:rsid w:val="0068288C"/>
    <w:rsid w:val="006845F9"/>
    <w:rsid w:val="00691548"/>
    <w:rsid w:val="0069212D"/>
    <w:rsid w:val="00692FE4"/>
    <w:rsid w:val="00693B96"/>
    <w:rsid w:val="006954E9"/>
    <w:rsid w:val="006962DC"/>
    <w:rsid w:val="006978B5"/>
    <w:rsid w:val="006A02E8"/>
    <w:rsid w:val="006A1F1A"/>
    <w:rsid w:val="006A729D"/>
    <w:rsid w:val="006A7D54"/>
    <w:rsid w:val="006B3028"/>
    <w:rsid w:val="006B6740"/>
    <w:rsid w:val="006C061A"/>
    <w:rsid w:val="006C35DC"/>
    <w:rsid w:val="006C68EA"/>
    <w:rsid w:val="006D0E57"/>
    <w:rsid w:val="006D18AC"/>
    <w:rsid w:val="006D22E7"/>
    <w:rsid w:val="006D3FD0"/>
    <w:rsid w:val="006D55EC"/>
    <w:rsid w:val="006E03DE"/>
    <w:rsid w:val="006E05D2"/>
    <w:rsid w:val="006E1E26"/>
    <w:rsid w:val="006E434C"/>
    <w:rsid w:val="006E4B70"/>
    <w:rsid w:val="006E781B"/>
    <w:rsid w:val="006F064D"/>
    <w:rsid w:val="006F1703"/>
    <w:rsid w:val="006F3896"/>
    <w:rsid w:val="006F39C1"/>
    <w:rsid w:val="00700251"/>
    <w:rsid w:val="00700C79"/>
    <w:rsid w:val="00701DF7"/>
    <w:rsid w:val="0070230E"/>
    <w:rsid w:val="00702FC4"/>
    <w:rsid w:val="00705361"/>
    <w:rsid w:val="00705440"/>
    <w:rsid w:val="00707225"/>
    <w:rsid w:val="00707387"/>
    <w:rsid w:val="00712612"/>
    <w:rsid w:val="007168D4"/>
    <w:rsid w:val="007203BD"/>
    <w:rsid w:val="00721E40"/>
    <w:rsid w:val="00723A05"/>
    <w:rsid w:val="00725E06"/>
    <w:rsid w:val="00726A3E"/>
    <w:rsid w:val="00732326"/>
    <w:rsid w:val="00733693"/>
    <w:rsid w:val="00740A35"/>
    <w:rsid w:val="007513E1"/>
    <w:rsid w:val="0075294A"/>
    <w:rsid w:val="00754A33"/>
    <w:rsid w:val="00756048"/>
    <w:rsid w:val="00761CFC"/>
    <w:rsid w:val="00762DCA"/>
    <w:rsid w:val="00766FE9"/>
    <w:rsid w:val="00767D57"/>
    <w:rsid w:val="00772322"/>
    <w:rsid w:val="00774FFA"/>
    <w:rsid w:val="007755E7"/>
    <w:rsid w:val="00777A04"/>
    <w:rsid w:val="007822C3"/>
    <w:rsid w:val="00782DE4"/>
    <w:rsid w:val="00783D3E"/>
    <w:rsid w:val="007925FD"/>
    <w:rsid w:val="00794BA6"/>
    <w:rsid w:val="00795D8C"/>
    <w:rsid w:val="007A7074"/>
    <w:rsid w:val="007A726A"/>
    <w:rsid w:val="007B0C24"/>
    <w:rsid w:val="007B2830"/>
    <w:rsid w:val="007B6A48"/>
    <w:rsid w:val="007B74E8"/>
    <w:rsid w:val="007C2D51"/>
    <w:rsid w:val="007C5C39"/>
    <w:rsid w:val="007D2440"/>
    <w:rsid w:val="007D25EA"/>
    <w:rsid w:val="007D2F86"/>
    <w:rsid w:val="007D3D41"/>
    <w:rsid w:val="007D70D3"/>
    <w:rsid w:val="007F0945"/>
    <w:rsid w:val="007F2C8F"/>
    <w:rsid w:val="008006E1"/>
    <w:rsid w:val="008008D3"/>
    <w:rsid w:val="00803A7E"/>
    <w:rsid w:val="00807AFD"/>
    <w:rsid w:val="00812674"/>
    <w:rsid w:val="00832549"/>
    <w:rsid w:val="0083564E"/>
    <w:rsid w:val="00835B1C"/>
    <w:rsid w:val="00836172"/>
    <w:rsid w:val="008362EF"/>
    <w:rsid w:val="008376DD"/>
    <w:rsid w:val="00840445"/>
    <w:rsid w:val="0084186D"/>
    <w:rsid w:val="00844078"/>
    <w:rsid w:val="00844657"/>
    <w:rsid w:val="008463A5"/>
    <w:rsid w:val="00851C88"/>
    <w:rsid w:val="0085426E"/>
    <w:rsid w:val="00857246"/>
    <w:rsid w:val="00862BBE"/>
    <w:rsid w:val="0087388D"/>
    <w:rsid w:val="008803FC"/>
    <w:rsid w:val="00881566"/>
    <w:rsid w:val="00881876"/>
    <w:rsid w:val="00881B2F"/>
    <w:rsid w:val="0088549F"/>
    <w:rsid w:val="008861E3"/>
    <w:rsid w:val="00887B06"/>
    <w:rsid w:val="00891452"/>
    <w:rsid w:val="008A2A02"/>
    <w:rsid w:val="008A3E0C"/>
    <w:rsid w:val="008A4573"/>
    <w:rsid w:val="008A4BB5"/>
    <w:rsid w:val="008A5B4A"/>
    <w:rsid w:val="008A69BC"/>
    <w:rsid w:val="008A7A4B"/>
    <w:rsid w:val="008B0F78"/>
    <w:rsid w:val="008B36ED"/>
    <w:rsid w:val="008B5623"/>
    <w:rsid w:val="008B60CD"/>
    <w:rsid w:val="008C4A2F"/>
    <w:rsid w:val="008C5421"/>
    <w:rsid w:val="008C6710"/>
    <w:rsid w:val="008C6F01"/>
    <w:rsid w:val="008D145A"/>
    <w:rsid w:val="008D231E"/>
    <w:rsid w:val="008D4D17"/>
    <w:rsid w:val="008E1B9B"/>
    <w:rsid w:val="008E3510"/>
    <w:rsid w:val="008E4BD1"/>
    <w:rsid w:val="008E510D"/>
    <w:rsid w:val="008E5999"/>
    <w:rsid w:val="008E61DB"/>
    <w:rsid w:val="008E7DE8"/>
    <w:rsid w:val="008F07E8"/>
    <w:rsid w:val="008F1062"/>
    <w:rsid w:val="008F11EF"/>
    <w:rsid w:val="008F14D4"/>
    <w:rsid w:val="008F1957"/>
    <w:rsid w:val="008F28B7"/>
    <w:rsid w:val="008F5B31"/>
    <w:rsid w:val="008F5D3F"/>
    <w:rsid w:val="009002C6"/>
    <w:rsid w:val="00901E38"/>
    <w:rsid w:val="0090329E"/>
    <w:rsid w:val="00904B7C"/>
    <w:rsid w:val="00906F1B"/>
    <w:rsid w:val="00915EEE"/>
    <w:rsid w:val="00915F68"/>
    <w:rsid w:val="00920F57"/>
    <w:rsid w:val="009232F8"/>
    <w:rsid w:val="0092554D"/>
    <w:rsid w:val="00930821"/>
    <w:rsid w:val="009309E3"/>
    <w:rsid w:val="009312B3"/>
    <w:rsid w:val="00931D34"/>
    <w:rsid w:val="00934800"/>
    <w:rsid w:val="00937837"/>
    <w:rsid w:val="0094097F"/>
    <w:rsid w:val="00942026"/>
    <w:rsid w:val="009467DF"/>
    <w:rsid w:val="00952FDD"/>
    <w:rsid w:val="0095353A"/>
    <w:rsid w:val="00955E32"/>
    <w:rsid w:val="0096401A"/>
    <w:rsid w:val="009652BF"/>
    <w:rsid w:val="0096534D"/>
    <w:rsid w:val="009717C9"/>
    <w:rsid w:val="00971B67"/>
    <w:rsid w:val="00975FE7"/>
    <w:rsid w:val="0098377F"/>
    <w:rsid w:val="00984BF4"/>
    <w:rsid w:val="00991BEB"/>
    <w:rsid w:val="0099261E"/>
    <w:rsid w:val="00994808"/>
    <w:rsid w:val="00994B05"/>
    <w:rsid w:val="009978DD"/>
    <w:rsid w:val="009A0B23"/>
    <w:rsid w:val="009A2860"/>
    <w:rsid w:val="009A4214"/>
    <w:rsid w:val="009A5877"/>
    <w:rsid w:val="009A5A1A"/>
    <w:rsid w:val="009A699D"/>
    <w:rsid w:val="009B138D"/>
    <w:rsid w:val="009B22E5"/>
    <w:rsid w:val="009B3D17"/>
    <w:rsid w:val="009B58B7"/>
    <w:rsid w:val="009B6188"/>
    <w:rsid w:val="009C0DC9"/>
    <w:rsid w:val="009C5B6B"/>
    <w:rsid w:val="009C770F"/>
    <w:rsid w:val="009C7E0D"/>
    <w:rsid w:val="009D049C"/>
    <w:rsid w:val="009D1AA8"/>
    <w:rsid w:val="009D241A"/>
    <w:rsid w:val="009D4AD4"/>
    <w:rsid w:val="009D4D6F"/>
    <w:rsid w:val="009D6D15"/>
    <w:rsid w:val="009E0E07"/>
    <w:rsid w:val="009E1000"/>
    <w:rsid w:val="009E4FE7"/>
    <w:rsid w:val="009F0F79"/>
    <w:rsid w:val="009F1166"/>
    <w:rsid w:val="009F4731"/>
    <w:rsid w:val="00A02C2A"/>
    <w:rsid w:val="00A04587"/>
    <w:rsid w:val="00A04F7F"/>
    <w:rsid w:val="00A06E8F"/>
    <w:rsid w:val="00A1262C"/>
    <w:rsid w:val="00A13F90"/>
    <w:rsid w:val="00A150DF"/>
    <w:rsid w:val="00A2486C"/>
    <w:rsid w:val="00A25326"/>
    <w:rsid w:val="00A27073"/>
    <w:rsid w:val="00A30527"/>
    <w:rsid w:val="00A31024"/>
    <w:rsid w:val="00A3288B"/>
    <w:rsid w:val="00A33292"/>
    <w:rsid w:val="00A339A7"/>
    <w:rsid w:val="00A36A7F"/>
    <w:rsid w:val="00A41C2D"/>
    <w:rsid w:val="00A43EA0"/>
    <w:rsid w:val="00A45CAA"/>
    <w:rsid w:val="00A52735"/>
    <w:rsid w:val="00A54597"/>
    <w:rsid w:val="00A600DB"/>
    <w:rsid w:val="00A615AE"/>
    <w:rsid w:val="00A628C5"/>
    <w:rsid w:val="00A64C8A"/>
    <w:rsid w:val="00A67EF4"/>
    <w:rsid w:val="00A703C5"/>
    <w:rsid w:val="00A716CA"/>
    <w:rsid w:val="00A76A86"/>
    <w:rsid w:val="00A820FD"/>
    <w:rsid w:val="00A84BF4"/>
    <w:rsid w:val="00A905F0"/>
    <w:rsid w:val="00A97112"/>
    <w:rsid w:val="00A9778C"/>
    <w:rsid w:val="00AA0A68"/>
    <w:rsid w:val="00AB2AB5"/>
    <w:rsid w:val="00AB4826"/>
    <w:rsid w:val="00AB59F7"/>
    <w:rsid w:val="00AC014E"/>
    <w:rsid w:val="00AC5AF9"/>
    <w:rsid w:val="00AE3D61"/>
    <w:rsid w:val="00AE5154"/>
    <w:rsid w:val="00AE52CB"/>
    <w:rsid w:val="00AE74AE"/>
    <w:rsid w:val="00AE758B"/>
    <w:rsid w:val="00AF0D50"/>
    <w:rsid w:val="00AF1EFC"/>
    <w:rsid w:val="00AF3230"/>
    <w:rsid w:val="00AF3C38"/>
    <w:rsid w:val="00AF59F8"/>
    <w:rsid w:val="00B0236C"/>
    <w:rsid w:val="00B02402"/>
    <w:rsid w:val="00B024F6"/>
    <w:rsid w:val="00B03BBE"/>
    <w:rsid w:val="00B119C9"/>
    <w:rsid w:val="00B11F98"/>
    <w:rsid w:val="00B16D1A"/>
    <w:rsid w:val="00B16D4B"/>
    <w:rsid w:val="00B17052"/>
    <w:rsid w:val="00B22D9A"/>
    <w:rsid w:val="00B23243"/>
    <w:rsid w:val="00B2573A"/>
    <w:rsid w:val="00B27BD1"/>
    <w:rsid w:val="00B27DDA"/>
    <w:rsid w:val="00B320CF"/>
    <w:rsid w:val="00B329F5"/>
    <w:rsid w:val="00B33479"/>
    <w:rsid w:val="00B3462D"/>
    <w:rsid w:val="00B35F61"/>
    <w:rsid w:val="00B4012F"/>
    <w:rsid w:val="00B41E33"/>
    <w:rsid w:val="00B4351B"/>
    <w:rsid w:val="00B45F5E"/>
    <w:rsid w:val="00B50A74"/>
    <w:rsid w:val="00B57B2C"/>
    <w:rsid w:val="00B601CC"/>
    <w:rsid w:val="00B609D0"/>
    <w:rsid w:val="00B67FBA"/>
    <w:rsid w:val="00B725DA"/>
    <w:rsid w:val="00B74BCB"/>
    <w:rsid w:val="00B81BDD"/>
    <w:rsid w:val="00B82629"/>
    <w:rsid w:val="00B93F45"/>
    <w:rsid w:val="00B95A78"/>
    <w:rsid w:val="00BA0332"/>
    <w:rsid w:val="00BA0BB0"/>
    <w:rsid w:val="00BA1262"/>
    <w:rsid w:val="00BA579C"/>
    <w:rsid w:val="00BB2236"/>
    <w:rsid w:val="00BB34A7"/>
    <w:rsid w:val="00BB3992"/>
    <w:rsid w:val="00BC07B3"/>
    <w:rsid w:val="00BC371B"/>
    <w:rsid w:val="00BC7A44"/>
    <w:rsid w:val="00BE1B02"/>
    <w:rsid w:val="00BE2C6C"/>
    <w:rsid w:val="00BE53FD"/>
    <w:rsid w:val="00BF1485"/>
    <w:rsid w:val="00BF2B95"/>
    <w:rsid w:val="00BF2BBD"/>
    <w:rsid w:val="00BF4E93"/>
    <w:rsid w:val="00BF5184"/>
    <w:rsid w:val="00C003BD"/>
    <w:rsid w:val="00C1676B"/>
    <w:rsid w:val="00C16E0D"/>
    <w:rsid w:val="00C20703"/>
    <w:rsid w:val="00C20EC7"/>
    <w:rsid w:val="00C21B11"/>
    <w:rsid w:val="00C222F9"/>
    <w:rsid w:val="00C22B3B"/>
    <w:rsid w:val="00C22E68"/>
    <w:rsid w:val="00C2519D"/>
    <w:rsid w:val="00C33366"/>
    <w:rsid w:val="00C3575C"/>
    <w:rsid w:val="00C37830"/>
    <w:rsid w:val="00C470F6"/>
    <w:rsid w:val="00C54C30"/>
    <w:rsid w:val="00C5551B"/>
    <w:rsid w:val="00C56613"/>
    <w:rsid w:val="00C609D1"/>
    <w:rsid w:val="00C61080"/>
    <w:rsid w:val="00C659CD"/>
    <w:rsid w:val="00C6648A"/>
    <w:rsid w:val="00C6728A"/>
    <w:rsid w:val="00C7063F"/>
    <w:rsid w:val="00C71530"/>
    <w:rsid w:val="00C724EB"/>
    <w:rsid w:val="00C73E31"/>
    <w:rsid w:val="00C76C36"/>
    <w:rsid w:val="00C8423A"/>
    <w:rsid w:val="00C872FF"/>
    <w:rsid w:val="00C90D4F"/>
    <w:rsid w:val="00C95F39"/>
    <w:rsid w:val="00C9748E"/>
    <w:rsid w:val="00CA0002"/>
    <w:rsid w:val="00CA4786"/>
    <w:rsid w:val="00CA480E"/>
    <w:rsid w:val="00CA62AB"/>
    <w:rsid w:val="00CB03C1"/>
    <w:rsid w:val="00CB041B"/>
    <w:rsid w:val="00CB18F1"/>
    <w:rsid w:val="00CB4F9E"/>
    <w:rsid w:val="00CB6DF2"/>
    <w:rsid w:val="00CC12EE"/>
    <w:rsid w:val="00CC1C5C"/>
    <w:rsid w:val="00CC3D49"/>
    <w:rsid w:val="00CC42C1"/>
    <w:rsid w:val="00CD33A7"/>
    <w:rsid w:val="00CD45A4"/>
    <w:rsid w:val="00CD45D0"/>
    <w:rsid w:val="00CD4822"/>
    <w:rsid w:val="00CD5607"/>
    <w:rsid w:val="00CD665E"/>
    <w:rsid w:val="00CE1F1C"/>
    <w:rsid w:val="00CE2A1E"/>
    <w:rsid w:val="00CE5D4D"/>
    <w:rsid w:val="00CE66A1"/>
    <w:rsid w:val="00CF3DA6"/>
    <w:rsid w:val="00D02FA9"/>
    <w:rsid w:val="00D036DB"/>
    <w:rsid w:val="00D04D08"/>
    <w:rsid w:val="00D04E0B"/>
    <w:rsid w:val="00D102B3"/>
    <w:rsid w:val="00D10B3C"/>
    <w:rsid w:val="00D125E7"/>
    <w:rsid w:val="00D12B29"/>
    <w:rsid w:val="00D1481C"/>
    <w:rsid w:val="00D22614"/>
    <w:rsid w:val="00D22FC6"/>
    <w:rsid w:val="00D2376B"/>
    <w:rsid w:val="00D24170"/>
    <w:rsid w:val="00D24284"/>
    <w:rsid w:val="00D27155"/>
    <w:rsid w:val="00D31CE2"/>
    <w:rsid w:val="00D34962"/>
    <w:rsid w:val="00D36C71"/>
    <w:rsid w:val="00D410B5"/>
    <w:rsid w:val="00D50E7F"/>
    <w:rsid w:val="00D60AAB"/>
    <w:rsid w:val="00D6258C"/>
    <w:rsid w:val="00D64F2C"/>
    <w:rsid w:val="00D70418"/>
    <w:rsid w:val="00D71AD0"/>
    <w:rsid w:val="00D7341E"/>
    <w:rsid w:val="00D738AC"/>
    <w:rsid w:val="00D76E9C"/>
    <w:rsid w:val="00D81B74"/>
    <w:rsid w:val="00D836EE"/>
    <w:rsid w:val="00D91BC3"/>
    <w:rsid w:val="00D945F9"/>
    <w:rsid w:val="00DA1896"/>
    <w:rsid w:val="00DA2467"/>
    <w:rsid w:val="00DA43EA"/>
    <w:rsid w:val="00DA526F"/>
    <w:rsid w:val="00DA5F4A"/>
    <w:rsid w:val="00DA6E29"/>
    <w:rsid w:val="00DB0CD7"/>
    <w:rsid w:val="00DB0F74"/>
    <w:rsid w:val="00DB34CD"/>
    <w:rsid w:val="00DC6C99"/>
    <w:rsid w:val="00DD01F9"/>
    <w:rsid w:val="00DD6D37"/>
    <w:rsid w:val="00DE480F"/>
    <w:rsid w:val="00DF0477"/>
    <w:rsid w:val="00DF08EC"/>
    <w:rsid w:val="00DF235B"/>
    <w:rsid w:val="00DF3DDA"/>
    <w:rsid w:val="00DF6E63"/>
    <w:rsid w:val="00E01CE9"/>
    <w:rsid w:val="00E04AE3"/>
    <w:rsid w:val="00E06DF9"/>
    <w:rsid w:val="00E11C6B"/>
    <w:rsid w:val="00E1259F"/>
    <w:rsid w:val="00E15C88"/>
    <w:rsid w:val="00E17DCE"/>
    <w:rsid w:val="00E2320B"/>
    <w:rsid w:val="00E25394"/>
    <w:rsid w:val="00E25C92"/>
    <w:rsid w:val="00E276A8"/>
    <w:rsid w:val="00E278E6"/>
    <w:rsid w:val="00E27A17"/>
    <w:rsid w:val="00E36F5F"/>
    <w:rsid w:val="00E41CA5"/>
    <w:rsid w:val="00E422A3"/>
    <w:rsid w:val="00E43F1E"/>
    <w:rsid w:val="00E4412B"/>
    <w:rsid w:val="00E4613F"/>
    <w:rsid w:val="00E46485"/>
    <w:rsid w:val="00E50003"/>
    <w:rsid w:val="00E54C81"/>
    <w:rsid w:val="00E55BF5"/>
    <w:rsid w:val="00E600B6"/>
    <w:rsid w:val="00E634BA"/>
    <w:rsid w:val="00E64A5E"/>
    <w:rsid w:val="00E64E69"/>
    <w:rsid w:val="00E67782"/>
    <w:rsid w:val="00E70480"/>
    <w:rsid w:val="00E7279A"/>
    <w:rsid w:val="00E72EA2"/>
    <w:rsid w:val="00E757B0"/>
    <w:rsid w:val="00E85A39"/>
    <w:rsid w:val="00E8738E"/>
    <w:rsid w:val="00E8745E"/>
    <w:rsid w:val="00E87D55"/>
    <w:rsid w:val="00E945C2"/>
    <w:rsid w:val="00E95C89"/>
    <w:rsid w:val="00E96FA0"/>
    <w:rsid w:val="00EA627E"/>
    <w:rsid w:val="00EB22A3"/>
    <w:rsid w:val="00EB6C36"/>
    <w:rsid w:val="00ED4F3B"/>
    <w:rsid w:val="00ED53F5"/>
    <w:rsid w:val="00ED60FE"/>
    <w:rsid w:val="00ED7FE4"/>
    <w:rsid w:val="00EE6D9A"/>
    <w:rsid w:val="00EE79FE"/>
    <w:rsid w:val="00EF1ADA"/>
    <w:rsid w:val="00EF240E"/>
    <w:rsid w:val="00EF2D2A"/>
    <w:rsid w:val="00EF38E3"/>
    <w:rsid w:val="00EF708D"/>
    <w:rsid w:val="00F000B7"/>
    <w:rsid w:val="00F00920"/>
    <w:rsid w:val="00F0154E"/>
    <w:rsid w:val="00F02D69"/>
    <w:rsid w:val="00F05530"/>
    <w:rsid w:val="00F05A04"/>
    <w:rsid w:val="00F07153"/>
    <w:rsid w:val="00F076EE"/>
    <w:rsid w:val="00F10666"/>
    <w:rsid w:val="00F1674F"/>
    <w:rsid w:val="00F20E3F"/>
    <w:rsid w:val="00F23264"/>
    <w:rsid w:val="00F25514"/>
    <w:rsid w:val="00F31CB2"/>
    <w:rsid w:val="00F3200A"/>
    <w:rsid w:val="00F3657E"/>
    <w:rsid w:val="00F42271"/>
    <w:rsid w:val="00F43DC9"/>
    <w:rsid w:val="00F56499"/>
    <w:rsid w:val="00F56508"/>
    <w:rsid w:val="00F56859"/>
    <w:rsid w:val="00F61AA5"/>
    <w:rsid w:val="00F62413"/>
    <w:rsid w:val="00F62E38"/>
    <w:rsid w:val="00F660D3"/>
    <w:rsid w:val="00F75A91"/>
    <w:rsid w:val="00F777FF"/>
    <w:rsid w:val="00F83686"/>
    <w:rsid w:val="00F846E8"/>
    <w:rsid w:val="00F85077"/>
    <w:rsid w:val="00F86224"/>
    <w:rsid w:val="00F91FC2"/>
    <w:rsid w:val="00F94483"/>
    <w:rsid w:val="00F94E9F"/>
    <w:rsid w:val="00F94FF6"/>
    <w:rsid w:val="00F97C05"/>
    <w:rsid w:val="00FA174D"/>
    <w:rsid w:val="00FA6E92"/>
    <w:rsid w:val="00FB12DC"/>
    <w:rsid w:val="00FB2916"/>
    <w:rsid w:val="00FB6084"/>
    <w:rsid w:val="00FB7685"/>
    <w:rsid w:val="00FC2926"/>
    <w:rsid w:val="00FD0716"/>
    <w:rsid w:val="00FD36CB"/>
    <w:rsid w:val="00FD780E"/>
    <w:rsid w:val="00FE0103"/>
    <w:rsid w:val="00FE1209"/>
    <w:rsid w:val="00FE46A4"/>
    <w:rsid w:val="00FE7F15"/>
    <w:rsid w:val="00FF2B11"/>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D4"/>
  </w:style>
  <w:style w:type="paragraph" w:styleId="Heading2">
    <w:name w:val="heading 2"/>
    <w:basedOn w:val="Normal"/>
    <w:next w:val="Normal"/>
    <w:link w:val="Heading2Char"/>
    <w:qFormat/>
    <w:rsid w:val="007168D4"/>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68D4"/>
    <w:rPr>
      <w:rFonts w:ascii="Times New Roman" w:eastAsia="SimSun" w:hAnsi="Times New Roman" w:cs="Times New Roman"/>
      <w:color w:val="000000"/>
      <w:sz w:val="36"/>
      <w:szCs w:val="20"/>
      <w:lang w:eastAsia="zh-CN"/>
    </w:rPr>
  </w:style>
  <w:style w:type="paragraph" w:styleId="Header">
    <w:name w:val="header"/>
    <w:basedOn w:val="Normal"/>
    <w:link w:val="HeaderChar"/>
    <w:rsid w:val="007168D4"/>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7168D4"/>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7168D4"/>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7168D4"/>
    <w:rPr>
      <w:rFonts w:ascii="Times" w:eastAsia="Times New Roman" w:hAnsi="Times" w:cs="Times New Roman"/>
      <w:szCs w:val="20"/>
      <w:lang w:eastAsia="zh-CN"/>
    </w:rPr>
  </w:style>
  <w:style w:type="character" w:styleId="PageNumber">
    <w:name w:val="page number"/>
    <w:rsid w:val="007168D4"/>
    <w:rPr>
      <w:rFonts w:cs="Times New Roman"/>
    </w:rPr>
  </w:style>
  <w:style w:type="paragraph" w:styleId="Footer">
    <w:name w:val="footer"/>
    <w:basedOn w:val="Normal"/>
    <w:link w:val="FooterChar"/>
    <w:uiPriority w:val="99"/>
    <w:rsid w:val="007168D4"/>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7168D4"/>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1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D4"/>
    <w:rPr>
      <w:rFonts w:ascii="Tahoma" w:hAnsi="Tahoma" w:cs="Tahoma"/>
      <w:sz w:val="16"/>
      <w:szCs w:val="16"/>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ootnote text,5_G"/>
    <w:basedOn w:val="Normal"/>
    <w:link w:val="FootnoteTextChar"/>
    <w:unhideWhenUsed/>
    <w:qFormat/>
    <w:rsid w:val="004362DF"/>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4362DF"/>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ESPON Footnote N"/>
    <w:link w:val="BVIfnrCharCharCharCharCharChar"/>
    <w:qFormat/>
    <w:rsid w:val="004362DF"/>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 Char1 Char Char Char Char Char"/>
    <w:basedOn w:val="Normal"/>
    <w:link w:val="FootnoteReference"/>
    <w:rsid w:val="004362DF"/>
    <w:pPr>
      <w:spacing w:after="160" w:line="240" w:lineRule="exact"/>
    </w:pPr>
    <w:rPr>
      <w:vertAlign w:val="superscript"/>
    </w:rPr>
  </w:style>
  <w:style w:type="character" w:styleId="Hyperlink">
    <w:name w:val="Hyperlink"/>
    <w:basedOn w:val="DefaultParagraphFont"/>
    <w:uiPriority w:val="99"/>
    <w:unhideWhenUsed/>
    <w:rsid w:val="008F1062"/>
    <w:rPr>
      <w:color w:val="0000FF" w:themeColor="hyperlink"/>
      <w:u w:val="single"/>
    </w:rPr>
  </w:style>
  <w:style w:type="character" w:styleId="FollowedHyperlink">
    <w:name w:val="FollowedHyperlink"/>
    <w:basedOn w:val="DefaultParagraphFont"/>
    <w:uiPriority w:val="99"/>
    <w:semiHidden/>
    <w:unhideWhenUsed/>
    <w:rsid w:val="00DD6D37"/>
    <w:rPr>
      <w:color w:val="800080" w:themeColor="followedHyperlink"/>
      <w:u w:val="single"/>
    </w:rPr>
  </w:style>
  <w:style w:type="paragraph" w:styleId="ListParagraph">
    <w:name w:val="List Paragraph"/>
    <w:basedOn w:val="Normal"/>
    <w:uiPriority w:val="34"/>
    <w:qFormat/>
    <w:rsid w:val="00B11F98"/>
    <w:pPr>
      <w:ind w:left="720"/>
      <w:contextualSpacing/>
    </w:pPr>
  </w:style>
  <w:style w:type="character" w:styleId="CommentReference">
    <w:name w:val="annotation reference"/>
    <w:basedOn w:val="DefaultParagraphFont"/>
    <w:uiPriority w:val="99"/>
    <w:semiHidden/>
    <w:unhideWhenUsed/>
    <w:rsid w:val="00705361"/>
    <w:rPr>
      <w:sz w:val="16"/>
      <w:szCs w:val="16"/>
    </w:rPr>
  </w:style>
  <w:style w:type="paragraph" w:styleId="CommentText">
    <w:name w:val="annotation text"/>
    <w:basedOn w:val="Normal"/>
    <w:link w:val="CommentTextChar"/>
    <w:uiPriority w:val="99"/>
    <w:semiHidden/>
    <w:unhideWhenUsed/>
    <w:rsid w:val="00705361"/>
    <w:pPr>
      <w:spacing w:line="240" w:lineRule="auto"/>
    </w:pPr>
    <w:rPr>
      <w:sz w:val="20"/>
      <w:szCs w:val="20"/>
    </w:rPr>
  </w:style>
  <w:style w:type="character" w:customStyle="1" w:styleId="CommentTextChar">
    <w:name w:val="Comment Text Char"/>
    <w:basedOn w:val="DefaultParagraphFont"/>
    <w:link w:val="CommentText"/>
    <w:uiPriority w:val="99"/>
    <w:semiHidden/>
    <w:rsid w:val="00705361"/>
    <w:rPr>
      <w:sz w:val="20"/>
      <w:szCs w:val="20"/>
    </w:rPr>
  </w:style>
  <w:style w:type="paragraph" w:styleId="CommentSubject">
    <w:name w:val="annotation subject"/>
    <w:basedOn w:val="CommentText"/>
    <w:next w:val="CommentText"/>
    <w:link w:val="CommentSubjectChar"/>
    <w:uiPriority w:val="99"/>
    <w:semiHidden/>
    <w:unhideWhenUsed/>
    <w:rsid w:val="00705361"/>
    <w:rPr>
      <w:b/>
      <w:bCs/>
    </w:rPr>
  </w:style>
  <w:style w:type="character" w:customStyle="1" w:styleId="CommentSubjectChar">
    <w:name w:val="Comment Subject Char"/>
    <w:basedOn w:val="CommentTextChar"/>
    <w:link w:val="CommentSubject"/>
    <w:uiPriority w:val="99"/>
    <w:semiHidden/>
    <w:rsid w:val="00705361"/>
    <w:rPr>
      <w:b/>
      <w:bCs/>
      <w:sz w:val="20"/>
      <w:szCs w:val="20"/>
    </w:rPr>
  </w:style>
  <w:style w:type="paragraph" w:customStyle="1" w:styleId="Text1">
    <w:name w:val="Text 1"/>
    <w:basedOn w:val="Normal"/>
    <w:rsid w:val="005B150B"/>
    <w:pPr>
      <w:spacing w:after="240" w:line="240" w:lineRule="auto"/>
      <w:ind w:left="482"/>
      <w:jc w:val="both"/>
    </w:pPr>
    <w:rPr>
      <w:rFonts w:ascii="Times New Roman" w:eastAsia="Times New Roman" w:hAnsi="Times New Roman" w:cs="Times New Roman"/>
      <w:sz w:val="24"/>
      <w:szCs w:val="20"/>
    </w:rPr>
  </w:style>
  <w:style w:type="paragraph" w:customStyle="1" w:styleId="References">
    <w:name w:val="References"/>
    <w:basedOn w:val="Normal"/>
    <w:next w:val="Normal"/>
    <w:uiPriority w:val="99"/>
    <w:rsid w:val="00754A33"/>
    <w:pPr>
      <w:spacing w:after="240" w:line="240" w:lineRule="auto"/>
      <w:ind w:left="5103"/>
    </w:pPr>
    <w:rPr>
      <w:rFonts w:ascii="Times New Roman" w:eastAsia="Times New Roman" w:hAnsi="Times New Roman" w:cs="Times New Roman"/>
      <w:sz w:val="20"/>
      <w:szCs w:val="20"/>
    </w:rPr>
  </w:style>
  <w:style w:type="paragraph" w:styleId="Revision">
    <w:name w:val="Revision"/>
    <w:hidden/>
    <w:uiPriority w:val="99"/>
    <w:semiHidden/>
    <w:rsid w:val="00C71530"/>
    <w:pPr>
      <w:spacing w:after="0" w:line="240" w:lineRule="auto"/>
    </w:pPr>
  </w:style>
  <w:style w:type="paragraph" w:customStyle="1" w:styleId="Default">
    <w:name w:val="Default"/>
    <w:rsid w:val="00AF1EF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D4"/>
  </w:style>
  <w:style w:type="paragraph" w:styleId="Heading2">
    <w:name w:val="heading 2"/>
    <w:basedOn w:val="Normal"/>
    <w:next w:val="Normal"/>
    <w:link w:val="Heading2Char"/>
    <w:qFormat/>
    <w:rsid w:val="007168D4"/>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68D4"/>
    <w:rPr>
      <w:rFonts w:ascii="Times New Roman" w:eastAsia="SimSun" w:hAnsi="Times New Roman" w:cs="Times New Roman"/>
      <w:color w:val="000000"/>
      <w:sz w:val="36"/>
      <w:szCs w:val="20"/>
      <w:lang w:eastAsia="zh-CN"/>
    </w:rPr>
  </w:style>
  <w:style w:type="paragraph" w:styleId="Header">
    <w:name w:val="header"/>
    <w:basedOn w:val="Normal"/>
    <w:link w:val="HeaderChar"/>
    <w:rsid w:val="007168D4"/>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7168D4"/>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7168D4"/>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7168D4"/>
    <w:rPr>
      <w:rFonts w:ascii="Times" w:eastAsia="Times New Roman" w:hAnsi="Times" w:cs="Times New Roman"/>
      <w:szCs w:val="20"/>
      <w:lang w:eastAsia="zh-CN"/>
    </w:rPr>
  </w:style>
  <w:style w:type="character" w:styleId="PageNumber">
    <w:name w:val="page number"/>
    <w:rsid w:val="007168D4"/>
    <w:rPr>
      <w:rFonts w:cs="Times New Roman"/>
    </w:rPr>
  </w:style>
  <w:style w:type="paragraph" w:styleId="Footer">
    <w:name w:val="footer"/>
    <w:basedOn w:val="Normal"/>
    <w:link w:val="FooterChar"/>
    <w:uiPriority w:val="99"/>
    <w:rsid w:val="007168D4"/>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7168D4"/>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1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D4"/>
    <w:rPr>
      <w:rFonts w:ascii="Tahoma" w:hAnsi="Tahoma" w:cs="Tahoma"/>
      <w:sz w:val="16"/>
      <w:szCs w:val="16"/>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ootnote text,5_G"/>
    <w:basedOn w:val="Normal"/>
    <w:link w:val="FootnoteTextChar"/>
    <w:unhideWhenUsed/>
    <w:qFormat/>
    <w:rsid w:val="004362DF"/>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4362DF"/>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ESPON Footnote N"/>
    <w:link w:val="BVIfnrCharCharCharCharCharChar"/>
    <w:qFormat/>
    <w:rsid w:val="004362DF"/>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 Char1 Char Char Char Char Char"/>
    <w:basedOn w:val="Normal"/>
    <w:link w:val="FootnoteReference"/>
    <w:rsid w:val="004362DF"/>
    <w:pPr>
      <w:spacing w:after="160" w:line="240" w:lineRule="exact"/>
    </w:pPr>
    <w:rPr>
      <w:vertAlign w:val="superscript"/>
    </w:rPr>
  </w:style>
  <w:style w:type="character" w:styleId="Hyperlink">
    <w:name w:val="Hyperlink"/>
    <w:basedOn w:val="DefaultParagraphFont"/>
    <w:uiPriority w:val="99"/>
    <w:unhideWhenUsed/>
    <w:rsid w:val="008F1062"/>
    <w:rPr>
      <w:color w:val="0000FF" w:themeColor="hyperlink"/>
      <w:u w:val="single"/>
    </w:rPr>
  </w:style>
  <w:style w:type="character" w:styleId="FollowedHyperlink">
    <w:name w:val="FollowedHyperlink"/>
    <w:basedOn w:val="DefaultParagraphFont"/>
    <w:uiPriority w:val="99"/>
    <w:semiHidden/>
    <w:unhideWhenUsed/>
    <w:rsid w:val="00DD6D37"/>
    <w:rPr>
      <w:color w:val="800080" w:themeColor="followedHyperlink"/>
      <w:u w:val="single"/>
    </w:rPr>
  </w:style>
  <w:style w:type="paragraph" w:styleId="ListParagraph">
    <w:name w:val="List Paragraph"/>
    <w:basedOn w:val="Normal"/>
    <w:uiPriority w:val="34"/>
    <w:qFormat/>
    <w:rsid w:val="00B11F98"/>
    <w:pPr>
      <w:ind w:left="720"/>
      <w:contextualSpacing/>
    </w:pPr>
  </w:style>
  <w:style w:type="character" w:styleId="CommentReference">
    <w:name w:val="annotation reference"/>
    <w:basedOn w:val="DefaultParagraphFont"/>
    <w:uiPriority w:val="99"/>
    <w:semiHidden/>
    <w:unhideWhenUsed/>
    <w:rsid w:val="00705361"/>
    <w:rPr>
      <w:sz w:val="16"/>
      <w:szCs w:val="16"/>
    </w:rPr>
  </w:style>
  <w:style w:type="paragraph" w:styleId="CommentText">
    <w:name w:val="annotation text"/>
    <w:basedOn w:val="Normal"/>
    <w:link w:val="CommentTextChar"/>
    <w:uiPriority w:val="99"/>
    <w:semiHidden/>
    <w:unhideWhenUsed/>
    <w:rsid w:val="00705361"/>
    <w:pPr>
      <w:spacing w:line="240" w:lineRule="auto"/>
    </w:pPr>
    <w:rPr>
      <w:sz w:val="20"/>
      <w:szCs w:val="20"/>
    </w:rPr>
  </w:style>
  <w:style w:type="character" w:customStyle="1" w:styleId="CommentTextChar">
    <w:name w:val="Comment Text Char"/>
    <w:basedOn w:val="DefaultParagraphFont"/>
    <w:link w:val="CommentText"/>
    <w:uiPriority w:val="99"/>
    <w:semiHidden/>
    <w:rsid w:val="00705361"/>
    <w:rPr>
      <w:sz w:val="20"/>
      <w:szCs w:val="20"/>
    </w:rPr>
  </w:style>
  <w:style w:type="paragraph" w:styleId="CommentSubject">
    <w:name w:val="annotation subject"/>
    <w:basedOn w:val="CommentText"/>
    <w:next w:val="CommentText"/>
    <w:link w:val="CommentSubjectChar"/>
    <w:uiPriority w:val="99"/>
    <w:semiHidden/>
    <w:unhideWhenUsed/>
    <w:rsid w:val="00705361"/>
    <w:rPr>
      <w:b/>
      <w:bCs/>
    </w:rPr>
  </w:style>
  <w:style w:type="character" w:customStyle="1" w:styleId="CommentSubjectChar">
    <w:name w:val="Comment Subject Char"/>
    <w:basedOn w:val="CommentTextChar"/>
    <w:link w:val="CommentSubject"/>
    <w:uiPriority w:val="99"/>
    <w:semiHidden/>
    <w:rsid w:val="00705361"/>
    <w:rPr>
      <w:b/>
      <w:bCs/>
      <w:sz w:val="20"/>
      <w:szCs w:val="20"/>
    </w:rPr>
  </w:style>
  <w:style w:type="paragraph" w:customStyle="1" w:styleId="Text1">
    <w:name w:val="Text 1"/>
    <w:basedOn w:val="Normal"/>
    <w:rsid w:val="005B150B"/>
    <w:pPr>
      <w:spacing w:after="240" w:line="240" w:lineRule="auto"/>
      <w:ind w:left="482"/>
      <w:jc w:val="both"/>
    </w:pPr>
    <w:rPr>
      <w:rFonts w:ascii="Times New Roman" w:eastAsia="Times New Roman" w:hAnsi="Times New Roman" w:cs="Times New Roman"/>
      <w:sz w:val="24"/>
      <w:szCs w:val="20"/>
    </w:rPr>
  </w:style>
  <w:style w:type="paragraph" w:customStyle="1" w:styleId="References">
    <w:name w:val="References"/>
    <w:basedOn w:val="Normal"/>
    <w:next w:val="Normal"/>
    <w:uiPriority w:val="99"/>
    <w:rsid w:val="00754A33"/>
    <w:pPr>
      <w:spacing w:after="240" w:line="240" w:lineRule="auto"/>
      <w:ind w:left="5103"/>
    </w:pPr>
    <w:rPr>
      <w:rFonts w:ascii="Times New Roman" w:eastAsia="Times New Roman" w:hAnsi="Times New Roman" w:cs="Times New Roman"/>
      <w:sz w:val="20"/>
      <w:szCs w:val="20"/>
    </w:rPr>
  </w:style>
  <w:style w:type="paragraph" w:styleId="Revision">
    <w:name w:val="Revision"/>
    <w:hidden/>
    <w:uiPriority w:val="99"/>
    <w:semiHidden/>
    <w:rsid w:val="00C71530"/>
    <w:pPr>
      <w:spacing w:after="0" w:line="240" w:lineRule="auto"/>
    </w:pPr>
  </w:style>
  <w:style w:type="paragraph" w:customStyle="1" w:styleId="Default">
    <w:name w:val="Default"/>
    <w:rsid w:val="00AF1EF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1517">
      <w:bodyDiv w:val="1"/>
      <w:marLeft w:val="0"/>
      <w:marRight w:val="0"/>
      <w:marTop w:val="0"/>
      <w:marBottom w:val="0"/>
      <w:divBdr>
        <w:top w:val="none" w:sz="0" w:space="0" w:color="auto"/>
        <w:left w:val="none" w:sz="0" w:space="0" w:color="auto"/>
        <w:bottom w:val="none" w:sz="0" w:space="0" w:color="auto"/>
        <w:right w:val="none" w:sz="0" w:space="0" w:color="auto"/>
      </w:divBdr>
    </w:div>
    <w:div w:id="652369408">
      <w:bodyDiv w:val="1"/>
      <w:marLeft w:val="0"/>
      <w:marRight w:val="0"/>
      <w:marTop w:val="0"/>
      <w:marBottom w:val="0"/>
      <w:divBdr>
        <w:top w:val="none" w:sz="0" w:space="0" w:color="auto"/>
        <w:left w:val="none" w:sz="0" w:space="0" w:color="auto"/>
        <w:bottom w:val="none" w:sz="0" w:space="0" w:color="auto"/>
        <w:right w:val="none" w:sz="0" w:space="0" w:color="auto"/>
      </w:divBdr>
    </w:div>
    <w:div w:id="1085805753">
      <w:bodyDiv w:val="1"/>
      <w:marLeft w:val="0"/>
      <w:marRight w:val="0"/>
      <w:marTop w:val="0"/>
      <w:marBottom w:val="0"/>
      <w:divBdr>
        <w:top w:val="none" w:sz="0" w:space="0" w:color="auto"/>
        <w:left w:val="none" w:sz="0" w:space="0" w:color="auto"/>
        <w:bottom w:val="none" w:sz="0" w:space="0" w:color="auto"/>
        <w:right w:val="none" w:sz="0" w:space="0" w:color="auto"/>
      </w:divBdr>
    </w:div>
    <w:div w:id="1133786936">
      <w:bodyDiv w:val="1"/>
      <w:marLeft w:val="0"/>
      <w:marRight w:val="0"/>
      <w:marTop w:val="0"/>
      <w:marBottom w:val="0"/>
      <w:divBdr>
        <w:top w:val="none" w:sz="0" w:space="0" w:color="auto"/>
        <w:left w:val="none" w:sz="0" w:space="0" w:color="auto"/>
        <w:bottom w:val="none" w:sz="0" w:space="0" w:color="auto"/>
        <w:right w:val="none" w:sz="0" w:space="0" w:color="auto"/>
      </w:divBdr>
    </w:div>
    <w:div w:id="1177697748">
      <w:bodyDiv w:val="1"/>
      <w:marLeft w:val="0"/>
      <w:marRight w:val="0"/>
      <w:marTop w:val="0"/>
      <w:marBottom w:val="0"/>
      <w:divBdr>
        <w:top w:val="none" w:sz="0" w:space="0" w:color="auto"/>
        <w:left w:val="none" w:sz="0" w:space="0" w:color="auto"/>
        <w:bottom w:val="none" w:sz="0" w:space="0" w:color="auto"/>
        <w:right w:val="none" w:sz="0" w:space="0" w:color="auto"/>
      </w:divBdr>
    </w:div>
    <w:div w:id="2074157322">
      <w:bodyDiv w:val="1"/>
      <w:marLeft w:val="0"/>
      <w:marRight w:val="0"/>
      <w:marTop w:val="0"/>
      <w:marBottom w:val="0"/>
      <w:divBdr>
        <w:top w:val="none" w:sz="0" w:space="0" w:color="auto"/>
        <w:left w:val="none" w:sz="0" w:space="0" w:color="auto"/>
        <w:bottom w:val="none" w:sz="0" w:space="0" w:color="auto"/>
        <w:right w:val="none" w:sz="0" w:space="0" w:color="auto"/>
      </w:divBdr>
    </w:div>
    <w:div w:id="21362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ekaterina.yakovleva@eeas.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pf.m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eas.europa.eu/sites/eeas/files/swd_2016_467_f1_joint_staff_working_paper_en_v3_p1_8733051.pdf" TargetMode="External"/><Relationship Id="rId1" Type="http://schemas.openxmlformats.org/officeDocument/2006/relationships/hyperlink" Target="http://eeas.europa.eu/archives/docs/moldova/pdf/eu-md_aa-dcft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C497-922A-4C05-900B-D0A15D18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11203</Words>
  <Characters>63862</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RUIZ Jordi (EEAS-CHISINAU)</dc:creator>
  <cp:lastModifiedBy>CERBA Angela (EEAS-CHISINAU)</cp:lastModifiedBy>
  <cp:revision>2</cp:revision>
  <cp:lastPrinted>2018-06-14T12:27:00Z</cp:lastPrinted>
  <dcterms:created xsi:type="dcterms:W3CDTF">2018-06-29T10:47:00Z</dcterms:created>
  <dcterms:modified xsi:type="dcterms:W3CDTF">2018-06-29T10:47:00Z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f941ec17-fcef-45b3-a86f-ee432c949631</vt:lpwstr>
  </property>
  <property fmtid="{D5CDD505-2E9C-101B-9397-08002B2CF9AE}" pid="3" name="Clasificare">
    <vt:lpwstr>NONE</vt:lpwstr>
  </property>
</Properties>
</file>