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B0122" w:rsidP="00123DE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w:t>
            </w:r>
            <w:r w:rsidR="00123DEE">
              <w:rPr>
                <w:rFonts w:ascii="Times New Roman" w:eastAsia="Times New Roman" w:hAnsi="Times New Roman" w:cs="Times New Roman"/>
                <w:b/>
                <w:sz w:val="24"/>
                <w:szCs w:val="20"/>
                <w:lang w:eastAsia="en-GB"/>
              </w:rPr>
              <w:t>B</w:t>
            </w:r>
            <w:r w:rsidR="00A841D4">
              <w:rPr>
                <w:rFonts w:ascii="Times New Roman" w:eastAsia="Times New Roman" w:hAnsi="Times New Roman" w:cs="Times New Roman"/>
                <w:b/>
                <w:sz w:val="24"/>
                <w:szCs w:val="20"/>
                <w:lang w:eastAsia="en-GB"/>
              </w:rPr>
              <w:t>-2</w:t>
            </w:r>
          </w:p>
        </w:tc>
      </w:tr>
      <w:tr w:rsidR="009F03A7" w:rsidRPr="00A34ADA"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23DEE" w:rsidRPr="00123DEE" w:rsidRDefault="00123DEE" w:rsidP="00123DEE">
            <w:pPr>
              <w:rPr>
                <w:rFonts w:ascii="Times New Roman" w:eastAsia="Calibri" w:hAnsi="Times New Roman" w:cs="Times New Roman"/>
                <w:b/>
                <w:lang w:val="es-ES" w:eastAsia="en-GB"/>
              </w:rPr>
            </w:pPr>
            <w:r w:rsidRPr="00123DEE">
              <w:rPr>
                <w:rFonts w:ascii="Times New Roman" w:eastAsia="Calibri" w:hAnsi="Times New Roman" w:cs="Times New Roman"/>
                <w:b/>
                <w:lang w:val="es-ES" w:eastAsia="en-GB"/>
              </w:rPr>
              <w:t>Felice ZACCHEO</w:t>
            </w:r>
          </w:p>
          <w:p w:rsidR="00123DEE" w:rsidRPr="00123DEE" w:rsidRDefault="00A34ADA" w:rsidP="00123DEE">
            <w:pPr>
              <w:rPr>
                <w:rFonts w:ascii="Times New Roman" w:eastAsia="Calibri" w:hAnsi="Times New Roman" w:cs="Times New Roman"/>
                <w:b/>
                <w:color w:val="0000FF"/>
                <w:lang w:val="es-ES" w:eastAsia="en-GB"/>
              </w:rPr>
            </w:pPr>
            <w:hyperlink r:id="rId9" w:history="1">
              <w:r w:rsidR="00123DEE" w:rsidRPr="00123DEE">
                <w:rPr>
                  <w:rFonts w:ascii="Times New Roman" w:eastAsia="Calibri" w:hAnsi="Times New Roman" w:cs="Times New Roman"/>
                  <w:b/>
                  <w:color w:val="0000FF"/>
                  <w:u w:val="single"/>
                  <w:lang w:val="es-ES" w:eastAsia="en-GB"/>
                </w:rPr>
                <w:t>Felice.ZACCHEO@ec.europa.eu</w:t>
              </w:r>
            </w:hyperlink>
            <w:r w:rsidR="00123DEE" w:rsidRPr="00123DEE">
              <w:rPr>
                <w:rFonts w:ascii="Times New Roman" w:eastAsia="Calibri" w:hAnsi="Times New Roman" w:cs="Times New Roman"/>
                <w:b/>
                <w:color w:val="0000FF"/>
                <w:lang w:val="es-ES" w:eastAsia="en-GB"/>
              </w:rPr>
              <w:t xml:space="preserve"> </w:t>
            </w:r>
          </w:p>
          <w:p w:rsidR="009F03A7" w:rsidRPr="009F03A7" w:rsidRDefault="00123DEE" w:rsidP="00123DEE">
            <w:pPr>
              <w:rPr>
                <w:rFonts w:ascii="Times New Roman" w:eastAsia="Times New Roman" w:hAnsi="Times New Roman" w:cs="Times New Roman"/>
                <w:b/>
                <w:lang w:val="de-DE" w:eastAsia="en-GB"/>
              </w:rPr>
            </w:pPr>
            <w:r w:rsidRPr="00123DEE">
              <w:rPr>
                <w:rFonts w:ascii="Times New Roman" w:eastAsia="Calibri" w:hAnsi="Times New Roman" w:cs="Times New Roman"/>
                <w:b/>
                <w:lang w:val="es-ES" w:eastAsia="en-GB"/>
              </w:rPr>
              <w:t>+ 32 229-66856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A34ADA"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A34ADA">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bookmarkStart w:id="0" w:name="_GoBack"/>
            <w:bookmarkEnd w:id="0"/>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5B012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E66D3D" w:rsidP="00241F98">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9A33B2"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E66D3D"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9F03A7">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A34ADA"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E66D3D" w:rsidP="00E66D3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A33B2" w:rsidRPr="009A33B2">
              <w:rPr>
                <w:lang w:val="en-GB"/>
              </w:rPr>
              <w:t xml:space="preserve"> </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The mission of the Directorate-General for International Partnerships (DG INTPA) is to contribute to sustainable development, the eradication of poverty, to peace and to the protection of human rights, through international partnerships that uphold and promote European values and interests. DG INTPA has a leading role in formulating EU policies in the area of international cooperation and building partnerships with countries and international </w:t>
      </w:r>
      <w:proofErr w:type="spellStart"/>
      <w:r w:rsidRPr="00123DEE">
        <w:rPr>
          <w:rFonts w:ascii="Times New Roman" w:eastAsia="Times New Roman" w:hAnsi="Times New Roman"/>
          <w:lang w:val="en-US" w:eastAsia="en-GB"/>
        </w:rPr>
        <w:t>organisation</w:t>
      </w:r>
      <w:proofErr w:type="spellEnd"/>
      <w:r w:rsidRPr="00123DEE">
        <w:rPr>
          <w:rFonts w:ascii="Times New Roman" w:eastAsia="Times New Roman" w:hAnsi="Times New Roman"/>
          <w:lang w:val="en-US" w:eastAsia="en-GB"/>
        </w:rPr>
        <w:t xml:space="preserve"> across the globe.</w:t>
      </w:r>
    </w:p>
    <w:p w:rsidR="00123DEE" w:rsidRPr="00123DEE" w:rsidRDefault="00123DEE" w:rsidP="00123DEE">
      <w:pPr>
        <w:spacing w:after="0" w:line="240" w:lineRule="auto"/>
        <w:ind w:left="426"/>
        <w:jc w:val="both"/>
        <w:rPr>
          <w:rFonts w:ascii="Times New Roman" w:eastAsia="Times New Roman" w:hAnsi="Times New Roman"/>
          <w:lang w:val="en-US" w:eastAsia="en-GB"/>
        </w:rPr>
      </w:pPr>
    </w:p>
    <w:p w:rsid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Directorate B “LATIN AMERICA AND THE CARIBBEAN; RELATIONS WITH ALL OVERSEAS COUNTRIES AND TERRITORIES” is responsible for developing and implementing the International Partnerships agenda in this region. </w:t>
      </w:r>
    </w:p>
    <w:p w:rsidR="00123DEE" w:rsidRPr="00123DEE" w:rsidRDefault="00123DEE" w:rsidP="00123DEE">
      <w:pPr>
        <w:spacing w:after="0" w:line="240" w:lineRule="auto"/>
        <w:ind w:left="426"/>
        <w:jc w:val="both"/>
        <w:rPr>
          <w:rFonts w:ascii="Times New Roman" w:eastAsia="Times New Roman" w:hAnsi="Times New Roman"/>
          <w:lang w:val="en-US" w:eastAsia="en-GB"/>
        </w:rPr>
      </w:pPr>
    </w:p>
    <w:p w:rsid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Unit INTPA B.2 is responsible for EU cooperation with Mexico, Central America and the Caribbean. It is also responsible for the preparation and implementation of regional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xml:space="preserve"> in Latin America and the Caribbean, managed at the central level in Brussels. The Unit deals with regional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xml:space="preserve"> in the region in the areas of human development, as well as the digital agenda and the green deal transitions. It works in close cooperation with the relevant EU Delegations and HQ services, as well as a broad variety of stakeholders and implementing partners. Unit INTPA B2 counts approximately 28 staff </w:t>
      </w:r>
      <w:proofErr w:type="spellStart"/>
      <w:r w:rsidRPr="00123DEE">
        <w:rPr>
          <w:rFonts w:ascii="Times New Roman" w:eastAsia="Times New Roman" w:hAnsi="Times New Roman"/>
          <w:lang w:val="en-US" w:eastAsia="en-GB"/>
        </w:rPr>
        <w:t>organised</w:t>
      </w:r>
      <w:proofErr w:type="spellEnd"/>
      <w:r w:rsidRPr="00123DEE">
        <w:rPr>
          <w:rFonts w:ascii="Times New Roman" w:eastAsia="Times New Roman" w:hAnsi="Times New Roman"/>
          <w:lang w:val="en-US" w:eastAsia="en-GB"/>
        </w:rPr>
        <w:t xml:space="preserve"> in four sectors.</w:t>
      </w:r>
    </w:p>
    <w:p w:rsidR="00123DEE" w:rsidRPr="00123DEE" w:rsidRDefault="00123DEE" w:rsidP="00123DEE">
      <w:pPr>
        <w:spacing w:after="0" w:line="240" w:lineRule="auto"/>
        <w:ind w:left="426"/>
        <w:jc w:val="both"/>
        <w:rPr>
          <w:rFonts w:ascii="Times New Roman" w:eastAsia="Times New Roman" w:hAnsi="Times New Roman"/>
          <w:lang w:val="en-US" w:eastAsia="en-GB"/>
        </w:rPr>
      </w:pPr>
    </w:p>
    <w:p w:rsidR="00123DEE" w:rsidRP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We propose an interesting and challenging assignment of </w:t>
      </w:r>
      <w:proofErr w:type="spellStart"/>
      <w:r w:rsidRPr="00123DEE">
        <w:rPr>
          <w:rFonts w:ascii="Times New Roman" w:eastAsia="Times New Roman" w:hAnsi="Times New Roman"/>
          <w:lang w:val="en-US" w:eastAsia="en-GB"/>
        </w:rPr>
        <w:t>Programme</w:t>
      </w:r>
      <w:proofErr w:type="spellEnd"/>
      <w:r w:rsidRPr="00123DEE">
        <w:rPr>
          <w:rFonts w:ascii="Times New Roman" w:eastAsia="Times New Roman" w:hAnsi="Times New Roman"/>
          <w:lang w:val="en-US" w:eastAsia="en-GB"/>
        </w:rPr>
        <w:t xml:space="preserve"> Officer – External Relations for </w:t>
      </w:r>
      <w:proofErr w:type="spellStart"/>
      <w:r w:rsidRPr="00123DEE">
        <w:rPr>
          <w:rFonts w:ascii="Times New Roman" w:eastAsia="Times New Roman" w:hAnsi="Times New Roman"/>
          <w:lang w:val="en-US" w:eastAsia="en-GB"/>
        </w:rPr>
        <w:t>centralised</w:t>
      </w:r>
      <w:proofErr w:type="spellEnd"/>
      <w:r w:rsidRPr="00123DEE">
        <w:rPr>
          <w:rFonts w:ascii="Times New Roman" w:eastAsia="Times New Roman" w:hAnsi="Times New Roman"/>
          <w:lang w:val="en-US" w:eastAsia="en-GB"/>
        </w:rPr>
        <w:t xml:space="preserve">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xml:space="preserve"> in Latin America and the Caribbean in the area of digital and human development. </w:t>
      </w:r>
    </w:p>
    <w:p w:rsidR="00123DEE" w:rsidRPr="00123DEE" w:rsidRDefault="00123DEE" w:rsidP="00123DEE">
      <w:pPr>
        <w:spacing w:after="0" w:line="240" w:lineRule="auto"/>
        <w:ind w:left="426"/>
        <w:jc w:val="both"/>
        <w:rPr>
          <w:rFonts w:ascii="Times New Roman" w:eastAsia="Times New Roman" w:hAnsi="Times New Roman"/>
          <w:lang w:val="en-US" w:eastAsia="en-GB"/>
        </w:rPr>
      </w:pPr>
    </w:p>
    <w:p w:rsidR="00123DEE" w:rsidRP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The main tasks would include: </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 xml:space="preserve">Contribute to the management of EU regional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in particular those related to the EU-LAC Digital Alliance in the broader context of the Global Gateway;</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Contribute to sectoral and regional dialogues on digital transitions in Latin America and the Caribbean;</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lastRenderedPageBreak/>
        <w:t>-</w:t>
      </w:r>
      <w:r w:rsidRPr="00123DEE">
        <w:rPr>
          <w:rFonts w:ascii="Times New Roman" w:eastAsia="Times New Roman" w:hAnsi="Times New Roman"/>
          <w:lang w:val="en-US" w:eastAsia="en-GB"/>
        </w:rPr>
        <w:tab/>
        <w:t xml:space="preserve">Provide sector analysis and contribute to the preparation of proposals for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projects, sector support actions, etc. in close cooperation with the EU Delegations in the Latin American and Caribbean region, as well as with EU Member States in the spirit of fostering collaboration towards Team Europe approaches.</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 xml:space="preserve">Foster the relations with key partners and stakeholders, including coordination and networking with relevant actors both outside and inside the EU institutions (that would include among other: DG INTPA thematic and geographic units, other Commission DGs, EEAS, FPI, Member States, Financial institutions, partner Governments and </w:t>
      </w:r>
      <w:proofErr w:type="spellStart"/>
      <w:r w:rsidRPr="00123DEE">
        <w:rPr>
          <w:rFonts w:ascii="Times New Roman" w:eastAsia="Times New Roman" w:hAnsi="Times New Roman"/>
          <w:lang w:val="en-US" w:eastAsia="en-GB"/>
        </w:rPr>
        <w:t>Organisations</w:t>
      </w:r>
      <w:proofErr w:type="spellEnd"/>
      <w:r w:rsidRPr="00123DEE">
        <w:rPr>
          <w:rFonts w:ascii="Times New Roman" w:eastAsia="Times New Roman" w:hAnsi="Times New Roman"/>
          <w:lang w:val="en-US" w:eastAsia="en-GB"/>
        </w:rPr>
        <w:t>, as well as civil society and private sector stakeholders as relevant);</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Assist with all aspects of the procurement and procedural processes as needed (</w:t>
      </w:r>
      <w:proofErr w:type="spellStart"/>
      <w:r w:rsidRPr="00123DEE">
        <w:rPr>
          <w:rFonts w:ascii="Times New Roman" w:eastAsia="Times New Roman" w:hAnsi="Times New Roman"/>
          <w:lang w:val="en-US" w:eastAsia="en-GB"/>
        </w:rPr>
        <w:t>eg</w:t>
      </w:r>
      <w:proofErr w:type="spellEnd"/>
      <w:r w:rsidRPr="00123DEE">
        <w:rPr>
          <w:rFonts w:ascii="Times New Roman" w:eastAsia="Times New Roman" w:hAnsi="Times New Roman"/>
          <w:lang w:val="en-US" w:eastAsia="en-GB"/>
        </w:rPr>
        <w:t>. drafting Terms of Reference, preparing and launching tenders and calls for proposals, etc.).</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 xml:space="preserve">Monitor the implementation of </w:t>
      </w:r>
      <w:proofErr w:type="spellStart"/>
      <w:r w:rsidRPr="00123DEE">
        <w:rPr>
          <w:rFonts w:ascii="Times New Roman" w:eastAsia="Times New Roman" w:hAnsi="Times New Roman"/>
          <w:lang w:val="en-US" w:eastAsia="en-GB"/>
        </w:rPr>
        <w:t>centralised</w:t>
      </w:r>
      <w:proofErr w:type="spellEnd"/>
      <w:r w:rsidRPr="00123DEE">
        <w:rPr>
          <w:rFonts w:ascii="Times New Roman" w:eastAsia="Times New Roman" w:hAnsi="Times New Roman"/>
          <w:lang w:val="en-US" w:eastAsia="en-GB"/>
        </w:rPr>
        <w:t xml:space="preserve">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xml:space="preserve">/projects, taking into account the conditions set out in the decisions for the approved </w:t>
      </w:r>
      <w:proofErr w:type="spellStart"/>
      <w:r w:rsidRPr="00123DEE">
        <w:rPr>
          <w:rFonts w:ascii="Times New Roman" w:eastAsia="Times New Roman" w:hAnsi="Times New Roman"/>
          <w:lang w:val="en-US" w:eastAsia="en-GB"/>
        </w:rPr>
        <w:t>programme</w:t>
      </w:r>
      <w:proofErr w:type="spellEnd"/>
      <w:r w:rsidRPr="00123DEE">
        <w:rPr>
          <w:rFonts w:ascii="Times New Roman" w:eastAsia="Times New Roman" w:hAnsi="Times New Roman"/>
          <w:lang w:val="en-US" w:eastAsia="en-GB"/>
        </w:rPr>
        <w:t>/project, as well as the related contractual and financial procedures.</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Attend ongoing project management and monitoring meetings, draft reports on the progress of projects and, where necessary, propose appropriate measures.</w:t>
      </w:r>
    </w:p>
    <w:p w:rsidR="005B0122" w:rsidRPr="005B0122"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Contribute to build the necessary synergies between the Digital Alliance and other EU priorities, including the work on human rights and gender equality, social cohesion, green deal and climate change, and fair and sustainable transitions.</w:t>
      </w:r>
    </w:p>
    <w:p w:rsidR="00A841D4" w:rsidRDefault="00A841D4" w:rsidP="00A841D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A841D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r w:rsidR="009F03A7" w:rsidRPr="009F03A7">
        <w:rPr>
          <w:rFonts w:ascii="Times New Roman" w:eastAsia="Times New Roman" w:hAnsi="Times New Roman" w:cs="Times New Roman"/>
          <w:lang w:val="en-US" w:eastAsia="en-GB"/>
        </w:rPr>
        <w:t xml:space="preserve">in the field(s) </w:t>
      </w:r>
      <w:r w:rsidR="00AD7D0E">
        <w:rPr>
          <w:rFonts w:ascii="Times New Roman" w:eastAsia="Times New Roman" w:hAnsi="Times New Roman" w:cs="Times New Roman"/>
          <w:lang w:val="en-US" w:eastAsia="en-GB"/>
        </w:rPr>
        <w:t xml:space="preserve">: </w:t>
      </w:r>
      <w:r w:rsidR="00123DEE" w:rsidRPr="00123DEE">
        <w:rPr>
          <w:rFonts w:ascii="Times New Roman" w:eastAsia="Times New Roman" w:hAnsi="Times New Roman" w:cs="Times New Roman"/>
          <w:lang w:val="en-US" w:eastAsia="en-GB"/>
        </w:rPr>
        <w:t>digital development, business, economics, law or international relations, and/or other fields relevant for the areas covered by the digital and human development sub-team in the Unit.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23DEE" w:rsidRPr="00123DEE" w:rsidRDefault="00123DEE" w:rsidP="00123DE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 xml:space="preserve">Essential: </w:t>
      </w: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w:t>
      </w:r>
      <w:r w:rsidRPr="00123DEE">
        <w:rPr>
          <w:rFonts w:ascii="Times New Roman" w:eastAsia="Times New Roman" w:hAnsi="Times New Roman" w:cs="Times New Roman"/>
          <w:lang w:val="en-US" w:eastAsia="en-GB"/>
        </w:rPr>
        <w:tab/>
        <w:t xml:space="preserve">Job-related experience: at least 2 years </w:t>
      </w: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 xml:space="preserve">Desirable: </w:t>
      </w: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w:t>
      </w:r>
      <w:r w:rsidRPr="00123DEE">
        <w:rPr>
          <w:rFonts w:ascii="Times New Roman" w:eastAsia="Times New Roman" w:hAnsi="Times New Roman" w:cs="Times New Roman"/>
          <w:lang w:val="en-US" w:eastAsia="en-GB"/>
        </w:rPr>
        <w:tab/>
        <w:t>Experience in LAC countries</w:t>
      </w: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w:t>
      </w:r>
      <w:r w:rsidRPr="00123DEE">
        <w:rPr>
          <w:rFonts w:ascii="Times New Roman" w:eastAsia="Times New Roman" w:hAnsi="Times New Roman" w:cs="Times New Roman"/>
          <w:lang w:val="en-US" w:eastAsia="en-GB"/>
        </w:rPr>
        <w:tab/>
        <w:t>Experience in the field and/or in EU Delegations/UN Agencies/International Organizations/etc.</w:t>
      </w:r>
    </w:p>
    <w:p w:rsidR="00D84D92"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lastRenderedPageBreak/>
        <w:t>•</w:t>
      </w:r>
      <w:r w:rsidRPr="00123DEE">
        <w:rPr>
          <w:rFonts w:ascii="Times New Roman" w:eastAsia="Times New Roman" w:hAnsi="Times New Roman" w:cs="Times New Roman"/>
          <w:lang w:val="en-US" w:eastAsia="en-GB"/>
        </w:rPr>
        <w:tab/>
        <w:t xml:space="preserve">Diversified experience with different types of actors, including economic </w:t>
      </w:r>
      <w:proofErr w:type="gramStart"/>
      <w:r w:rsidRPr="00123DEE">
        <w:rPr>
          <w:rFonts w:ascii="Times New Roman" w:eastAsia="Times New Roman" w:hAnsi="Times New Roman" w:cs="Times New Roman"/>
          <w:lang w:val="en-US" w:eastAsia="en-GB"/>
        </w:rPr>
        <w:t>sectors(</w:t>
      </w:r>
      <w:proofErr w:type="spellStart"/>
      <w:proofErr w:type="gramEnd"/>
      <w:r w:rsidRPr="00123DEE">
        <w:rPr>
          <w:rFonts w:ascii="Times New Roman" w:eastAsia="Times New Roman" w:hAnsi="Times New Roman" w:cs="Times New Roman"/>
          <w:lang w:val="en-US" w:eastAsia="en-GB"/>
        </w:rPr>
        <w:t>eg</w:t>
      </w:r>
      <w:proofErr w:type="spellEnd"/>
      <w:r w:rsidRPr="00123DEE">
        <w:rPr>
          <w:rFonts w:ascii="Times New Roman" w:eastAsia="Times New Roman" w:hAnsi="Times New Roman" w:cs="Times New Roman"/>
          <w:lang w:val="en-US" w:eastAsia="en-GB"/>
        </w:rPr>
        <w:t xml:space="preserve">. consultancy for private/public sector companies, non-profit enterprises, civil society </w:t>
      </w:r>
      <w:proofErr w:type="spellStart"/>
      <w:r w:rsidRPr="00123DEE">
        <w:rPr>
          <w:rFonts w:ascii="Times New Roman" w:eastAsia="Times New Roman" w:hAnsi="Times New Roman" w:cs="Times New Roman"/>
          <w:lang w:val="en-US" w:eastAsia="en-GB"/>
        </w:rPr>
        <w:t>organisations</w:t>
      </w:r>
      <w:proofErr w:type="spellEnd"/>
      <w:r w:rsidRPr="00123DEE">
        <w:rPr>
          <w:rFonts w:ascii="Times New Roman" w:eastAsia="Times New Roman" w:hAnsi="Times New Roman" w:cs="Times New Roman"/>
          <w:lang w:val="en-US" w:eastAsia="en-GB"/>
        </w:rPr>
        <w:t>, training institutions, universities, municipalities, cooperation agencies). Areas: digital development, economics, political/social sciences, business administration/management.</w:t>
      </w:r>
    </w:p>
    <w:p w:rsid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23DEE" w:rsidRPr="00123DEE" w:rsidRDefault="00123DEE" w:rsidP="00123DEE">
      <w:pPr>
        <w:tabs>
          <w:tab w:val="left" w:pos="709"/>
        </w:tabs>
        <w:spacing w:after="0" w:line="240" w:lineRule="auto"/>
        <w:ind w:left="709" w:right="60"/>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Spanish</w:t>
      </w:r>
      <w:r w:rsidRPr="00123DEE">
        <w:rPr>
          <w:rFonts w:ascii="Times New Roman" w:eastAsia="Times New Roman" w:hAnsi="Times New Roman" w:cs="Times New Roman"/>
          <w:lang w:val="en-US" w:eastAsia="en-GB"/>
        </w:rPr>
        <w:tab/>
      </w:r>
      <w:r w:rsidRPr="00123DEE">
        <w:rPr>
          <w:rFonts w:ascii="Times New Roman" w:eastAsia="Times New Roman" w:hAnsi="Times New Roman" w:cs="Times New Roman"/>
          <w:lang w:val="en-US" w:eastAsia="en-GB"/>
        </w:rPr>
        <w:tab/>
        <w:t>B2</w:t>
      </w:r>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B2</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B2</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B2</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B2</w:t>
      </w:r>
      <w:proofErr w:type="spellEnd"/>
    </w:p>
    <w:p w:rsidR="00A662C1" w:rsidRDefault="00123DEE" w:rsidP="00123DEE">
      <w:pPr>
        <w:tabs>
          <w:tab w:val="left" w:pos="709"/>
        </w:tabs>
        <w:spacing w:after="0" w:line="240" w:lineRule="auto"/>
        <w:ind w:left="709" w:right="60"/>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English</w:t>
      </w:r>
      <w:r w:rsidRPr="00123DEE">
        <w:rPr>
          <w:rFonts w:ascii="Times New Roman" w:eastAsia="Times New Roman" w:hAnsi="Times New Roman" w:cs="Times New Roman"/>
          <w:lang w:val="en-US" w:eastAsia="en-GB"/>
        </w:rPr>
        <w:tab/>
      </w:r>
      <w:r w:rsidRPr="00123DEE">
        <w:rPr>
          <w:rFonts w:ascii="Times New Roman" w:eastAsia="Times New Roman" w:hAnsi="Times New Roman" w:cs="Times New Roman"/>
          <w:lang w:val="en-US" w:eastAsia="en-GB"/>
        </w:rPr>
        <w:tab/>
        <w:t>C1</w:t>
      </w:r>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C1</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C1</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C1</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C1</w:t>
      </w:r>
      <w:proofErr w:type="spellEnd"/>
      <w:r w:rsidR="005B0122" w:rsidRPr="005B0122">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0"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2"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34ADA">
      <w:pPr>
        <w:rPr>
          <w:rFonts w:ascii="Times New Roman" w:hAnsi="Times New Roman" w:cs="Times New Roman"/>
          <w:lang w:val="en-US"/>
        </w:rPr>
      </w:pPr>
    </w:p>
    <w:sectPr w:rsidR="00AC55BD" w:rsidRPr="0032123B"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2"/>
    <w:multiLevelType w:val="hybridMultilevel"/>
    <w:tmpl w:val="40EAA62E"/>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8EC67F3"/>
    <w:multiLevelType w:val="hybridMultilevel"/>
    <w:tmpl w:val="398C2BB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12"/>
  </w:num>
  <w:num w:numId="7">
    <w:abstractNumId w:val="23"/>
  </w:num>
  <w:num w:numId="8">
    <w:abstractNumId w:val="27"/>
  </w:num>
  <w:num w:numId="9">
    <w:abstractNumId w:val="17"/>
  </w:num>
  <w:num w:numId="10">
    <w:abstractNumId w:val="8"/>
  </w:num>
  <w:num w:numId="11">
    <w:abstractNumId w:val="20"/>
  </w:num>
  <w:num w:numId="12">
    <w:abstractNumId w:val="26"/>
  </w:num>
  <w:num w:numId="13">
    <w:abstractNumId w:val="6"/>
  </w:num>
  <w:num w:numId="14">
    <w:abstractNumId w:val="15"/>
  </w:num>
  <w:num w:numId="15">
    <w:abstractNumId w:val="28"/>
  </w:num>
  <w:num w:numId="16">
    <w:abstractNumId w:val="1"/>
  </w:num>
  <w:num w:numId="17">
    <w:abstractNumId w:val="14"/>
  </w:num>
  <w:num w:numId="18">
    <w:abstractNumId w:val="25"/>
  </w:num>
  <w:num w:numId="19">
    <w:abstractNumId w:val="11"/>
  </w:num>
  <w:num w:numId="20">
    <w:abstractNumId w:val="7"/>
  </w:num>
  <w:num w:numId="21">
    <w:abstractNumId w:val="5"/>
  </w:num>
  <w:num w:numId="22">
    <w:abstractNumId w:val="21"/>
  </w:num>
  <w:num w:numId="23">
    <w:abstractNumId w:val="18"/>
  </w:num>
  <w:num w:numId="24">
    <w:abstractNumId w:val="10"/>
  </w:num>
  <w:num w:numId="25">
    <w:abstractNumId w:val="9"/>
  </w:num>
  <w:num w:numId="26">
    <w:abstractNumId w:val="19"/>
  </w:num>
  <w:num w:numId="27">
    <w:abstractNumId w:val="22"/>
  </w:num>
  <w:num w:numId="28">
    <w:abstractNumId w:val="29"/>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3DEE"/>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411768"/>
    <w:rsid w:val="0043504F"/>
    <w:rsid w:val="0044334A"/>
    <w:rsid w:val="00484508"/>
    <w:rsid w:val="004863C8"/>
    <w:rsid w:val="004A5994"/>
    <w:rsid w:val="00505BD2"/>
    <w:rsid w:val="00525524"/>
    <w:rsid w:val="00525F5B"/>
    <w:rsid w:val="00534042"/>
    <w:rsid w:val="00536D39"/>
    <w:rsid w:val="00596671"/>
    <w:rsid w:val="005B0122"/>
    <w:rsid w:val="0062071E"/>
    <w:rsid w:val="00643266"/>
    <w:rsid w:val="0065499A"/>
    <w:rsid w:val="00673B92"/>
    <w:rsid w:val="00691157"/>
    <w:rsid w:val="006F631D"/>
    <w:rsid w:val="00700164"/>
    <w:rsid w:val="007164E5"/>
    <w:rsid w:val="007321B9"/>
    <w:rsid w:val="00735F68"/>
    <w:rsid w:val="00757143"/>
    <w:rsid w:val="00815707"/>
    <w:rsid w:val="00860C38"/>
    <w:rsid w:val="00884D4B"/>
    <w:rsid w:val="0089313E"/>
    <w:rsid w:val="008976A0"/>
    <w:rsid w:val="008B13A3"/>
    <w:rsid w:val="008B172F"/>
    <w:rsid w:val="008C2571"/>
    <w:rsid w:val="00943796"/>
    <w:rsid w:val="0098353F"/>
    <w:rsid w:val="009A33B2"/>
    <w:rsid w:val="009F03A7"/>
    <w:rsid w:val="00A34ADA"/>
    <w:rsid w:val="00A56955"/>
    <w:rsid w:val="00A662C1"/>
    <w:rsid w:val="00A662FF"/>
    <w:rsid w:val="00A841D4"/>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66D3D"/>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5B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elice.ZACCHE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93FE-A34D-44D3-8935-2DE1FC73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9092</Characters>
  <Application>Microsoft Office Word</Application>
  <DocSecurity>0</DocSecurity>
  <Lines>197</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2023-01-06T14:51:00Z</dcterms:created>
  <dcterms:modified xsi:type="dcterms:W3CDTF">2023-01-06T14:51:00Z</dcterms:modified>
</cp:coreProperties>
</file>