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7"/>
        <w:rPr>
          <w:sz w:val="19"/>
        </w:rPr>
      </w:pPr>
    </w:p>
    <w:p>
      <w:pPr>
        <w:spacing w:before="90"/>
        <w:ind w:left="1296" w:right="282" w:firstLine="0"/>
        <w:jc w:val="center"/>
        <w:rPr>
          <w:b/>
          <w:sz w:val="24"/>
        </w:rPr>
      </w:pPr>
      <w:r>
        <w:rPr/>
        <w:drawing>
          <wp:anchor distT="0" distB="0" distL="0" distR="0" allowOverlap="1" layoutInCell="1" locked="0" behindDoc="0" simplePos="0" relativeHeight="15729152">
            <wp:simplePos x="0" y="0"/>
            <wp:positionH relativeFrom="page">
              <wp:posOffset>368934</wp:posOffset>
            </wp:positionH>
            <wp:positionV relativeFrom="paragraph">
              <wp:posOffset>-292314</wp:posOffset>
            </wp:positionV>
            <wp:extent cx="1371600" cy="67627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anchor>
        </w:drawing>
      </w:r>
      <w:r>
        <w:rPr>
          <w:b/>
          <w:sz w:val="24"/>
        </w:rPr>
        <w:t>VACANCY</w:t>
      </w:r>
      <w:r>
        <w:rPr>
          <w:b/>
          <w:spacing w:val="-14"/>
          <w:sz w:val="24"/>
        </w:rPr>
        <w:t> </w:t>
      </w:r>
      <w:r>
        <w:rPr>
          <w:b/>
          <w:spacing w:val="-2"/>
          <w:sz w:val="24"/>
        </w:rPr>
        <w:t>NOTICE</w:t>
      </w:r>
    </w:p>
    <w:p>
      <w:pPr>
        <w:pStyle w:val="BodyText"/>
        <w:spacing w:before="2"/>
        <w:rPr>
          <w:b/>
          <w:sz w:val="16"/>
        </w:rPr>
      </w:pPr>
    </w:p>
    <w:p>
      <w:pPr>
        <w:spacing w:before="90"/>
        <w:ind w:left="1296" w:right="1634" w:firstLine="0"/>
        <w:jc w:val="center"/>
        <w:rPr>
          <w:b/>
          <w:sz w:val="24"/>
        </w:rPr>
      </w:pP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2512"/>
        <w:gridCol w:w="3086"/>
      </w:tblGrid>
      <w:tr>
        <w:trPr>
          <w:trHeight w:val="611"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8" w:type="dxa"/>
            <w:gridSpan w:val="2"/>
          </w:tcPr>
          <w:p>
            <w:pPr>
              <w:pStyle w:val="TableParagraph"/>
              <w:spacing w:before="167"/>
              <w:ind w:left="108"/>
              <w:rPr>
                <w:b/>
                <w:sz w:val="24"/>
              </w:rPr>
            </w:pPr>
            <w:r>
              <w:rPr>
                <w:b/>
                <w:spacing w:val="-4"/>
                <w:sz w:val="24"/>
              </w:rPr>
              <w:t>COMP-H-</w:t>
            </w:r>
            <w:r>
              <w:rPr>
                <w:b/>
                <w:spacing w:val="-10"/>
                <w:sz w:val="24"/>
              </w:rPr>
              <w:t>5</w:t>
            </w:r>
          </w:p>
        </w:tc>
      </w:tr>
      <w:tr>
        <w:trPr>
          <w:trHeight w:val="256" w:hRule="atLeast"/>
        </w:trPr>
        <w:tc>
          <w:tcPr>
            <w:tcW w:w="4359" w:type="dxa"/>
            <w:tcBorders>
              <w:bottom w:val="nil"/>
            </w:tcBorders>
          </w:tcPr>
          <w:p>
            <w:pPr>
              <w:pStyle w:val="TableParagraph"/>
              <w:spacing w:line="237" w:lineRule="exact"/>
              <w:rPr>
                <w:b/>
                <w:sz w:val="22"/>
              </w:rPr>
            </w:pPr>
            <w:r>
              <w:rPr>
                <w:b/>
                <w:sz w:val="22"/>
              </w:rPr>
              <w:t>Head</w:t>
            </w:r>
            <w:r>
              <w:rPr>
                <w:b/>
                <w:spacing w:val="-2"/>
                <w:sz w:val="22"/>
              </w:rPr>
              <w:t> </w:t>
            </w:r>
            <w:r>
              <w:rPr>
                <w:b/>
                <w:sz w:val="22"/>
              </w:rPr>
              <w:t>of</w:t>
            </w:r>
            <w:r>
              <w:rPr>
                <w:b/>
                <w:spacing w:val="-1"/>
                <w:sz w:val="22"/>
              </w:rPr>
              <w:t> </w:t>
            </w:r>
            <w:r>
              <w:rPr>
                <w:b/>
                <w:spacing w:val="-2"/>
                <w:sz w:val="22"/>
              </w:rPr>
              <w:t>Unit:</w:t>
            </w:r>
          </w:p>
        </w:tc>
        <w:tc>
          <w:tcPr>
            <w:tcW w:w="5598" w:type="dxa"/>
            <w:gridSpan w:val="2"/>
            <w:tcBorders>
              <w:bottom w:val="nil"/>
            </w:tcBorders>
          </w:tcPr>
          <w:p>
            <w:pPr>
              <w:pStyle w:val="TableParagraph"/>
              <w:spacing w:line="237" w:lineRule="exact"/>
              <w:ind w:left="108"/>
              <w:rPr>
                <w:b/>
                <w:sz w:val="22"/>
              </w:rPr>
            </w:pPr>
            <w:r>
              <w:rPr>
                <w:b/>
                <w:sz w:val="22"/>
              </w:rPr>
              <w:t>Harold</w:t>
            </w:r>
            <w:r>
              <w:rPr>
                <w:b/>
                <w:spacing w:val="-2"/>
                <w:sz w:val="22"/>
              </w:rPr>
              <w:t> NYSSENS</w:t>
            </w:r>
          </w:p>
        </w:tc>
      </w:tr>
      <w:tr>
        <w:trPr>
          <w:trHeight w:val="253" w:hRule="atLeast"/>
        </w:trPr>
        <w:tc>
          <w:tcPr>
            <w:tcW w:w="4359" w:type="dxa"/>
            <w:tcBorders>
              <w:top w:val="nil"/>
              <w:bottom w:val="nil"/>
            </w:tcBorders>
          </w:tcPr>
          <w:p>
            <w:pPr>
              <w:pStyle w:val="TableParagraph"/>
              <w:spacing w:line="233" w:lineRule="exact"/>
              <w:rPr>
                <w:b/>
                <w:sz w:val="22"/>
              </w:rPr>
            </w:pPr>
            <w:r>
              <w:rPr>
                <w:b/>
                <w:sz w:val="22"/>
              </w:rPr>
              <w:t>Email</w:t>
            </w:r>
            <w:r>
              <w:rPr>
                <w:b/>
                <w:spacing w:val="-2"/>
                <w:sz w:val="22"/>
              </w:rPr>
              <w:t> address:</w:t>
            </w:r>
          </w:p>
        </w:tc>
        <w:tc>
          <w:tcPr>
            <w:tcW w:w="5598" w:type="dxa"/>
            <w:gridSpan w:val="2"/>
            <w:tcBorders>
              <w:top w:val="nil"/>
              <w:bottom w:val="nil"/>
            </w:tcBorders>
          </w:tcPr>
          <w:p>
            <w:pPr>
              <w:pStyle w:val="TableParagraph"/>
              <w:spacing w:line="233" w:lineRule="exact"/>
              <w:ind w:left="108"/>
              <w:rPr>
                <w:b/>
                <w:sz w:val="22"/>
              </w:rPr>
            </w:pPr>
            <w:hyperlink r:id="rId7">
              <w:r>
                <w:rPr>
                  <w:b/>
                  <w:color w:val="0000FF"/>
                  <w:spacing w:val="-2"/>
                  <w:sz w:val="22"/>
                  <w:u w:val="single" w:color="0000FF"/>
                </w:rPr>
                <w:t>harold.nyssens@ec.europa.eu</w:t>
              </w:r>
            </w:hyperlink>
          </w:p>
        </w:tc>
      </w:tr>
      <w:tr>
        <w:trPr>
          <w:trHeight w:val="253" w:hRule="atLeast"/>
        </w:trPr>
        <w:tc>
          <w:tcPr>
            <w:tcW w:w="4359" w:type="dxa"/>
            <w:tcBorders>
              <w:top w:val="nil"/>
              <w:bottom w:val="nil"/>
            </w:tcBorders>
          </w:tcPr>
          <w:p>
            <w:pPr>
              <w:pStyle w:val="TableParagraph"/>
              <w:spacing w:line="233" w:lineRule="exact"/>
              <w:rPr>
                <w:b/>
                <w:sz w:val="22"/>
              </w:rPr>
            </w:pPr>
            <w:r>
              <w:rPr>
                <w:b/>
                <w:spacing w:val="-2"/>
                <w:sz w:val="22"/>
              </w:rPr>
              <w:t>Telephone:</w:t>
            </w:r>
          </w:p>
        </w:tc>
        <w:tc>
          <w:tcPr>
            <w:tcW w:w="5598" w:type="dxa"/>
            <w:gridSpan w:val="2"/>
            <w:tcBorders>
              <w:top w:val="nil"/>
              <w:bottom w:val="nil"/>
            </w:tcBorders>
          </w:tcPr>
          <w:p>
            <w:pPr>
              <w:pStyle w:val="TableParagraph"/>
              <w:spacing w:line="233" w:lineRule="exact"/>
              <w:ind w:left="108"/>
              <w:rPr>
                <w:b/>
                <w:sz w:val="22"/>
              </w:rPr>
            </w:pPr>
            <w:r>
              <w:rPr>
                <w:b/>
                <w:sz w:val="22"/>
              </w:rPr>
              <w:t>+32</w:t>
            </w:r>
            <w:r>
              <w:rPr>
                <w:b/>
                <w:spacing w:val="-1"/>
                <w:sz w:val="22"/>
              </w:rPr>
              <w:t> </w:t>
            </w:r>
            <w:r>
              <w:rPr>
                <w:b/>
                <w:sz w:val="22"/>
              </w:rPr>
              <w:t>2</w:t>
            </w:r>
            <w:r>
              <w:rPr>
                <w:b/>
                <w:spacing w:val="-1"/>
                <w:sz w:val="22"/>
              </w:rPr>
              <w:t> </w:t>
            </w:r>
            <w:r>
              <w:rPr>
                <w:b/>
                <w:sz w:val="22"/>
              </w:rPr>
              <w:t>29 </w:t>
            </w:r>
            <w:r>
              <w:rPr>
                <w:b/>
                <w:spacing w:val="-2"/>
                <w:sz w:val="22"/>
              </w:rPr>
              <w:t>968702</w:t>
            </w:r>
          </w:p>
        </w:tc>
      </w:tr>
      <w:tr>
        <w:trPr>
          <w:trHeight w:val="264" w:hRule="atLeast"/>
        </w:trPr>
        <w:tc>
          <w:tcPr>
            <w:tcW w:w="4359" w:type="dxa"/>
            <w:tcBorders>
              <w:top w:val="nil"/>
              <w:bottom w:val="nil"/>
            </w:tcBorders>
          </w:tcPr>
          <w:p>
            <w:pPr>
              <w:pStyle w:val="TableParagraph"/>
              <w:spacing w:line="245" w:lineRule="exact"/>
              <w:rPr>
                <w:b/>
                <w:sz w:val="22"/>
              </w:rPr>
            </w:pPr>
            <w:r>
              <w:rPr>
                <w:b/>
                <w:sz w:val="22"/>
              </w:rPr>
              <w:t>Number</w:t>
            </w:r>
            <w:r>
              <w:rPr>
                <w:b/>
                <w:spacing w:val="-4"/>
                <w:sz w:val="22"/>
              </w:rPr>
              <w:t> </w:t>
            </w:r>
            <w:r>
              <w:rPr>
                <w:b/>
                <w:sz w:val="22"/>
              </w:rPr>
              <w:t>of</w:t>
            </w:r>
            <w:r>
              <w:rPr>
                <w:b/>
                <w:spacing w:val="-3"/>
                <w:sz w:val="22"/>
              </w:rPr>
              <w:t> </w:t>
            </w:r>
            <w:r>
              <w:rPr>
                <w:b/>
                <w:sz w:val="22"/>
              </w:rPr>
              <w:t>available</w:t>
            </w:r>
            <w:r>
              <w:rPr>
                <w:b/>
                <w:spacing w:val="-5"/>
                <w:sz w:val="22"/>
              </w:rPr>
              <w:t> </w:t>
            </w:r>
            <w:r>
              <w:rPr>
                <w:b/>
                <w:spacing w:val="-2"/>
                <w:sz w:val="22"/>
              </w:rPr>
              <w:t>posts:</w:t>
            </w:r>
          </w:p>
        </w:tc>
        <w:tc>
          <w:tcPr>
            <w:tcW w:w="5598" w:type="dxa"/>
            <w:gridSpan w:val="2"/>
            <w:tcBorders>
              <w:top w:val="nil"/>
              <w:bottom w:val="nil"/>
            </w:tcBorders>
          </w:tcPr>
          <w:p>
            <w:pPr>
              <w:pStyle w:val="TableParagraph"/>
              <w:spacing w:line="245" w:lineRule="exact"/>
              <w:ind w:left="108"/>
              <w:rPr>
                <w:b/>
                <w:sz w:val="24"/>
              </w:rPr>
            </w:pPr>
            <w:r>
              <w:rPr>
                <w:b/>
                <w:sz w:val="24"/>
              </w:rPr>
              <w:t>1</w:t>
            </w:r>
          </w:p>
        </w:tc>
      </w:tr>
      <w:tr>
        <w:trPr>
          <w:trHeight w:val="950" w:hRule="atLeast"/>
        </w:trPr>
        <w:tc>
          <w:tcPr>
            <w:tcW w:w="4359" w:type="dxa"/>
            <w:tcBorders>
              <w:top w:val="nil"/>
              <w:bottom w:val="nil"/>
            </w:tcBorders>
          </w:tcPr>
          <w:p>
            <w:pPr>
              <w:pStyle w:val="TableParagraph"/>
              <w:spacing w:line="236" w:lineRule="exact"/>
              <w:rPr>
                <w:b/>
                <w:sz w:val="22"/>
              </w:rPr>
            </w:pPr>
            <w:r>
              <w:rPr>
                <w:b/>
                <w:sz w:val="22"/>
              </w:rPr>
              <w:t>Suggested</w:t>
            </w:r>
            <w:r>
              <w:rPr>
                <w:b/>
                <w:spacing w:val="-4"/>
                <w:sz w:val="22"/>
              </w:rPr>
              <w:t> </w:t>
            </w:r>
            <w:r>
              <w:rPr>
                <w:b/>
                <w:sz w:val="22"/>
              </w:rPr>
              <w:t>taking</w:t>
            </w:r>
            <w:r>
              <w:rPr>
                <w:b/>
                <w:spacing w:val="-2"/>
                <w:sz w:val="22"/>
              </w:rPr>
              <w:t> </w:t>
            </w:r>
            <w:r>
              <w:rPr>
                <w:b/>
                <w:sz w:val="22"/>
              </w:rPr>
              <w:t>up</w:t>
            </w:r>
            <w:r>
              <w:rPr>
                <w:b/>
                <w:spacing w:val="-1"/>
                <w:sz w:val="22"/>
              </w:rPr>
              <w:t> </w:t>
            </w:r>
            <w:r>
              <w:rPr>
                <w:b/>
                <w:spacing w:val="-4"/>
                <w:sz w:val="22"/>
              </w:rPr>
              <w:t>duty:</w:t>
            </w:r>
          </w:p>
          <w:p>
            <w:pPr>
              <w:pStyle w:val="TableParagraph"/>
              <w:ind w:right="1295"/>
              <w:rPr>
                <w:b/>
                <w:sz w:val="22"/>
              </w:rPr>
            </w:pPr>
            <w:r>
              <w:rPr>
                <w:b/>
                <w:sz w:val="22"/>
              </w:rPr>
              <w:t>Suggested</w:t>
            </w:r>
            <w:r>
              <w:rPr>
                <w:b/>
                <w:spacing w:val="-14"/>
                <w:sz w:val="22"/>
              </w:rPr>
              <w:t> </w:t>
            </w:r>
            <w:r>
              <w:rPr>
                <w:b/>
                <w:sz w:val="22"/>
              </w:rPr>
              <w:t>initial</w:t>
            </w:r>
            <w:r>
              <w:rPr>
                <w:b/>
                <w:spacing w:val="-14"/>
                <w:sz w:val="22"/>
              </w:rPr>
              <w:t> </w:t>
            </w:r>
            <w:r>
              <w:rPr>
                <w:b/>
                <w:sz w:val="22"/>
              </w:rPr>
              <w:t>duration: Place of secondment:</w:t>
            </w:r>
          </w:p>
        </w:tc>
        <w:tc>
          <w:tcPr>
            <w:tcW w:w="5598" w:type="dxa"/>
            <w:gridSpan w:val="2"/>
            <w:tcBorders>
              <w:top w:val="nil"/>
            </w:tcBorders>
          </w:tcPr>
          <w:p>
            <w:pPr>
              <w:pStyle w:val="TableParagraph"/>
              <w:spacing w:line="276" w:lineRule="exact" w:before="8"/>
              <w:ind w:left="108"/>
              <w:rPr>
                <w:b/>
                <w:sz w:val="22"/>
              </w:rPr>
            </w:pPr>
            <w:r>
              <w:rPr>
                <w:b/>
                <w:sz w:val="24"/>
              </w:rPr>
              <w:t>3rd</w:t>
            </w:r>
            <w:r>
              <w:rPr>
                <w:b/>
                <w:spacing w:val="-1"/>
                <w:sz w:val="24"/>
              </w:rPr>
              <w:t> </w:t>
            </w:r>
            <w:r>
              <w:rPr>
                <w:b/>
                <w:sz w:val="22"/>
              </w:rPr>
              <w:t>quarter</w:t>
            </w:r>
            <w:r>
              <w:rPr>
                <w:b/>
                <w:spacing w:val="-1"/>
                <w:sz w:val="22"/>
              </w:rPr>
              <w:t> </w:t>
            </w:r>
            <w:r>
              <w:rPr>
                <w:b/>
                <w:sz w:val="22"/>
              </w:rPr>
              <w:t>2023</w:t>
            </w:r>
            <w:r>
              <w:rPr>
                <w:b/>
                <w:spacing w:val="-5"/>
                <w:sz w:val="22"/>
              </w:rPr>
              <w:t> </w:t>
            </w:r>
            <w:r>
              <w:rPr>
                <w:b/>
                <w:spacing w:val="-10"/>
                <w:sz w:val="22"/>
                <w:vertAlign w:val="superscript"/>
              </w:rPr>
              <w:t>1</w:t>
            </w:r>
          </w:p>
          <w:p>
            <w:pPr>
              <w:pStyle w:val="TableParagraph"/>
              <w:spacing w:line="252" w:lineRule="exact"/>
              <w:ind w:left="108"/>
              <w:rPr>
                <w:b/>
                <w:sz w:val="22"/>
              </w:rPr>
            </w:pPr>
            <w:r>
              <w:rPr>
                <w:b/>
                <w:sz w:val="22"/>
              </w:rPr>
              <w:t>1 </w:t>
            </w:r>
            <w:r>
              <w:rPr>
                <w:b/>
                <w:spacing w:val="-2"/>
                <w:sz w:val="22"/>
              </w:rPr>
              <w:t>year</w:t>
            </w:r>
            <w:r>
              <w:rPr>
                <w:b/>
                <w:spacing w:val="-2"/>
                <w:sz w:val="22"/>
                <w:vertAlign w:val="superscript"/>
              </w:rPr>
              <w:t>1</w:t>
            </w:r>
          </w:p>
          <w:p>
            <w:pPr>
              <w:pStyle w:val="TableParagraph"/>
              <w:spacing w:line="252" w:lineRule="exact"/>
              <w:ind w:left="108"/>
              <w:rPr>
                <w:b/>
                <w:sz w:val="22"/>
              </w:rPr>
            </w:pPr>
            <w:r>
              <w:rPr>
                <w:rFonts w:ascii="Wingdings 2" w:hAnsi="Wingdings 2"/>
                <w:b/>
                <w:sz w:val="22"/>
              </w:rPr>
              <w:t></w:t>
            </w:r>
            <w:r>
              <w:rPr>
                <w:spacing w:val="-2"/>
                <w:sz w:val="22"/>
              </w:rPr>
              <w:t> </w:t>
            </w:r>
            <w:r>
              <w:rPr>
                <w:b/>
                <w:sz w:val="22"/>
              </w:rPr>
              <w:t>Brussels</w:t>
            </w:r>
            <w:r>
              <w:rPr>
                <w:b/>
                <w:spacing w:val="50"/>
                <w:sz w:val="22"/>
              </w:rPr>
              <w:t> </w:t>
            </w:r>
            <w:r>
              <w:rPr>
                <w:rFonts w:ascii="Wingdings 2" w:hAnsi="Wingdings 2"/>
                <w:sz w:val="22"/>
              </w:rPr>
              <w:t></w:t>
            </w:r>
            <w:r>
              <w:rPr>
                <w:spacing w:val="-1"/>
                <w:sz w:val="22"/>
              </w:rPr>
              <w:t> </w:t>
            </w:r>
            <w:r>
              <w:rPr>
                <w:b/>
                <w:sz w:val="22"/>
              </w:rPr>
              <w:t>Luxemburg</w:t>
            </w:r>
            <w:r>
              <w:rPr>
                <w:b/>
                <w:spacing w:val="51"/>
                <w:sz w:val="22"/>
              </w:rPr>
              <w:t> </w:t>
            </w:r>
            <w:r>
              <w:rPr>
                <w:rFonts w:ascii="Wingdings 2" w:hAnsi="Wingdings 2"/>
                <w:sz w:val="22"/>
              </w:rPr>
              <w:t></w:t>
            </w:r>
            <w:r>
              <w:rPr>
                <w:spacing w:val="-2"/>
                <w:sz w:val="22"/>
              </w:rPr>
              <w:t> </w:t>
            </w:r>
            <w:r>
              <w:rPr>
                <w:b/>
                <w:sz w:val="22"/>
              </w:rPr>
              <w:t>Other:</w:t>
            </w:r>
            <w:r>
              <w:rPr>
                <w:b/>
                <w:spacing w:val="-1"/>
                <w:sz w:val="22"/>
              </w:rPr>
              <w:t> </w:t>
            </w:r>
            <w:r>
              <w:rPr>
                <w:b/>
                <w:spacing w:val="-2"/>
                <w:sz w:val="22"/>
              </w:rPr>
              <w:t>……………..</w:t>
            </w:r>
          </w:p>
        </w:tc>
      </w:tr>
      <w:tr>
        <w:trPr>
          <w:trHeight w:val="544" w:hRule="atLeast"/>
        </w:trPr>
        <w:tc>
          <w:tcPr>
            <w:tcW w:w="4359" w:type="dxa"/>
            <w:tcBorders>
              <w:top w:val="nil"/>
            </w:tcBorders>
          </w:tcPr>
          <w:p>
            <w:pPr>
              <w:pStyle w:val="TableParagraph"/>
              <w:ind w:left="0"/>
              <w:rPr>
                <w:sz w:val="22"/>
              </w:rPr>
            </w:pPr>
          </w:p>
        </w:tc>
        <w:tc>
          <w:tcPr>
            <w:tcW w:w="2512" w:type="dxa"/>
            <w:tcBorders>
              <w:right w:val="nil"/>
            </w:tcBorders>
          </w:tcPr>
          <w:p>
            <w:pPr>
              <w:pStyle w:val="TableParagraph"/>
              <w:tabs>
                <w:tab w:pos="525" w:val="left" w:leader="none"/>
              </w:tabs>
              <w:spacing w:before="145"/>
              <w:ind w:left="108"/>
              <w:rPr>
                <w:b/>
                <w:sz w:val="22"/>
              </w:rPr>
            </w:pPr>
            <w:r>
              <w:rPr>
                <w:rFonts w:ascii="Wingdings 2" w:hAnsi="Wingdings 2"/>
                <w:b/>
                <w:spacing w:val="-10"/>
                <w:sz w:val="22"/>
              </w:rPr>
              <w:t></w:t>
            </w:r>
            <w:r>
              <w:rPr>
                <w:sz w:val="22"/>
              </w:rPr>
              <w:tab/>
            </w:r>
            <w:r>
              <w:rPr>
                <w:b/>
                <w:sz w:val="22"/>
              </w:rPr>
              <w:t>With</w:t>
            </w:r>
            <w:r>
              <w:rPr>
                <w:b/>
                <w:spacing w:val="-2"/>
                <w:sz w:val="22"/>
              </w:rPr>
              <w:t> allowances</w:t>
            </w:r>
          </w:p>
        </w:tc>
        <w:tc>
          <w:tcPr>
            <w:tcW w:w="3086" w:type="dxa"/>
            <w:tcBorders>
              <w:left w:val="nil"/>
            </w:tcBorders>
          </w:tcPr>
          <w:p>
            <w:pPr>
              <w:pStyle w:val="TableParagraph"/>
              <w:numPr>
                <w:ilvl w:val="0"/>
                <w:numId w:val="1"/>
              </w:numPr>
              <w:tabs>
                <w:tab w:pos="918" w:val="left" w:leader="none"/>
                <w:tab w:pos="919" w:val="left" w:leader="none"/>
              </w:tabs>
              <w:spacing w:line="240" w:lineRule="auto" w:before="145" w:after="0"/>
              <w:ind w:left="918" w:right="0" w:hanging="474"/>
              <w:jc w:val="left"/>
              <w:rPr>
                <w:b/>
                <w:sz w:val="22"/>
              </w:rPr>
            </w:pPr>
            <w:r>
              <w:rPr>
                <w:b/>
                <w:spacing w:val="-2"/>
                <w:sz w:val="22"/>
              </w:rPr>
              <w:t>Cost-</w:t>
            </w:r>
            <w:r>
              <w:rPr>
                <w:b/>
                <w:spacing w:val="-4"/>
                <w:sz w:val="22"/>
              </w:rPr>
              <w:t>free</w:t>
            </w:r>
          </w:p>
        </w:tc>
      </w:tr>
      <w:tr>
        <w:trPr>
          <w:trHeight w:val="2113" w:hRule="atLeast"/>
        </w:trPr>
        <w:tc>
          <w:tcPr>
            <w:tcW w:w="9957" w:type="dxa"/>
            <w:gridSpan w:val="3"/>
          </w:tcPr>
          <w:p>
            <w:pPr>
              <w:pStyle w:val="TableParagraph"/>
              <w:spacing w:before="113"/>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0"/>
              <w:ind w:left="0"/>
              <w:rPr>
                <w:b/>
                <w:sz w:val="21"/>
              </w:rPr>
            </w:pPr>
          </w:p>
          <w:p>
            <w:pPr>
              <w:pStyle w:val="TableParagraph"/>
              <w:numPr>
                <w:ilvl w:val="0"/>
                <w:numId w:val="2"/>
              </w:numPr>
              <w:tabs>
                <w:tab w:pos="564" w:val="left" w:leader="none"/>
                <w:tab w:pos="565" w:val="left" w:leader="none"/>
              </w:tabs>
              <w:spacing w:line="240" w:lineRule="auto" w:before="0" w:after="0"/>
              <w:ind w:left="564" w:right="0" w:hanging="458"/>
              <w:jc w:val="left"/>
              <w:rPr>
                <w:b/>
                <w:sz w:val="24"/>
              </w:rPr>
            </w:pPr>
            <w:r>
              <w:rPr>
                <w:b/>
                <w:sz w:val="24"/>
              </w:rPr>
              <w:t>the</w:t>
            </w:r>
            <w:r>
              <w:rPr>
                <w:b/>
                <w:spacing w:val="-8"/>
                <w:sz w:val="24"/>
              </w:rPr>
              <w:t> </w:t>
            </w:r>
            <w:r>
              <w:rPr>
                <w:b/>
                <w:sz w:val="24"/>
              </w:rPr>
              <w:t>following</w:t>
            </w:r>
            <w:r>
              <w:rPr>
                <w:b/>
                <w:spacing w:val="-6"/>
                <w:sz w:val="24"/>
              </w:rPr>
              <w:t> </w:t>
            </w:r>
            <w:r>
              <w:rPr>
                <w:b/>
                <w:sz w:val="24"/>
              </w:rPr>
              <w:t>EFTA</w:t>
            </w:r>
            <w:r>
              <w:rPr>
                <w:b/>
                <w:spacing w:val="-7"/>
                <w:sz w:val="24"/>
              </w:rPr>
              <w:t> </w:t>
            </w:r>
            <w:r>
              <w:rPr>
                <w:b/>
                <w:sz w:val="24"/>
              </w:rPr>
              <w:t>countries</w:t>
            </w:r>
            <w:r>
              <w:rPr>
                <w:b/>
                <w:spacing w:val="-6"/>
                <w:sz w:val="24"/>
              </w:rPr>
              <w:t> </w:t>
            </w:r>
            <w:r>
              <w:rPr>
                <w:b/>
                <w:spacing w:val="-10"/>
                <w:sz w:val="24"/>
              </w:rPr>
              <w:t>:</w:t>
            </w:r>
          </w:p>
          <w:p>
            <w:pPr>
              <w:pStyle w:val="TableParagraph"/>
              <w:numPr>
                <w:ilvl w:val="1"/>
                <w:numId w:val="2"/>
              </w:numPr>
              <w:tabs>
                <w:tab w:pos="1093" w:val="left" w:leader="none"/>
              </w:tabs>
              <w:spacing w:line="240" w:lineRule="auto" w:before="0" w:after="0"/>
              <w:ind w:left="1092" w:right="0" w:hanging="277"/>
              <w:jc w:val="left"/>
              <w:rPr>
                <w:b/>
                <w:sz w:val="24"/>
              </w:rPr>
            </w:pPr>
            <w:r>
              <w:rPr>
                <w:b/>
                <w:sz w:val="24"/>
              </w:rPr>
              <w:t>Iceland</w:t>
            </w:r>
            <w:r>
              <w:rPr>
                <w:b/>
                <w:spacing w:val="49"/>
                <w:sz w:val="24"/>
              </w:rPr>
              <w:t> </w:t>
            </w:r>
            <w:r>
              <w:rPr>
                <w:rFonts w:ascii="Wingdings 2" w:hAnsi="Wingdings 2"/>
                <w:b/>
                <w:sz w:val="24"/>
              </w:rPr>
              <w:t></w:t>
            </w:r>
            <w:r>
              <w:rPr>
                <w:spacing w:val="-2"/>
                <w:sz w:val="24"/>
              </w:rPr>
              <w:t> </w:t>
            </w:r>
            <w:r>
              <w:rPr>
                <w:b/>
                <w:sz w:val="24"/>
              </w:rPr>
              <w:t>Liechtenstein</w:t>
            </w:r>
            <w:r>
              <w:rPr>
                <w:b/>
                <w:spacing w:val="53"/>
                <w:sz w:val="24"/>
              </w:rPr>
              <w:t> </w:t>
            </w:r>
            <w:r>
              <w:rPr>
                <w:rFonts w:ascii="Wingdings 2" w:hAnsi="Wingdings 2"/>
                <w:b/>
                <w:sz w:val="24"/>
              </w:rPr>
              <w:t></w:t>
            </w:r>
            <w:r>
              <w:rPr>
                <w:spacing w:val="-3"/>
                <w:sz w:val="24"/>
              </w:rPr>
              <w:t> </w:t>
            </w:r>
            <w:r>
              <w:rPr>
                <w:b/>
                <w:sz w:val="24"/>
              </w:rPr>
              <w:t>Norway</w:t>
            </w:r>
            <w:r>
              <w:rPr>
                <w:b/>
                <w:spacing w:val="49"/>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2"/>
              </w:numPr>
              <w:tabs>
                <w:tab w:pos="1093" w:val="left" w:leader="none"/>
              </w:tabs>
              <w:spacing w:line="240" w:lineRule="auto" w:before="0" w:after="0"/>
              <w:ind w:left="1092" w:right="0" w:hanging="277"/>
              <w:jc w:val="left"/>
              <w:rPr>
                <w:b/>
                <w:sz w:val="24"/>
              </w:rPr>
            </w:pPr>
            <w:r>
              <w:rPr>
                <w:b/>
                <w:sz w:val="24"/>
              </w:rPr>
              <w:t>EFTA-EEA</w:t>
            </w:r>
            <w:r>
              <w:rPr>
                <w:b/>
                <w:spacing w:val="-10"/>
                <w:sz w:val="24"/>
              </w:rPr>
              <w:t> </w:t>
            </w:r>
            <w:r>
              <w:rPr>
                <w:b/>
                <w:sz w:val="24"/>
              </w:rPr>
              <w:t>In-Kind</w:t>
            </w:r>
            <w:r>
              <w:rPr>
                <w:b/>
                <w:spacing w:val="-12"/>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2"/>
              </w:numPr>
              <w:tabs>
                <w:tab w:pos="564" w:val="left" w:leader="none"/>
                <w:tab w:pos="565" w:val="left" w:leader="none"/>
              </w:tabs>
              <w:spacing w:line="240" w:lineRule="auto" w:before="0" w:after="0"/>
              <w:ind w:left="564" w:right="0" w:hanging="458"/>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2"/>
              </w:numPr>
              <w:tabs>
                <w:tab w:pos="564" w:val="left" w:leader="none"/>
                <w:tab w:pos="565" w:val="left" w:leader="none"/>
              </w:tabs>
              <w:spacing w:line="240" w:lineRule="auto" w:before="0" w:after="0"/>
              <w:ind w:left="564" w:right="0" w:hanging="458"/>
              <w:jc w:val="left"/>
              <w:rPr>
                <w:b/>
                <w:sz w:val="24"/>
              </w:rPr>
            </w:pPr>
            <w:r>
              <w:rPr>
                <w:b/>
                <w:sz w:val="24"/>
              </w:rPr>
              <w:t>the</w:t>
            </w:r>
            <w:r>
              <w:rPr>
                <w:b/>
                <w:spacing w:val="-13"/>
                <w:sz w:val="24"/>
              </w:rPr>
              <w:t> </w:t>
            </w:r>
            <w:r>
              <w:rPr>
                <w:b/>
                <w:sz w:val="24"/>
              </w:rPr>
              <w:t>following</w:t>
            </w:r>
            <w:r>
              <w:rPr>
                <w:b/>
                <w:spacing w:val="-12"/>
                <w:sz w:val="24"/>
              </w:rPr>
              <w:t> </w:t>
            </w:r>
            <w:r>
              <w:rPr>
                <w:b/>
                <w:sz w:val="24"/>
              </w:rPr>
              <w:t>intergovernmental</w:t>
            </w:r>
            <w:r>
              <w:rPr>
                <w:b/>
                <w:spacing w:val="-12"/>
                <w:sz w:val="24"/>
              </w:rPr>
              <w:t> </w:t>
            </w:r>
            <w:r>
              <w:rPr>
                <w:b/>
                <w:spacing w:val="-2"/>
                <w:sz w:val="24"/>
              </w:rPr>
              <w:t>organisations:</w:t>
            </w:r>
          </w:p>
        </w:tc>
      </w:tr>
    </w:tbl>
    <w:p>
      <w:pPr>
        <w:pStyle w:val="BodyText"/>
        <w:spacing w:before="2"/>
        <w:rPr>
          <w:b/>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7"/>
        <w:rPr>
          <w:b/>
          <w:sz w:val="15"/>
        </w:rPr>
      </w:pPr>
    </w:p>
    <w:p>
      <w:pPr>
        <w:pStyle w:val="BodyText"/>
        <w:spacing w:before="92"/>
        <w:ind w:left="799" w:right="101"/>
        <w:jc w:val="both"/>
      </w:pPr>
      <w:r>
        <w:rPr/>
        <w:t>Unit H5 is in charge of ensuring that tax measures comply with State aid rules. We endeavour to prevent distortions of competition resulting from tax treatments that provide certain companies with a selective advantage. The portfolio of the unit covers, in general, corporate taxation, social security schemes, real-estate taxation, environment or health-related taxes, sectoral taxes and gambling taxation. We aim, in that context, at contributing to ensure a functioning EU internal market.</w:t>
      </w:r>
    </w:p>
    <w:p>
      <w:pPr>
        <w:pStyle w:val="BodyText"/>
        <w:spacing w:before="10"/>
        <w:rPr>
          <w:sz w:val="21"/>
        </w:rPr>
      </w:pPr>
    </w:p>
    <w:p>
      <w:pPr>
        <w:pStyle w:val="BodyText"/>
        <w:ind w:left="799" w:right="112"/>
        <w:jc w:val="both"/>
      </w:pPr>
      <w:r>
        <w:rPr/>
        <w:t>This task includes, in particular, investigating state measures facilitating aggressive tax planning by big multinationals. These involve typically tax rulings (as for example in the cases of Amazon, Apple, Fiat, Starbucks, Engie) and tax schemes such as the Belgian excess profit system.</w:t>
      </w:r>
    </w:p>
    <w:p>
      <w:pPr>
        <w:pStyle w:val="BodyText"/>
        <w:spacing w:before="1"/>
      </w:pPr>
    </w:p>
    <w:p>
      <w:pPr>
        <w:pStyle w:val="BodyText"/>
        <w:ind w:left="799" w:right="103"/>
        <w:jc w:val="both"/>
      </w:pPr>
      <w:r>
        <w:rPr/>
        <w:t>The</w:t>
      </w:r>
      <w:r>
        <w:rPr>
          <w:spacing w:val="-1"/>
        </w:rPr>
        <w:t> </w:t>
      </w:r>
      <w:r>
        <w:rPr/>
        <w:t>work</w:t>
      </w:r>
      <w:r>
        <w:rPr>
          <w:spacing w:val="-4"/>
        </w:rPr>
        <w:t> </w:t>
      </w:r>
      <w:r>
        <w:rPr/>
        <w:t>of</w:t>
      </w:r>
      <w:r>
        <w:rPr>
          <w:spacing w:val="-1"/>
        </w:rPr>
        <w:t> </w:t>
      </w:r>
      <w:r>
        <w:rPr/>
        <w:t>the</w:t>
      </w:r>
      <w:r>
        <w:rPr>
          <w:spacing w:val="-1"/>
        </w:rPr>
        <w:t> </w:t>
      </w:r>
      <w:r>
        <w:rPr/>
        <w:t>unit consists</w:t>
      </w:r>
      <w:r>
        <w:rPr>
          <w:spacing w:val="-1"/>
        </w:rPr>
        <w:t> </w:t>
      </w:r>
      <w:r>
        <w:rPr/>
        <w:t>hence</w:t>
      </w:r>
      <w:r>
        <w:rPr>
          <w:spacing w:val="-1"/>
        </w:rPr>
        <w:t> </w:t>
      </w:r>
      <w:r>
        <w:rPr/>
        <w:t>of</w:t>
      </w:r>
      <w:r>
        <w:rPr>
          <w:spacing w:val="-1"/>
        </w:rPr>
        <w:t> </w:t>
      </w:r>
      <w:r>
        <w:rPr/>
        <w:t>a</w:t>
      </w:r>
      <w:r>
        <w:rPr>
          <w:spacing w:val="-1"/>
        </w:rPr>
        <w:t> </w:t>
      </w:r>
      <w:r>
        <w:rPr/>
        <w:t>mix</w:t>
      </w:r>
      <w:r>
        <w:rPr>
          <w:spacing w:val="-1"/>
        </w:rPr>
        <w:t> </w:t>
      </w:r>
      <w:r>
        <w:rPr/>
        <w:t>of</w:t>
      </w:r>
      <w:r>
        <w:rPr>
          <w:spacing w:val="-1"/>
        </w:rPr>
        <w:t> </w:t>
      </w:r>
      <w:r>
        <w:rPr/>
        <w:t>own</w:t>
      </w:r>
      <w:r>
        <w:rPr>
          <w:spacing w:val="-1"/>
        </w:rPr>
        <w:t> </w:t>
      </w:r>
      <w:r>
        <w:rPr/>
        <w:t>initiative</w:t>
      </w:r>
      <w:r>
        <w:rPr>
          <w:spacing w:val="-1"/>
        </w:rPr>
        <w:t> </w:t>
      </w:r>
      <w:r>
        <w:rPr/>
        <w:t>investigations,</w:t>
      </w:r>
      <w:r>
        <w:rPr>
          <w:spacing w:val="-1"/>
        </w:rPr>
        <w:t> </w:t>
      </w:r>
      <w:r>
        <w:rPr/>
        <w:t>for</w:t>
      </w:r>
      <w:r>
        <w:rPr>
          <w:spacing w:val="-3"/>
        </w:rPr>
        <w:t> </w:t>
      </w:r>
      <w:r>
        <w:rPr/>
        <w:t>instance</w:t>
      </w:r>
      <w:r>
        <w:rPr>
          <w:spacing w:val="-1"/>
        </w:rPr>
        <w:t> </w:t>
      </w:r>
      <w:r>
        <w:rPr/>
        <w:t>as</w:t>
      </w:r>
      <w:r>
        <w:rPr>
          <w:spacing w:val="-1"/>
        </w:rPr>
        <w:t> </w:t>
      </w:r>
      <w:r>
        <w:rPr/>
        <w:t>regards</w:t>
      </w:r>
      <w:r>
        <w:rPr>
          <w:spacing w:val="-1"/>
        </w:rPr>
        <w:t> </w:t>
      </w:r>
      <w:r>
        <w:rPr/>
        <w:t>aggressive tax planning or public companies in the port sector, and of investigations triggered by complaints from market operators. One of the core questions faced by the unit in these cases relate to the existence of a "selective advantage",</w:t>
      </w:r>
      <w:r>
        <w:rPr>
          <w:spacing w:val="-7"/>
        </w:rPr>
        <w:t> </w:t>
      </w:r>
      <w:r>
        <w:rPr/>
        <w:t>thereby</w:t>
      </w:r>
      <w:r>
        <w:rPr>
          <w:spacing w:val="-7"/>
        </w:rPr>
        <w:t> </w:t>
      </w:r>
      <w:r>
        <w:rPr/>
        <w:t>drawing</w:t>
      </w:r>
      <w:r>
        <w:rPr>
          <w:spacing w:val="-7"/>
        </w:rPr>
        <w:t> </w:t>
      </w:r>
      <w:r>
        <w:rPr/>
        <w:t>the</w:t>
      </w:r>
      <w:r>
        <w:rPr>
          <w:spacing w:val="-7"/>
        </w:rPr>
        <w:t> </w:t>
      </w:r>
      <w:r>
        <w:rPr/>
        <w:t>line</w:t>
      </w:r>
      <w:r>
        <w:rPr>
          <w:spacing w:val="-4"/>
        </w:rPr>
        <w:t> </w:t>
      </w:r>
      <w:r>
        <w:rPr/>
        <w:t>between</w:t>
      </w:r>
      <w:r>
        <w:rPr>
          <w:spacing w:val="-7"/>
        </w:rPr>
        <w:t> </w:t>
      </w:r>
      <w:r>
        <w:rPr/>
        <w:t>the</w:t>
      </w:r>
      <w:r>
        <w:rPr>
          <w:spacing w:val="-7"/>
        </w:rPr>
        <w:t> </w:t>
      </w:r>
      <w:r>
        <w:rPr/>
        <w:t>exclusive</w:t>
      </w:r>
      <w:r>
        <w:rPr>
          <w:spacing w:val="-4"/>
        </w:rPr>
        <w:t> </w:t>
      </w:r>
      <w:r>
        <w:rPr/>
        <w:t>competence</w:t>
      </w:r>
      <w:r>
        <w:rPr>
          <w:spacing w:val="-6"/>
        </w:rPr>
        <w:t> </w:t>
      </w:r>
      <w:r>
        <w:rPr/>
        <w:t>of</w:t>
      </w:r>
      <w:r>
        <w:rPr>
          <w:spacing w:val="-6"/>
        </w:rPr>
        <w:t> </w:t>
      </w:r>
      <w:r>
        <w:rPr/>
        <w:t>Member</w:t>
      </w:r>
      <w:r>
        <w:rPr>
          <w:spacing w:val="-4"/>
        </w:rPr>
        <w:t> </w:t>
      </w:r>
      <w:r>
        <w:rPr/>
        <w:t>States</w:t>
      </w:r>
      <w:r>
        <w:rPr>
          <w:spacing w:val="-6"/>
        </w:rPr>
        <w:t> </w:t>
      </w:r>
      <w:r>
        <w:rPr/>
        <w:t>in</w:t>
      </w:r>
      <w:r>
        <w:rPr>
          <w:spacing w:val="-7"/>
        </w:rPr>
        <w:t> </w:t>
      </w:r>
      <w:r>
        <w:rPr/>
        <w:t>the</w:t>
      </w:r>
      <w:r>
        <w:rPr>
          <w:spacing w:val="-4"/>
        </w:rPr>
        <w:t> </w:t>
      </w:r>
      <w:r>
        <w:rPr/>
        <w:t>design</w:t>
      </w:r>
      <w:r>
        <w:rPr>
          <w:spacing w:val="-5"/>
        </w:rPr>
        <w:t> </w:t>
      </w:r>
      <w:r>
        <w:rPr/>
        <w:t>of</w:t>
      </w:r>
      <w:r>
        <w:rPr>
          <w:spacing w:val="-6"/>
        </w:rPr>
        <w:t> </w:t>
      </w:r>
      <w:r>
        <w:rPr/>
        <w:t>their tax systems and the Commission's duty to ensure compliance of those tax systems with State aid rules. The recent case law of the ECJ plays a crucial role in this respect.</w:t>
      </w:r>
    </w:p>
    <w:p>
      <w:pPr>
        <w:pStyle w:val="BodyText"/>
        <w:spacing w:before="1"/>
      </w:pPr>
    </w:p>
    <w:p>
      <w:pPr>
        <w:pStyle w:val="BodyText"/>
        <w:ind w:left="799" w:right="107"/>
        <w:jc w:val="both"/>
      </w:pPr>
      <w:r>
        <w:rPr/>
        <w:t>Close</w:t>
      </w:r>
      <w:r>
        <w:rPr>
          <w:spacing w:val="-11"/>
        </w:rPr>
        <w:t> </w:t>
      </w:r>
      <w:r>
        <w:rPr/>
        <w:t>contacts</w:t>
      </w:r>
      <w:r>
        <w:rPr>
          <w:spacing w:val="-12"/>
        </w:rPr>
        <w:t> </w:t>
      </w:r>
      <w:r>
        <w:rPr/>
        <w:t>are</w:t>
      </w:r>
      <w:r>
        <w:rPr>
          <w:spacing w:val="-9"/>
        </w:rPr>
        <w:t> </w:t>
      </w:r>
      <w:r>
        <w:rPr/>
        <w:t>kept</w:t>
      </w:r>
      <w:r>
        <w:rPr>
          <w:spacing w:val="-11"/>
        </w:rPr>
        <w:t> </w:t>
      </w:r>
      <w:r>
        <w:rPr/>
        <w:t>with</w:t>
      </w:r>
      <w:r>
        <w:rPr>
          <w:spacing w:val="-12"/>
        </w:rPr>
        <w:t> </w:t>
      </w:r>
      <w:r>
        <w:rPr/>
        <w:t>DG</w:t>
      </w:r>
      <w:r>
        <w:rPr>
          <w:spacing w:val="-11"/>
        </w:rPr>
        <w:t> </w:t>
      </w:r>
      <w:r>
        <w:rPr/>
        <w:t>TAXUD</w:t>
      </w:r>
      <w:r>
        <w:rPr>
          <w:spacing w:val="-13"/>
        </w:rPr>
        <w:t> </w:t>
      </w:r>
      <w:r>
        <w:rPr/>
        <w:t>in</w:t>
      </w:r>
      <w:r>
        <w:rPr>
          <w:spacing w:val="-10"/>
        </w:rPr>
        <w:t> </w:t>
      </w:r>
      <w:r>
        <w:rPr/>
        <w:t>order</w:t>
      </w:r>
      <w:r>
        <w:rPr>
          <w:spacing w:val="-11"/>
        </w:rPr>
        <w:t> </w:t>
      </w:r>
      <w:r>
        <w:rPr/>
        <w:t>to</w:t>
      </w:r>
      <w:r>
        <w:rPr>
          <w:spacing w:val="-10"/>
        </w:rPr>
        <w:t> </w:t>
      </w:r>
      <w:r>
        <w:rPr/>
        <w:t>ensure</w:t>
      </w:r>
      <w:r>
        <w:rPr>
          <w:spacing w:val="-12"/>
        </w:rPr>
        <w:t> </w:t>
      </w:r>
      <w:r>
        <w:rPr/>
        <w:t>alignment</w:t>
      </w:r>
      <w:r>
        <w:rPr>
          <w:spacing w:val="-8"/>
        </w:rPr>
        <w:t> </w:t>
      </w:r>
      <w:r>
        <w:rPr/>
        <w:t>of</w:t>
      </w:r>
      <w:r>
        <w:rPr>
          <w:spacing w:val="-11"/>
        </w:rPr>
        <w:t> </w:t>
      </w:r>
      <w:r>
        <w:rPr/>
        <w:t>State</w:t>
      </w:r>
      <w:r>
        <w:rPr>
          <w:spacing w:val="-12"/>
        </w:rPr>
        <w:t> </w:t>
      </w:r>
      <w:r>
        <w:rPr/>
        <w:t>aid</w:t>
      </w:r>
      <w:r>
        <w:rPr>
          <w:spacing w:val="-12"/>
        </w:rPr>
        <w:t> </w:t>
      </w:r>
      <w:r>
        <w:rPr/>
        <w:t>enforcement</w:t>
      </w:r>
      <w:r>
        <w:rPr>
          <w:spacing w:val="-8"/>
        </w:rPr>
        <w:t> </w:t>
      </w:r>
      <w:r>
        <w:rPr/>
        <w:t>with</w:t>
      </w:r>
      <w:r>
        <w:rPr>
          <w:spacing w:val="-12"/>
        </w:rPr>
        <w:t> </w:t>
      </w:r>
      <w:r>
        <w:rPr/>
        <w:t>the</w:t>
      </w:r>
      <w:r>
        <w:rPr>
          <w:spacing w:val="-9"/>
        </w:rPr>
        <w:t> </w:t>
      </w:r>
      <w:r>
        <w:rPr/>
        <w:t>broader policy</w:t>
      </w:r>
      <w:r>
        <w:rPr>
          <w:spacing w:val="-4"/>
        </w:rPr>
        <w:t> </w:t>
      </w:r>
      <w:r>
        <w:rPr/>
        <w:t>agenda</w:t>
      </w:r>
      <w:r>
        <w:rPr>
          <w:spacing w:val="-2"/>
        </w:rPr>
        <w:t> </w:t>
      </w:r>
      <w:r>
        <w:rPr/>
        <w:t>of</w:t>
      </w:r>
      <w:r>
        <w:rPr>
          <w:spacing w:val="-2"/>
        </w:rPr>
        <w:t> </w:t>
      </w:r>
      <w:r>
        <w:rPr/>
        <w:t>the</w:t>
      </w:r>
      <w:r>
        <w:rPr>
          <w:spacing w:val="-2"/>
        </w:rPr>
        <w:t> </w:t>
      </w:r>
      <w:r>
        <w:rPr/>
        <w:t>Commission</w:t>
      </w:r>
      <w:r>
        <w:rPr>
          <w:spacing w:val="-5"/>
        </w:rPr>
        <w:t> </w:t>
      </w:r>
      <w:r>
        <w:rPr/>
        <w:t>as</w:t>
      </w:r>
      <w:r>
        <w:rPr>
          <w:spacing w:val="-4"/>
        </w:rPr>
        <w:t> </w:t>
      </w:r>
      <w:r>
        <w:rPr/>
        <w:t>regards</w:t>
      </w:r>
      <w:r>
        <w:rPr>
          <w:spacing w:val="-2"/>
        </w:rPr>
        <w:t> </w:t>
      </w:r>
      <w:r>
        <w:rPr/>
        <w:t>taxation.</w:t>
      </w:r>
      <w:r>
        <w:rPr>
          <w:spacing w:val="-2"/>
        </w:rPr>
        <w:t> </w:t>
      </w:r>
      <w:r>
        <w:rPr/>
        <w:t>Such</w:t>
      </w:r>
      <w:r>
        <w:rPr>
          <w:spacing w:val="-2"/>
        </w:rPr>
        <w:t> </w:t>
      </w:r>
      <w:r>
        <w:rPr/>
        <w:t>coordination</w:t>
      </w:r>
      <w:r>
        <w:rPr>
          <w:spacing w:val="-2"/>
        </w:rPr>
        <w:t> </w:t>
      </w:r>
      <w:r>
        <w:rPr/>
        <w:t>is</w:t>
      </w:r>
      <w:r>
        <w:rPr>
          <w:spacing w:val="-2"/>
        </w:rPr>
        <w:t> </w:t>
      </w:r>
      <w:r>
        <w:rPr/>
        <w:t>particularly</w:t>
      </w:r>
      <w:r>
        <w:rPr>
          <w:spacing w:val="-5"/>
        </w:rPr>
        <w:t> </w:t>
      </w:r>
      <w:r>
        <w:rPr/>
        <w:t>crucial</w:t>
      </w:r>
      <w:r>
        <w:rPr>
          <w:spacing w:val="-3"/>
        </w:rPr>
        <w:t> </w:t>
      </w:r>
      <w:r>
        <w:rPr/>
        <w:t>in</w:t>
      </w:r>
      <w:r>
        <w:rPr>
          <w:spacing w:val="-5"/>
        </w:rPr>
        <w:t> </w:t>
      </w:r>
      <w:r>
        <w:rPr/>
        <w:t>areas</w:t>
      </w:r>
      <w:r>
        <w:rPr>
          <w:spacing w:val="-4"/>
        </w:rPr>
        <w:t> </w:t>
      </w:r>
      <w:r>
        <w:rPr/>
        <w:t>such</w:t>
      </w:r>
      <w:r>
        <w:rPr>
          <w:spacing w:val="-2"/>
        </w:rPr>
        <w:t> </w:t>
      </w:r>
      <w:r>
        <w:rPr/>
        <w:t>as, for</w:t>
      </w:r>
      <w:r>
        <w:rPr>
          <w:spacing w:val="-1"/>
        </w:rPr>
        <w:t> </w:t>
      </w:r>
      <w:r>
        <w:rPr/>
        <w:t>instance</w:t>
      </w:r>
      <w:r>
        <w:rPr>
          <w:spacing w:val="-1"/>
        </w:rPr>
        <w:t> </w:t>
      </w:r>
      <w:r>
        <w:rPr/>
        <w:t>VAT, excise</w:t>
      </w:r>
      <w:r>
        <w:rPr>
          <w:spacing w:val="-1"/>
        </w:rPr>
        <w:t> </w:t>
      </w:r>
      <w:r>
        <w:rPr/>
        <w:t>duties and corporate</w:t>
      </w:r>
      <w:r>
        <w:rPr>
          <w:spacing w:val="-1"/>
        </w:rPr>
        <w:t> </w:t>
      </w:r>
      <w:r>
        <w:rPr/>
        <w:t>taxation. The work</w:t>
      </w:r>
      <w:r>
        <w:rPr>
          <w:spacing w:val="-2"/>
        </w:rPr>
        <w:t> </w:t>
      </w:r>
      <w:r>
        <w:rPr/>
        <w:t>on</w:t>
      </w:r>
      <w:r>
        <w:rPr>
          <w:spacing w:val="-1"/>
        </w:rPr>
        <w:t> </w:t>
      </w:r>
      <w:r>
        <w:rPr/>
        <w:t>tax</w:t>
      </w:r>
      <w:r>
        <w:rPr>
          <w:spacing w:val="-1"/>
        </w:rPr>
        <w:t> </w:t>
      </w:r>
      <w:r>
        <w:rPr/>
        <w:t>planning</w:t>
      </w:r>
      <w:r>
        <w:rPr>
          <w:spacing w:val="-2"/>
        </w:rPr>
        <w:t> </w:t>
      </w:r>
      <w:r>
        <w:rPr/>
        <w:t>cases is further embedded</w:t>
      </w:r>
      <w:r>
        <w:rPr>
          <w:spacing w:val="-1"/>
        </w:rPr>
        <w:t> </w:t>
      </w:r>
      <w:r>
        <w:rPr/>
        <w:t>in broader discussions</w:t>
      </w:r>
      <w:r>
        <w:rPr>
          <w:spacing w:val="-2"/>
        </w:rPr>
        <w:t> </w:t>
      </w:r>
      <w:r>
        <w:rPr/>
        <w:t>on combatting</w:t>
      </w:r>
      <w:r>
        <w:rPr>
          <w:spacing w:val="-3"/>
        </w:rPr>
        <w:t> </w:t>
      </w:r>
      <w:r>
        <w:rPr/>
        <w:t>aggressive tax</w:t>
      </w:r>
      <w:r>
        <w:rPr>
          <w:spacing w:val="-2"/>
        </w:rPr>
        <w:t> </w:t>
      </w:r>
      <w:r>
        <w:rPr/>
        <w:t>planning</w:t>
      </w:r>
      <w:r>
        <w:rPr>
          <w:spacing w:val="-3"/>
        </w:rPr>
        <w:t> </w:t>
      </w:r>
      <w:r>
        <w:rPr/>
        <w:t>within the OECD</w:t>
      </w:r>
      <w:r>
        <w:rPr>
          <w:spacing w:val="-1"/>
        </w:rPr>
        <w:t> </w:t>
      </w:r>
      <w:r>
        <w:rPr/>
        <w:t>and G20 (for instance</w:t>
      </w:r>
      <w:r>
        <w:rPr>
          <w:spacing w:val="-2"/>
        </w:rPr>
        <w:t> </w:t>
      </w:r>
      <w:r>
        <w:rPr/>
        <w:t>as,</w:t>
      </w:r>
      <w:r>
        <w:rPr>
          <w:spacing w:val="-2"/>
        </w:rPr>
        <w:t> </w:t>
      </w:r>
      <w:r>
        <w:rPr/>
        <w:t>regards the development of OECD pillar 2 rules).</w:t>
      </w:r>
    </w:p>
    <w:p>
      <w:pPr>
        <w:pStyle w:val="BodyText"/>
        <w:rPr>
          <w:sz w:val="20"/>
        </w:rPr>
      </w:pPr>
    </w:p>
    <w:p>
      <w:pPr>
        <w:pStyle w:val="BodyText"/>
        <w:rPr>
          <w:sz w:val="20"/>
        </w:rPr>
      </w:pPr>
    </w:p>
    <w:p>
      <w:pPr>
        <w:pStyle w:val="BodyText"/>
        <w:rPr>
          <w:sz w:val="20"/>
        </w:rPr>
      </w:pPr>
    </w:p>
    <w:p>
      <w:pPr>
        <w:pStyle w:val="BodyText"/>
        <w:rPr>
          <w:sz w:val="15"/>
        </w:rPr>
      </w:pPr>
      <w:r>
        <w:rPr/>
        <w:pict>
          <v:rect style="position:absolute;margin-left:42.599998pt;margin-top:9.865624pt;width:144.020pt;height:.71997pt;mso-position-horizontal-relative:page;mso-position-vertical-relative:paragraph;z-index:-15728640;mso-wrap-distance-left:0;mso-wrap-distance-right:0" id="docshape2" filled="true" fillcolor="#000000" stroked="false">
            <v:fill type="solid"/>
            <w10:wrap type="topAndBottom"/>
          </v:rect>
        </w:pict>
      </w:r>
    </w:p>
    <w:p>
      <w:pPr>
        <w:spacing w:before="94"/>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3"/>
          <w:sz w:val="20"/>
          <w:vertAlign w:val="baseline"/>
        </w:rPr>
        <w:t> </w:t>
      </w:r>
      <w:r>
        <w:rPr>
          <w:sz w:val="20"/>
          <w:vertAlign w:val="baseline"/>
        </w:rPr>
        <w:t>only</w:t>
      </w:r>
      <w:r>
        <w:rPr>
          <w:spacing w:val="-7"/>
          <w:sz w:val="20"/>
          <w:vertAlign w:val="baseline"/>
        </w:rPr>
        <w:t> </w:t>
      </w:r>
      <w:r>
        <w:rPr>
          <w:sz w:val="20"/>
          <w:vertAlign w:val="baseline"/>
        </w:rPr>
        <w:t>(Art.4 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1120" w:bottom="880" w:left="480" w:right="740"/>
          <w:pgNumType w:start="1"/>
        </w:sectPr>
      </w:pPr>
    </w:p>
    <w:p>
      <w:pPr>
        <w:pStyle w:val="BodyText"/>
        <w:spacing w:before="68"/>
        <w:ind w:left="799" w:right="108"/>
        <w:jc w:val="both"/>
      </w:pPr>
      <w:r>
        <w:rPr/>
        <w:t>We offer a</w:t>
      </w:r>
      <w:r>
        <w:rPr>
          <w:spacing w:val="-1"/>
        </w:rPr>
        <w:t> </w:t>
      </w:r>
      <w:r>
        <w:rPr/>
        <w:t>position as case</w:t>
      </w:r>
      <w:r>
        <w:rPr>
          <w:spacing w:val="-1"/>
        </w:rPr>
        <w:t> </w:t>
      </w:r>
      <w:r>
        <w:rPr/>
        <w:t>handler. His/her main task</w:t>
      </w:r>
      <w:r>
        <w:rPr>
          <w:spacing w:val="-1"/>
        </w:rPr>
        <w:t> </w:t>
      </w:r>
      <w:r>
        <w:rPr/>
        <w:t>will be</w:t>
      </w:r>
      <w:r>
        <w:rPr>
          <w:spacing w:val="-1"/>
        </w:rPr>
        <w:t> </w:t>
      </w:r>
      <w:r>
        <w:rPr/>
        <w:t>to carry</w:t>
      </w:r>
      <w:r>
        <w:rPr>
          <w:spacing w:val="-2"/>
        </w:rPr>
        <w:t> </w:t>
      </w:r>
      <w:r>
        <w:rPr/>
        <w:t>out the tax</w:t>
      </w:r>
      <w:r>
        <w:rPr>
          <w:spacing w:val="-1"/>
        </w:rPr>
        <w:t> </w:t>
      </w:r>
      <w:r>
        <w:rPr/>
        <w:t>assessment of</w:t>
      </w:r>
      <w:r>
        <w:rPr>
          <w:spacing w:val="-1"/>
        </w:rPr>
        <w:t> </w:t>
      </w:r>
      <w:r>
        <w:rPr/>
        <w:t>state</w:t>
      </w:r>
      <w:r>
        <w:rPr>
          <w:spacing w:val="-1"/>
        </w:rPr>
        <w:t> </w:t>
      </w:r>
      <w:r>
        <w:rPr/>
        <w:t>measures including</w:t>
      </w:r>
      <w:r>
        <w:rPr>
          <w:spacing w:val="-14"/>
        </w:rPr>
        <w:t> </w:t>
      </w:r>
      <w:r>
        <w:rPr/>
        <w:t>those</w:t>
      </w:r>
      <w:r>
        <w:rPr>
          <w:spacing w:val="-14"/>
        </w:rPr>
        <w:t> </w:t>
      </w:r>
      <w:r>
        <w:rPr/>
        <w:t>which</w:t>
      </w:r>
      <w:r>
        <w:rPr>
          <w:spacing w:val="-13"/>
        </w:rPr>
        <w:t> </w:t>
      </w:r>
      <w:r>
        <w:rPr/>
        <w:t>facilitate</w:t>
      </w:r>
      <w:r>
        <w:rPr>
          <w:spacing w:val="-12"/>
        </w:rPr>
        <w:t> </w:t>
      </w:r>
      <w:r>
        <w:rPr/>
        <w:t>aggressive</w:t>
      </w:r>
      <w:r>
        <w:rPr>
          <w:spacing w:val="-12"/>
        </w:rPr>
        <w:t> </w:t>
      </w:r>
      <w:r>
        <w:rPr/>
        <w:t>tax</w:t>
      </w:r>
      <w:r>
        <w:rPr>
          <w:spacing w:val="-14"/>
        </w:rPr>
        <w:t> </w:t>
      </w:r>
      <w:r>
        <w:rPr/>
        <w:t>planning</w:t>
      </w:r>
      <w:r>
        <w:rPr>
          <w:spacing w:val="-14"/>
        </w:rPr>
        <w:t> </w:t>
      </w:r>
      <w:r>
        <w:rPr/>
        <w:t>structures</w:t>
      </w:r>
      <w:r>
        <w:rPr>
          <w:spacing w:val="-10"/>
        </w:rPr>
        <w:t> </w:t>
      </w:r>
      <w:r>
        <w:rPr/>
        <w:t>under</w:t>
      </w:r>
      <w:r>
        <w:rPr>
          <w:spacing w:val="-13"/>
        </w:rPr>
        <w:t> </w:t>
      </w:r>
      <w:r>
        <w:rPr/>
        <w:t>state</w:t>
      </w:r>
      <w:r>
        <w:rPr>
          <w:spacing w:val="-12"/>
        </w:rPr>
        <w:t> </w:t>
      </w:r>
      <w:r>
        <w:rPr/>
        <w:t>aid</w:t>
      </w:r>
      <w:r>
        <w:rPr>
          <w:spacing w:val="-14"/>
        </w:rPr>
        <w:t> </w:t>
      </w:r>
      <w:r>
        <w:rPr/>
        <w:t>rules.</w:t>
      </w:r>
      <w:r>
        <w:rPr>
          <w:spacing w:val="-14"/>
        </w:rPr>
        <w:t> </w:t>
      </w:r>
      <w:r>
        <w:rPr/>
        <w:t>This</w:t>
      </w:r>
      <w:r>
        <w:rPr>
          <w:spacing w:val="-10"/>
        </w:rPr>
        <w:t> </w:t>
      </w:r>
      <w:r>
        <w:rPr/>
        <w:t>work</w:t>
      </w:r>
      <w:r>
        <w:rPr>
          <w:spacing w:val="-14"/>
        </w:rPr>
        <w:t> </w:t>
      </w:r>
      <w:r>
        <w:rPr/>
        <w:t>is</w:t>
      </w:r>
      <w:r>
        <w:rPr>
          <w:spacing w:val="-11"/>
        </w:rPr>
        <w:t> </w:t>
      </w:r>
      <w:r>
        <w:rPr/>
        <w:t>done</w:t>
      </w:r>
      <w:r>
        <w:rPr>
          <w:spacing w:val="-12"/>
        </w:rPr>
        <w:t> </w:t>
      </w:r>
      <w:r>
        <w:rPr/>
        <w:t>within a dynamic and young team. The team is responsible for the case from the initiation until a formal Commission decision, leads the negotiations with Member States and stakeholders, and prepares the corresponding notes to the management and the Commissioner. The team also drafts the final Commission decisions. The successful candidate will thereby contribute to the development of the Commission's policy in the area of fiscal aid.</w:t>
      </w:r>
    </w:p>
    <w:p>
      <w:pPr>
        <w:pStyle w:val="BodyText"/>
      </w:pPr>
    </w:p>
    <w:p>
      <w:pPr>
        <w:pStyle w:val="BodyText"/>
        <w:spacing w:before="1"/>
        <w:ind w:left="799" w:right="103"/>
        <w:jc w:val="both"/>
      </w:pPr>
      <w:r>
        <w:rPr/>
        <w:t>Colleagues joining DG COMP are offered a dedicated training to become familiar with the organisation and working procedures of the Directorate-General. Coaching/mentoring is offered by an experienced colleague from the unit. DG COMP applies a policy of equal opportunities and operates a flexitime system, in particular in the present COVID circumstances.</w:t>
      </w:r>
    </w:p>
    <w:p>
      <w:pPr>
        <w:pStyle w:val="BodyText"/>
        <w:spacing w:before="5"/>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Main</w:t>
      </w:r>
      <w:r>
        <w:rPr>
          <w:b/>
          <w:spacing w:val="-2"/>
          <w:sz w:val="24"/>
          <w:u w:val="single"/>
        </w:rPr>
        <w:t> qualifications</w:t>
      </w:r>
    </w:p>
    <w:p>
      <w:pPr>
        <w:pStyle w:val="BodyText"/>
        <w:rPr>
          <w:b/>
          <w:sz w:val="16"/>
        </w:rPr>
      </w:pPr>
    </w:p>
    <w:p>
      <w:pPr>
        <w:pStyle w:val="Heading1"/>
        <w:numPr>
          <w:ilvl w:val="1"/>
          <w:numId w:val="3"/>
        </w:numPr>
        <w:tabs>
          <w:tab w:pos="1040" w:val="left" w:leader="none"/>
        </w:tabs>
        <w:spacing w:line="240" w:lineRule="auto" w:before="91" w:after="0"/>
        <w:ind w:left="1039" w:right="0" w:hanging="241"/>
        <w:jc w:val="left"/>
      </w:pPr>
      <w:r>
        <w:rPr/>
        <w:t>Eligibility</w:t>
      </w:r>
      <w:r>
        <w:rPr>
          <w:spacing w:val="-10"/>
        </w:rPr>
        <w:t> </w:t>
      </w:r>
      <w:r>
        <w:rPr>
          <w:spacing w:val="-2"/>
        </w:rPr>
        <w:t>criteria</w:t>
      </w:r>
    </w:p>
    <w:p>
      <w:pPr>
        <w:pStyle w:val="BodyText"/>
        <w:spacing w:before="8"/>
        <w:rPr>
          <w:b/>
          <w:sz w:val="21"/>
        </w:rPr>
      </w:pPr>
    </w:p>
    <w:p>
      <w:pPr>
        <w:pStyle w:val="BodyText"/>
        <w:ind w:left="799" w:right="105"/>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spacing w:before="1"/>
      </w:pPr>
    </w:p>
    <w:p>
      <w:pPr>
        <w:pStyle w:val="ListParagraph"/>
        <w:numPr>
          <w:ilvl w:val="2"/>
          <w:numId w:val="3"/>
        </w:numPr>
        <w:tabs>
          <w:tab w:pos="1081" w:val="left" w:leader="none"/>
        </w:tabs>
        <w:spacing w:line="240" w:lineRule="auto" w:before="0" w:after="0"/>
        <w:ind w:left="1080" w:right="114"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1"/>
        <w:rPr>
          <w:sz w:val="21"/>
        </w:rPr>
      </w:pPr>
    </w:p>
    <w:p>
      <w:pPr>
        <w:pStyle w:val="ListParagraph"/>
        <w:numPr>
          <w:ilvl w:val="2"/>
          <w:numId w:val="3"/>
        </w:numPr>
        <w:tabs>
          <w:tab w:pos="1081" w:val="left" w:leader="none"/>
        </w:tabs>
        <w:spacing w:line="240" w:lineRule="auto" w:before="0" w:after="0"/>
        <w:ind w:left="1080" w:right="119"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
      </w:pPr>
    </w:p>
    <w:p>
      <w:pPr>
        <w:pStyle w:val="ListParagraph"/>
        <w:numPr>
          <w:ilvl w:val="2"/>
          <w:numId w:val="3"/>
        </w:numPr>
        <w:tabs>
          <w:tab w:pos="1081" w:val="left" w:leader="none"/>
        </w:tabs>
        <w:spacing w:line="240" w:lineRule="auto" w:before="0" w:after="0"/>
        <w:ind w:left="1080" w:right="106"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w:t>
      </w:r>
      <w:r>
        <w:rPr>
          <w:spacing w:val="-4"/>
          <w:sz w:val="22"/>
        </w:rPr>
        <w:t> </w:t>
      </w:r>
      <w:r>
        <w:rPr>
          <w:sz w:val="22"/>
        </w:rPr>
        <w:t>evidence</w:t>
      </w:r>
      <w:r>
        <w:rPr>
          <w:spacing w:val="-2"/>
          <w:sz w:val="22"/>
        </w:rPr>
        <w:t> </w:t>
      </w:r>
      <w:r>
        <w:rPr>
          <w:sz w:val="22"/>
        </w:rPr>
        <w:t>of</w:t>
      </w:r>
      <w:r>
        <w:rPr>
          <w:spacing w:val="-2"/>
          <w:sz w:val="22"/>
        </w:rPr>
        <w:t> </w:t>
      </w:r>
      <w:r>
        <w:rPr>
          <w:sz w:val="22"/>
        </w:rPr>
        <w:t>a</w:t>
      </w:r>
      <w:r>
        <w:rPr>
          <w:spacing w:val="-7"/>
          <w:sz w:val="22"/>
        </w:rPr>
        <w:t> </w:t>
      </w:r>
      <w:r>
        <w:rPr>
          <w:sz w:val="22"/>
        </w:rPr>
        <w:t>thorough</w:t>
      </w:r>
      <w:r>
        <w:rPr>
          <w:spacing w:val="-2"/>
          <w:sz w:val="22"/>
        </w:rPr>
        <w:t> </w:t>
      </w:r>
      <w:r>
        <w:rPr>
          <w:sz w:val="22"/>
        </w:rPr>
        <w:t>knowledge</w:t>
      </w:r>
      <w:r>
        <w:rPr>
          <w:spacing w:val="-2"/>
          <w:sz w:val="22"/>
        </w:rPr>
        <w:t> </w:t>
      </w:r>
      <w:r>
        <w:rPr>
          <w:sz w:val="22"/>
        </w:rPr>
        <w:t>of</w:t>
      </w:r>
      <w:r>
        <w:rPr>
          <w:spacing w:val="-4"/>
          <w:sz w:val="22"/>
        </w:rPr>
        <w:t> </w:t>
      </w:r>
      <w:r>
        <w:rPr>
          <w:sz w:val="22"/>
        </w:rPr>
        <w:t>one</w:t>
      </w:r>
      <w:r>
        <w:rPr>
          <w:spacing w:val="-4"/>
          <w:sz w:val="22"/>
        </w:rPr>
        <w:t> </w:t>
      </w:r>
      <w:r>
        <w:rPr>
          <w:sz w:val="22"/>
        </w:rPr>
        <w:t>EU</w:t>
      </w:r>
      <w:r>
        <w:rPr>
          <w:spacing w:val="-4"/>
          <w:sz w:val="22"/>
        </w:rPr>
        <w:t> </w:t>
      </w:r>
      <w:r>
        <w:rPr>
          <w:sz w:val="22"/>
        </w:rPr>
        <w:t>language</w:t>
      </w:r>
      <w:r>
        <w:rPr>
          <w:spacing w:val="-2"/>
          <w:sz w:val="22"/>
        </w:rPr>
        <w:t> </w:t>
      </w:r>
      <w:r>
        <w:rPr>
          <w:sz w:val="22"/>
        </w:rPr>
        <w:t>necessary</w:t>
      </w:r>
      <w:r>
        <w:rPr>
          <w:spacing w:val="-5"/>
          <w:sz w:val="22"/>
        </w:rPr>
        <w:t> </w:t>
      </w:r>
      <w:r>
        <w:rPr>
          <w:sz w:val="22"/>
        </w:rPr>
        <w:t>for</w:t>
      </w:r>
      <w:r>
        <w:rPr>
          <w:spacing w:val="-4"/>
          <w:sz w:val="22"/>
        </w:rPr>
        <w:t> </w:t>
      </w:r>
      <w:r>
        <w:rPr>
          <w:sz w:val="22"/>
        </w:rPr>
        <w:t>the</w:t>
      </w:r>
      <w:r>
        <w:rPr>
          <w:spacing w:val="-4"/>
          <w:sz w:val="22"/>
        </w:rPr>
        <w:t> </w:t>
      </w:r>
      <w:r>
        <w:rPr>
          <w:sz w:val="22"/>
        </w:rPr>
        <w:t>performance</w:t>
      </w:r>
      <w:r>
        <w:rPr>
          <w:spacing w:val="-2"/>
          <w:sz w:val="22"/>
        </w:rPr>
        <w:t> </w:t>
      </w:r>
      <w:r>
        <w:rPr>
          <w:sz w:val="22"/>
        </w:rPr>
        <w:t>of</w:t>
      </w:r>
      <w:r>
        <w:rPr>
          <w:spacing w:val="-2"/>
          <w:sz w:val="22"/>
        </w:rPr>
        <w:t> </w:t>
      </w:r>
      <w:r>
        <w:rPr>
          <w:sz w:val="22"/>
        </w:rPr>
        <w:t>his</w:t>
      </w:r>
      <w:r>
        <w:rPr>
          <w:spacing w:val="-4"/>
          <w:sz w:val="22"/>
        </w:rPr>
        <w:t> </w:t>
      </w:r>
      <w:r>
        <w:rPr>
          <w:sz w:val="22"/>
        </w:rPr>
        <w:t>duties.</w:t>
      </w:r>
    </w:p>
    <w:p>
      <w:pPr>
        <w:pStyle w:val="BodyText"/>
        <w:spacing w:before="4"/>
        <w:rPr>
          <w:sz w:val="24"/>
        </w:rPr>
      </w:pPr>
    </w:p>
    <w:p>
      <w:pPr>
        <w:pStyle w:val="Heading1"/>
        <w:numPr>
          <w:ilvl w:val="1"/>
          <w:numId w:val="3"/>
        </w:numPr>
        <w:tabs>
          <w:tab w:pos="1081" w:val="left" w:leader="none"/>
        </w:tabs>
        <w:spacing w:line="240" w:lineRule="auto" w:before="1" w:after="0"/>
        <w:ind w:left="1080" w:right="0" w:hanging="282"/>
        <w:jc w:val="left"/>
      </w:pPr>
      <w:r>
        <w:rPr>
          <w:u w:val="single"/>
        </w:rPr>
        <w:t>Selection</w:t>
      </w:r>
      <w:r>
        <w:rPr>
          <w:spacing w:val="-4"/>
          <w:u w:val="single"/>
        </w:rPr>
        <w:t> </w:t>
      </w:r>
      <w:r>
        <w:rPr>
          <w:spacing w:val="-2"/>
          <w:u w:val="single"/>
        </w:rPr>
        <w:t>criteria</w:t>
      </w:r>
    </w:p>
    <w:p>
      <w:pPr>
        <w:pStyle w:val="BodyText"/>
        <w:spacing w:before="6"/>
        <w:rPr>
          <w:b/>
          <w:sz w:val="15"/>
        </w:rPr>
      </w:pPr>
    </w:p>
    <w:p>
      <w:pPr>
        <w:pStyle w:val="BodyText"/>
        <w:spacing w:before="91"/>
        <w:ind w:left="1080"/>
      </w:pPr>
      <w:r>
        <w:rPr>
          <w:spacing w:val="-2"/>
          <w:u w:val="single"/>
        </w:rPr>
        <w:t>Diploma</w:t>
      </w:r>
    </w:p>
    <w:p>
      <w:pPr>
        <w:pStyle w:val="ListParagraph"/>
        <w:numPr>
          <w:ilvl w:val="0"/>
          <w:numId w:val="4"/>
        </w:numPr>
        <w:tabs>
          <w:tab w:pos="1206" w:val="left" w:leader="none"/>
        </w:tabs>
        <w:spacing w:line="252" w:lineRule="exact" w:before="2"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0"/>
          <w:numId w:val="4"/>
        </w:numPr>
        <w:tabs>
          <w:tab w:pos="1206" w:val="left" w:leader="none"/>
        </w:tabs>
        <w:spacing w:line="480" w:lineRule="auto" w:before="0" w:after="0"/>
        <w:ind w:left="1190" w:right="3333" w:hanging="111"/>
        <w:jc w:val="left"/>
        <w:rPr>
          <w:sz w:val="22"/>
        </w:rPr>
      </w:pPr>
      <w:r>
        <w:rPr>
          <w:sz w:val="22"/>
        </w:rPr>
        <w:t>professional</w:t>
      </w:r>
      <w:r>
        <w:rPr>
          <w:spacing w:val="-2"/>
          <w:sz w:val="22"/>
        </w:rPr>
        <w:t> </w:t>
      </w:r>
      <w:r>
        <w:rPr>
          <w:sz w:val="22"/>
        </w:rPr>
        <w:t>training</w:t>
      </w:r>
      <w:r>
        <w:rPr>
          <w:spacing w:val="-4"/>
          <w:sz w:val="22"/>
        </w:rPr>
        <w:t> </w:t>
      </w:r>
      <w:r>
        <w:rPr>
          <w:sz w:val="22"/>
        </w:rPr>
        <w:t>or</w:t>
      </w:r>
      <w:r>
        <w:rPr>
          <w:spacing w:val="-1"/>
          <w:sz w:val="22"/>
        </w:rPr>
        <w:t> </w:t>
      </w:r>
      <w:r>
        <w:rPr>
          <w:sz w:val="22"/>
        </w:rPr>
        <w:t>professional</w:t>
      </w:r>
      <w:r>
        <w:rPr>
          <w:spacing w:val="-3"/>
          <w:sz w:val="22"/>
        </w:rPr>
        <w:t> </w:t>
      </w:r>
      <w:r>
        <w:rPr>
          <w:sz w:val="22"/>
        </w:rPr>
        <w:t>experience</w:t>
      </w:r>
      <w:r>
        <w:rPr>
          <w:spacing w:val="-3"/>
          <w:sz w:val="22"/>
        </w:rPr>
        <w:t> </w:t>
      </w:r>
      <w:r>
        <w:rPr>
          <w:sz w:val="22"/>
        </w:rPr>
        <w:t>of</w:t>
      </w:r>
      <w:r>
        <w:rPr>
          <w:spacing w:val="-3"/>
          <w:sz w:val="22"/>
        </w:rPr>
        <w:t> </w:t>
      </w:r>
      <w:r>
        <w:rPr>
          <w:sz w:val="22"/>
        </w:rPr>
        <w:t>an</w:t>
      </w:r>
      <w:r>
        <w:rPr>
          <w:spacing w:val="-3"/>
          <w:sz w:val="22"/>
        </w:rPr>
        <w:t> </w:t>
      </w:r>
      <w:r>
        <w:rPr>
          <w:sz w:val="22"/>
        </w:rPr>
        <w:t>equivalent</w:t>
      </w:r>
      <w:r>
        <w:rPr>
          <w:spacing w:val="-3"/>
          <w:sz w:val="22"/>
        </w:rPr>
        <w:t> </w:t>
      </w:r>
      <w:r>
        <w:rPr>
          <w:sz w:val="22"/>
        </w:rPr>
        <w:t>level in the field(s) : law, taxation or economics.</w:t>
      </w:r>
    </w:p>
    <w:p>
      <w:pPr>
        <w:pStyle w:val="BodyText"/>
        <w:ind w:left="1080"/>
      </w:pPr>
      <w:r>
        <w:rPr>
          <w:u w:val="single"/>
        </w:rPr>
        <w:t>Professional</w:t>
      </w:r>
      <w:r>
        <w:rPr>
          <w:spacing w:val="-4"/>
          <w:u w:val="single"/>
        </w:rPr>
        <w:t> </w:t>
      </w:r>
      <w:r>
        <w:rPr>
          <w:spacing w:val="-2"/>
          <w:u w:val="single"/>
        </w:rPr>
        <w:t>experience</w:t>
      </w:r>
    </w:p>
    <w:p>
      <w:pPr>
        <w:pStyle w:val="BodyText"/>
        <w:spacing w:before="1"/>
        <w:rPr>
          <w:sz w:val="14"/>
        </w:rPr>
      </w:pPr>
    </w:p>
    <w:p>
      <w:pPr>
        <w:pStyle w:val="BodyText"/>
        <w:spacing w:before="92"/>
        <w:ind w:left="1080" w:right="166"/>
        <w:jc w:val="both"/>
      </w:pPr>
      <w:r>
        <w:rPr/>
        <w:t>Related to fiscal matters. In particular experience linked to transfer pricing and/or international corporate taxation</w:t>
      </w:r>
      <w:r>
        <w:rPr>
          <w:spacing w:val="-7"/>
        </w:rPr>
        <w:t> </w:t>
      </w:r>
      <w:r>
        <w:rPr/>
        <w:t>would</w:t>
      </w:r>
      <w:r>
        <w:rPr>
          <w:spacing w:val="-7"/>
        </w:rPr>
        <w:t> </w:t>
      </w:r>
      <w:r>
        <w:rPr/>
        <w:t>be</w:t>
      </w:r>
      <w:r>
        <w:rPr>
          <w:spacing w:val="-7"/>
        </w:rPr>
        <w:t> </w:t>
      </w:r>
      <w:r>
        <w:rPr/>
        <w:t>appreciated.</w:t>
      </w:r>
      <w:r>
        <w:rPr>
          <w:spacing w:val="-7"/>
        </w:rPr>
        <w:t> </w:t>
      </w:r>
      <w:r>
        <w:rPr/>
        <w:t>Also</w:t>
      </w:r>
      <w:r>
        <w:rPr>
          <w:spacing w:val="-5"/>
        </w:rPr>
        <w:t> </w:t>
      </w:r>
      <w:r>
        <w:rPr/>
        <w:t>professional</w:t>
      </w:r>
      <w:r>
        <w:rPr>
          <w:spacing w:val="-6"/>
        </w:rPr>
        <w:t> </w:t>
      </w:r>
      <w:r>
        <w:rPr/>
        <w:t>qualifications</w:t>
      </w:r>
      <w:r>
        <w:rPr>
          <w:spacing w:val="-6"/>
        </w:rPr>
        <w:t> </w:t>
      </w:r>
      <w:r>
        <w:rPr/>
        <w:t>linked</w:t>
      </w:r>
      <w:r>
        <w:rPr>
          <w:spacing w:val="-7"/>
        </w:rPr>
        <w:t> </w:t>
      </w:r>
      <w:r>
        <w:rPr/>
        <w:t>to</w:t>
      </w:r>
      <w:r>
        <w:rPr>
          <w:spacing w:val="-7"/>
        </w:rPr>
        <w:t> </w:t>
      </w:r>
      <w:r>
        <w:rPr/>
        <w:t>these</w:t>
      </w:r>
      <w:r>
        <w:rPr>
          <w:spacing w:val="-6"/>
        </w:rPr>
        <w:t> </w:t>
      </w:r>
      <w:r>
        <w:rPr/>
        <w:t>areas</w:t>
      </w:r>
      <w:r>
        <w:rPr>
          <w:spacing w:val="-6"/>
        </w:rPr>
        <w:t> </w:t>
      </w:r>
      <w:r>
        <w:rPr/>
        <w:t>(e.g.</w:t>
      </w:r>
      <w:r>
        <w:rPr>
          <w:spacing w:val="-7"/>
        </w:rPr>
        <w:t> </w:t>
      </w:r>
      <w:r>
        <w:rPr/>
        <w:t>CFA,</w:t>
      </w:r>
      <w:r>
        <w:rPr>
          <w:spacing w:val="-7"/>
        </w:rPr>
        <w:t> </w:t>
      </w:r>
      <w:r>
        <w:rPr/>
        <w:t>ACCA</w:t>
      </w:r>
      <w:r>
        <w:rPr>
          <w:spacing w:val="-8"/>
        </w:rPr>
        <w:t> </w:t>
      </w:r>
      <w:r>
        <w:rPr/>
        <w:t>etc.) would be an asset.</w:t>
      </w:r>
    </w:p>
    <w:p>
      <w:pPr>
        <w:pStyle w:val="BodyText"/>
        <w:spacing w:before="10"/>
        <w:rPr>
          <w:sz w:val="21"/>
        </w:rPr>
      </w:pPr>
    </w:p>
    <w:p>
      <w:pPr>
        <w:pStyle w:val="BodyText"/>
        <w:ind w:left="1080"/>
        <w:jc w:val="both"/>
      </w:pPr>
      <w:r>
        <w:rPr>
          <w:u w:val="single"/>
        </w:rPr>
        <w:t>Language(s)</w:t>
      </w:r>
      <w:r>
        <w:rPr>
          <w:spacing w:val="-3"/>
          <w:u w:val="single"/>
        </w:rPr>
        <w:t> </w:t>
      </w:r>
      <w:r>
        <w:rPr>
          <w:u w:val="single"/>
        </w:rPr>
        <w:t>necessary</w:t>
      </w:r>
      <w:r>
        <w:rPr>
          <w:spacing w:val="-6"/>
          <w:u w:val="single"/>
        </w:rPr>
        <w:t> </w:t>
      </w:r>
      <w:r>
        <w:rPr>
          <w:u w:val="single"/>
        </w:rPr>
        <w:t>for</w:t>
      </w:r>
      <w:r>
        <w:rPr>
          <w:spacing w:val="-4"/>
          <w:u w:val="single"/>
        </w:rPr>
        <w:t> </w:t>
      </w:r>
      <w:r>
        <w:rPr>
          <w:u w:val="single"/>
        </w:rPr>
        <w:t>the</w:t>
      </w:r>
      <w:r>
        <w:rPr>
          <w:spacing w:val="-3"/>
          <w:u w:val="single"/>
        </w:rPr>
        <w:t> </w:t>
      </w:r>
      <w:r>
        <w:rPr>
          <w:u w:val="single"/>
        </w:rPr>
        <w:t>performance</w:t>
      </w:r>
      <w:r>
        <w:rPr>
          <w:spacing w:val="-4"/>
          <w:u w:val="single"/>
        </w:rPr>
        <w:t> </w:t>
      </w:r>
      <w:r>
        <w:rPr>
          <w:u w:val="single"/>
        </w:rPr>
        <w:t>of</w:t>
      </w:r>
      <w:r>
        <w:rPr>
          <w:spacing w:val="-2"/>
          <w:u w:val="single"/>
        </w:rPr>
        <w:t> duties</w:t>
      </w:r>
    </w:p>
    <w:p>
      <w:pPr>
        <w:pStyle w:val="BodyText"/>
        <w:spacing w:before="1"/>
        <w:rPr>
          <w:sz w:val="14"/>
        </w:rPr>
      </w:pPr>
    </w:p>
    <w:p>
      <w:pPr>
        <w:pStyle w:val="BodyText"/>
        <w:spacing w:before="92"/>
        <w:ind w:left="1080"/>
      </w:pPr>
      <w:r>
        <w:rPr/>
        <w:t>English</w:t>
      </w:r>
      <w:r>
        <w:rPr>
          <w:spacing w:val="31"/>
        </w:rPr>
        <w:t> </w:t>
      </w:r>
      <w:r>
        <w:rPr/>
        <w:t>is</w:t>
      </w:r>
      <w:r>
        <w:rPr>
          <w:spacing w:val="34"/>
        </w:rPr>
        <w:t> </w:t>
      </w:r>
      <w:r>
        <w:rPr/>
        <w:t>the</w:t>
      </w:r>
      <w:r>
        <w:rPr>
          <w:spacing w:val="34"/>
        </w:rPr>
        <w:t> </w:t>
      </w:r>
      <w:r>
        <w:rPr/>
        <w:t>main</w:t>
      </w:r>
      <w:r>
        <w:rPr>
          <w:spacing w:val="33"/>
        </w:rPr>
        <w:t> </w:t>
      </w:r>
      <w:r>
        <w:rPr/>
        <w:t>language</w:t>
      </w:r>
      <w:r>
        <w:rPr>
          <w:spacing w:val="34"/>
        </w:rPr>
        <w:t> </w:t>
      </w:r>
      <w:r>
        <w:rPr/>
        <w:t>used</w:t>
      </w:r>
      <w:r>
        <w:rPr>
          <w:spacing w:val="33"/>
        </w:rPr>
        <w:t> </w:t>
      </w:r>
      <w:r>
        <w:rPr/>
        <w:t>in</w:t>
      </w:r>
      <w:r>
        <w:rPr>
          <w:spacing w:val="33"/>
        </w:rPr>
        <w:t> </w:t>
      </w:r>
      <w:r>
        <w:rPr/>
        <w:t>the</w:t>
      </w:r>
      <w:r>
        <w:rPr>
          <w:spacing w:val="34"/>
        </w:rPr>
        <w:t> </w:t>
      </w:r>
      <w:r>
        <w:rPr/>
        <w:t>unit:</w:t>
      </w:r>
      <w:r>
        <w:rPr>
          <w:spacing w:val="34"/>
        </w:rPr>
        <w:t> </w:t>
      </w:r>
      <w:r>
        <w:rPr/>
        <w:t>very</w:t>
      </w:r>
      <w:r>
        <w:rPr>
          <w:spacing w:val="31"/>
        </w:rPr>
        <w:t> </w:t>
      </w:r>
      <w:r>
        <w:rPr/>
        <w:t>good</w:t>
      </w:r>
      <w:r>
        <w:rPr>
          <w:spacing w:val="33"/>
        </w:rPr>
        <w:t> </w:t>
      </w:r>
      <w:r>
        <w:rPr/>
        <w:t>drafting</w:t>
      </w:r>
      <w:r>
        <w:rPr>
          <w:spacing w:val="31"/>
        </w:rPr>
        <w:t> </w:t>
      </w:r>
      <w:r>
        <w:rPr/>
        <w:t>skills</w:t>
      </w:r>
      <w:r>
        <w:rPr>
          <w:spacing w:val="31"/>
        </w:rPr>
        <w:t> </w:t>
      </w:r>
      <w:r>
        <w:rPr/>
        <w:t>in</w:t>
      </w:r>
      <w:r>
        <w:rPr>
          <w:spacing w:val="33"/>
        </w:rPr>
        <w:t> </w:t>
      </w:r>
      <w:r>
        <w:rPr/>
        <w:t>English</w:t>
      </w:r>
      <w:r>
        <w:rPr>
          <w:spacing w:val="34"/>
        </w:rPr>
        <w:t> </w:t>
      </w:r>
      <w:r>
        <w:rPr/>
        <w:t>are</w:t>
      </w:r>
      <w:r>
        <w:rPr>
          <w:spacing w:val="32"/>
        </w:rPr>
        <w:t> </w:t>
      </w:r>
      <w:r>
        <w:rPr/>
        <w:t>required.</w:t>
      </w:r>
      <w:r>
        <w:rPr>
          <w:spacing w:val="34"/>
        </w:rPr>
        <w:t> </w:t>
      </w:r>
      <w:r>
        <w:rPr/>
        <w:t>Good knowledge of other Community languages is an advantage.</w:t>
      </w:r>
    </w:p>
    <w:p>
      <w:pPr>
        <w:pStyle w:val="BodyText"/>
        <w:spacing w:before="4"/>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7"/>
        <w:rPr>
          <w:b/>
          <w:sz w:val="15"/>
        </w:rPr>
      </w:pPr>
    </w:p>
    <w:p>
      <w:pPr>
        <w:spacing w:before="92"/>
        <w:ind w:left="799" w:right="279" w:firstLine="0"/>
        <w:jc w:val="both"/>
        <w:rPr>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w:t>
      </w:r>
      <w:r>
        <w:rPr>
          <w:spacing w:val="-11"/>
          <w:sz w:val="22"/>
        </w:rPr>
        <w:t> </w:t>
      </w:r>
      <w:r>
        <w:rPr>
          <w:sz w:val="22"/>
        </w:rPr>
        <w:t>in</w:t>
      </w:r>
      <w:r>
        <w:rPr>
          <w:spacing w:val="-9"/>
          <w:sz w:val="22"/>
        </w:rPr>
        <w:t> </w:t>
      </w:r>
      <w:r>
        <w:rPr>
          <w:sz w:val="22"/>
        </w:rPr>
        <w:t>English,</w:t>
      </w:r>
      <w:r>
        <w:rPr>
          <w:spacing w:val="-8"/>
          <w:sz w:val="22"/>
        </w:rPr>
        <w:t> </w:t>
      </w:r>
      <w:r>
        <w:rPr>
          <w:sz w:val="22"/>
        </w:rPr>
        <w:t>French</w:t>
      </w:r>
      <w:r>
        <w:rPr>
          <w:spacing w:val="-9"/>
          <w:sz w:val="22"/>
        </w:rPr>
        <w:t> </w:t>
      </w:r>
      <w:r>
        <w:rPr>
          <w:sz w:val="22"/>
        </w:rPr>
        <w:t>or</w:t>
      </w:r>
      <w:r>
        <w:rPr>
          <w:spacing w:val="-8"/>
          <w:sz w:val="22"/>
        </w:rPr>
        <w:t> </w:t>
      </w:r>
      <w:r>
        <w:rPr>
          <w:sz w:val="22"/>
        </w:rPr>
        <w:t>German</w:t>
      </w:r>
      <w:r>
        <w:rPr>
          <w:spacing w:val="-7"/>
          <w:sz w:val="22"/>
        </w:rPr>
        <w:t> </w:t>
      </w:r>
      <w:r>
        <w:rPr>
          <w:b/>
          <w:sz w:val="22"/>
          <w:u w:val="single"/>
        </w:rPr>
        <w:t>only</w:t>
      </w:r>
      <w:r>
        <w:rPr>
          <w:b/>
          <w:spacing w:val="-11"/>
          <w:sz w:val="22"/>
          <w:u w:val="single"/>
        </w:rPr>
        <w:t> </w:t>
      </w:r>
      <w:r>
        <w:rPr>
          <w:b/>
          <w:sz w:val="22"/>
          <w:u w:val="single"/>
        </w:rPr>
        <w:t>to</w:t>
      </w:r>
      <w:r>
        <w:rPr>
          <w:b/>
          <w:spacing w:val="-9"/>
          <w:sz w:val="22"/>
          <w:u w:val="single"/>
        </w:rPr>
        <w:t> </w:t>
      </w:r>
      <w:r>
        <w:rPr>
          <w:b/>
          <w:sz w:val="22"/>
          <w:u w:val="single"/>
        </w:rPr>
        <w:t>the</w:t>
      </w:r>
      <w:r>
        <w:rPr>
          <w:b/>
          <w:sz w:val="22"/>
        </w:rPr>
        <w:t> </w:t>
      </w:r>
      <w:r>
        <w:rPr>
          <w:b/>
          <w:sz w:val="22"/>
          <w:u w:val="single"/>
        </w:rPr>
        <w:t>Permanent Representation / Diplomatic Mission to the EU of their country</w:t>
      </w:r>
      <w:r>
        <w:rPr>
          <w:sz w:val="22"/>
        </w:rPr>
        <w:t>, which will forward it to the competent</w:t>
      </w:r>
      <w:r>
        <w:rPr>
          <w:spacing w:val="-1"/>
          <w:sz w:val="22"/>
        </w:rPr>
        <w:t> </w:t>
      </w:r>
      <w:r>
        <w:rPr>
          <w:sz w:val="22"/>
        </w:rPr>
        <w:t>services</w:t>
      </w:r>
      <w:r>
        <w:rPr>
          <w:spacing w:val="-2"/>
          <w:sz w:val="22"/>
        </w:rPr>
        <w:t> </w:t>
      </w:r>
      <w:r>
        <w:rPr>
          <w:sz w:val="22"/>
        </w:rPr>
        <w:t>of</w:t>
      </w:r>
      <w:r>
        <w:rPr>
          <w:spacing w:val="-2"/>
          <w:sz w:val="22"/>
        </w:rPr>
        <w:t> </w:t>
      </w:r>
      <w:r>
        <w:rPr>
          <w:sz w:val="22"/>
        </w:rPr>
        <w:t>the</w:t>
      </w:r>
      <w:r>
        <w:rPr>
          <w:spacing w:val="-2"/>
          <w:sz w:val="22"/>
        </w:rPr>
        <w:t> </w:t>
      </w:r>
      <w:r>
        <w:rPr>
          <w:sz w:val="22"/>
        </w:rPr>
        <w:t>Commission within</w:t>
      </w:r>
      <w:r>
        <w:rPr>
          <w:spacing w:val="-2"/>
          <w:sz w:val="22"/>
        </w:rPr>
        <w:t> </w:t>
      </w:r>
      <w:r>
        <w:rPr>
          <w:sz w:val="22"/>
        </w:rPr>
        <w:t>the</w:t>
      </w:r>
      <w:r>
        <w:rPr>
          <w:spacing w:val="-2"/>
          <w:sz w:val="22"/>
        </w:rPr>
        <w:t> </w:t>
      </w:r>
      <w:r>
        <w:rPr>
          <w:sz w:val="22"/>
        </w:rPr>
        <w:t>deadline</w:t>
      </w:r>
      <w:r>
        <w:rPr>
          <w:spacing w:val="-2"/>
          <w:sz w:val="22"/>
        </w:rPr>
        <w:t> </w:t>
      </w:r>
      <w:r>
        <w:rPr>
          <w:sz w:val="22"/>
        </w:rPr>
        <w:t>fixed</w:t>
      </w:r>
      <w:r>
        <w:rPr>
          <w:spacing w:val="-2"/>
          <w:sz w:val="22"/>
        </w:rPr>
        <w:t> </w:t>
      </w:r>
      <w:r>
        <w:rPr>
          <w:sz w:val="22"/>
        </w:rPr>
        <w:t>by</w:t>
      </w:r>
      <w:r>
        <w:rPr>
          <w:spacing w:val="-3"/>
          <w:sz w:val="22"/>
        </w:rPr>
        <w:t> </w:t>
      </w:r>
      <w:r>
        <w:rPr>
          <w:sz w:val="22"/>
        </w:rPr>
        <w:t>the</w:t>
      </w:r>
      <w:r>
        <w:rPr>
          <w:spacing w:val="-2"/>
          <w:sz w:val="22"/>
        </w:rPr>
        <w:t> </w:t>
      </w:r>
      <w:r>
        <w:rPr>
          <w:sz w:val="22"/>
        </w:rPr>
        <w:t>latter. The</w:t>
      </w:r>
      <w:r>
        <w:rPr>
          <w:spacing w:val="-2"/>
          <w:sz w:val="22"/>
        </w:rPr>
        <w:t> </w:t>
      </w:r>
      <w:r>
        <w:rPr>
          <w:sz w:val="22"/>
        </w:rPr>
        <w:t>CV must mention</w:t>
      </w:r>
      <w:r>
        <w:rPr>
          <w:spacing w:val="-2"/>
          <w:sz w:val="22"/>
        </w:rPr>
        <w:t> </w:t>
      </w:r>
      <w:r>
        <w:rPr>
          <w:sz w:val="22"/>
        </w:rPr>
        <w:t>the</w:t>
      </w:r>
      <w:r>
        <w:rPr>
          <w:spacing w:val="-2"/>
          <w:sz w:val="22"/>
        </w:rPr>
        <w:t> </w:t>
      </w:r>
      <w:r>
        <w:rPr>
          <w:sz w:val="22"/>
        </w:rPr>
        <w:t>date</w:t>
      </w:r>
    </w:p>
    <w:p>
      <w:pPr>
        <w:spacing w:after="0"/>
        <w:jc w:val="both"/>
        <w:rPr>
          <w:sz w:val="22"/>
        </w:rPr>
        <w:sectPr>
          <w:pgSz w:w="11910" w:h="16840"/>
          <w:pgMar w:header="0" w:footer="690" w:top="1040" w:bottom="880" w:left="480" w:right="740"/>
        </w:sectPr>
      </w:pPr>
    </w:p>
    <w:p>
      <w:pPr>
        <w:spacing w:line="244" w:lineRule="auto" w:before="68"/>
        <w:ind w:left="799" w:right="0" w:firstLine="0"/>
        <w:jc w:val="left"/>
        <w:rPr>
          <w:b/>
          <w:sz w:val="22"/>
        </w:rPr>
      </w:pPr>
      <w:r>
        <w:rPr>
          <w:sz w:val="22"/>
        </w:rPr>
        <w:t>of</w:t>
      </w:r>
      <w:r>
        <w:rPr>
          <w:spacing w:val="-4"/>
          <w:sz w:val="22"/>
        </w:rPr>
        <w:t> </w:t>
      </w:r>
      <w:r>
        <w:rPr>
          <w:sz w:val="22"/>
        </w:rPr>
        <w:t>birth</w:t>
      </w:r>
      <w:r>
        <w:rPr>
          <w:spacing w:val="-5"/>
          <w:sz w:val="22"/>
        </w:rPr>
        <w:t> </w:t>
      </w:r>
      <w:r>
        <w:rPr>
          <w:sz w:val="22"/>
        </w:rPr>
        <w:t>and</w:t>
      </w:r>
      <w:r>
        <w:rPr>
          <w:spacing w:val="-5"/>
          <w:sz w:val="22"/>
        </w:rPr>
        <w:t> </w:t>
      </w:r>
      <w:r>
        <w:rPr>
          <w:sz w:val="22"/>
        </w:rPr>
        <w:t>the</w:t>
      </w:r>
      <w:r>
        <w:rPr>
          <w:spacing w:val="-4"/>
          <w:sz w:val="22"/>
        </w:rPr>
        <w:t> </w:t>
      </w:r>
      <w:r>
        <w:rPr>
          <w:sz w:val="22"/>
        </w:rPr>
        <w:t>nationality</w:t>
      </w:r>
      <w:r>
        <w:rPr>
          <w:spacing w:val="-7"/>
          <w:sz w:val="22"/>
        </w:rPr>
        <w:t> </w:t>
      </w:r>
      <w:r>
        <w:rPr>
          <w:sz w:val="22"/>
        </w:rPr>
        <w:t>of</w:t>
      </w:r>
      <w:r>
        <w:rPr>
          <w:spacing w:val="-4"/>
          <w:sz w:val="22"/>
        </w:rPr>
        <w:t> </w:t>
      </w:r>
      <w:r>
        <w:rPr>
          <w:sz w:val="22"/>
        </w:rPr>
        <w:t>the</w:t>
      </w:r>
      <w:r>
        <w:rPr>
          <w:spacing w:val="-4"/>
          <w:sz w:val="22"/>
        </w:rPr>
        <w:t> </w:t>
      </w:r>
      <w:r>
        <w:rPr>
          <w:sz w:val="22"/>
        </w:rPr>
        <w:t>candidate.</w:t>
      </w:r>
      <w:r>
        <w:rPr>
          <w:spacing w:val="-4"/>
          <w:sz w:val="22"/>
        </w:rPr>
        <w:t> </w:t>
      </w:r>
      <w:r>
        <w:rPr>
          <w:b/>
          <w:sz w:val="22"/>
        </w:rPr>
        <w:t>Not</w:t>
      </w:r>
      <w:r>
        <w:rPr>
          <w:b/>
          <w:spacing w:val="-6"/>
          <w:sz w:val="22"/>
        </w:rPr>
        <w:t> </w:t>
      </w:r>
      <w:r>
        <w:rPr>
          <w:b/>
          <w:sz w:val="22"/>
        </w:rPr>
        <w:t>respecting</w:t>
      </w:r>
      <w:r>
        <w:rPr>
          <w:b/>
          <w:spacing w:val="-7"/>
          <w:sz w:val="22"/>
        </w:rPr>
        <w:t> </w:t>
      </w:r>
      <w:r>
        <w:rPr>
          <w:b/>
          <w:sz w:val="22"/>
        </w:rPr>
        <w:t>this</w:t>
      </w:r>
      <w:r>
        <w:rPr>
          <w:b/>
          <w:spacing w:val="-4"/>
          <w:sz w:val="22"/>
        </w:rPr>
        <w:t> </w:t>
      </w:r>
      <w:r>
        <w:rPr>
          <w:b/>
          <w:sz w:val="22"/>
        </w:rPr>
        <w:t>procedure</w:t>
      </w:r>
      <w:r>
        <w:rPr>
          <w:b/>
          <w:spacing w:val="-4"/>
          <w:sz w:val="22"/>
        </w:rPr>
        <w:t> </w:t>
      </w:r>
      <w:r>
        <w:rPr>
          <w:b/>
          <w:sz w:val="22"/>
        </w:rPr>
        <w:t>or</w:t>
      </w:r>
      <w:r>
        <w:rPr>
          <w:b/>
          <w:spacing w:val="-4"/>
          <w:sz w:val="22"/>
        </w:rPr>
        <w:t> </w:t>
      </w:r>
      <w:r>
        <w:rPr>
          <w:b/>
          <w:sz w:val="22"/>
        </w:rPr>
        <w:t>deadlines</w:t>
      </w:r>
      <w:r>
        <w:rPr>
          <w:b/>
          <w:spacing w:val="-6"/>
          <w:sz w:val="22"/>
        </w:rPr>
        <w:t> </w:t>
      </w:r>
      <w:r>
        <w:rPr>
          <w:b/>
          <w:sz w:val="22"/>
        </w:rPr>
        <w:t>will</w:t>
      </w:r>
      <w:r>
        <w:rPr>
          <w:b/>
          <w:spacing w:val="-4"/>
          <w:sz w:val="22"/>
        </w:rPr>
        <w:t> </w:t>
      </w:r>
      <w:r>
        <w:rPr>
          <w:b/>
          <w:sz w:val="22"/>
        </w:rPr>
        <w:t>automatically invalidate the application.</w:t>
      </w:r>
    </w:p>
    <w:p>
      <w:pPr>
        <w:pStyle w:val="BodyText"/>
        <w:spacing w:before="3"/>
        <w:rPr>
          <w:b/>
          <w:sz w:val="21"/>
        </w:rPr>
      </w:pPr>
    </w:p>
    <w:p>
      <w:pPr>
        <w:pStyle w:val="BodyText"/>
        <w:spacing w:before="1"/>
        <w:ind w:left="799" w:right="145"/>
      </w:pPr>
      <w:r>
        <w:rPr/>
        <w:t>Candidates</w:t>
      </w:r>
      <w:r>
        <w:rPr>
          <w:spacing w:val="-1"/>
        </w:rPr>
        <w:t> </w:t>
      </w:r>
      <w:r>
        <w:rPr/>
        <w:t>are</w:t>
      </w:r>
      <w:r>
        <w:rPr>
          <w:spacing w:val="-3"/>
        </w:rPr>
        <w:t> </w:t>
      </w:r>
      <w:r>
        <w:rPr/>
        <w:t>asked</w:t>
      </w:r>
      <w:r>
        <w:rPr>
          <w:spacing w:val="-3"/>
        </w:rPr>
        <w:t> </w:t>
      </w:r>
      <w:r>
        <w:rPr/>
        <w:t>not</w:t>
      </w:r>
      <w:r>
        <w:rPr>
          <w:spacing w:val="-3"/>
        </w:rPr>
        <w:t> </w:t>
      </w:r>
      <w:r>
        <w:rPr/>
        <w:t>to</w:t>
      </w:r>
      <w:r>
        <w:rPr>
          <w:spacing w:val="-4"/>
        </w:rPr>
        <w:t> </w:t>
      </w:r>
      <w:r>
        <w:rPr/>
        <w:t>add</w:t>
      </w:r>
      <w:r>
        <w:rPr>
          <w:spacing w:val="-3"/>
        </w:rPr>
        <w:t> </w:t>
      </w:r>
      <w:r>
        <w:rPr/>
        <w:t>any</w:t>
      </w:r>
      <w:r>
        <w:rPr>
          <w:spacing w:val="-3"/>
        </w:rPr>
        <w:t> </w:t>
      </w:r>
      <w:r>
        <w:rPr/>
        <w:t>other</w:t>
      </w:r>
      <w:r>
        <w:rPr>
          <w:spacing w:val="-2"/>
        </w:rPr>
        <w:t> </w:t>
      </w:r>
      <w:r>
        <w:rPr/>
        <w:t>documents</w:t>
      </w:r>
      <w:r>
        <w:rPr>
          <w:spacing w:val="-2"/>
        </w:rPr>
        <w:t> </w:t>
      </w:r>
      <w:r>
        <w:rPr/>
        <w:t>(such</w:t>
      </w:r>
      <w:r>
        <w:rPr>
          <w:spacing w:val="-4"/>
        </w:rPr>
        <w:t> </w:t>
      </w:r>
      <w:r>
        <w:rPr/>
        <w:t>as</w:t>
      </w:r>
      <w:r>
        <w:rPr>
          <w:spacing w:val="-3"/>
        </w:rPr>
        <w:t> </w:t>
      </w:r>
      <w:r>
        <w:rPr/>
        <w:t>copy</w:t>
      </w:r>
      <w:r>
        <w:rPr>
          <w:spacing w:val="-3"/>
        </w:rPr>
        <w:t> </w:t>
      </w:r>
      <w:r>
        <w:rPr/>
        <w:t>of</w:t>
      </w:r>
      <w:r>
        <w:rPr>
          <w:spacing w:val="-3"/>
        </w:rPr>
        <w:t> </w:t>
      </w:r>
      <w:r>
        <w:rPr/>
        <w:t>passport,</w:t>
      </w:r>
      <w:r>
        <w:rPr>
          <w:spacing w:val="-4"/>
        </w:rPr>
        <w:t> </w:t>
      </w:r>
      <w:r>
        <w:rPr/>
        <w:t>copy</w:t>
      </w:r>
      <w:r>
        <w:rPr>
          <w:spacing w:val="-4"/>
        </w:rPr>
        <w:t> </w:t>
      </w:r>
      <w:r>
        <w:rPr/>
        <w:t>of</w:t>
      </w:r>
      <w:r>
        <w:rPr>
          <w:spacing w:val="-1"/>
        </w:rPr>
        <w:t> </w:t>
      </w:r>
      <w:r>
        <w:rPr/>
        <w:t>degrees</w:t>
      </w:r>
      <w:r>
        <w:rPr>
          <w:spacing w:val="-3"/>
        </w:rPr>
        <w:t> </w:t>
      </w:r>
      <w:r>
        <w:rPr/>
        <w:t>or</w:t>
      </w:r>
      <w:r>
        <w:rPr>
          <w:spacing w:val="-3"/>
        </w:rPr>
        <w:t> </w:t>
      </w:r>
      <w:r>
        <w:rPr/>
        <w:t>certificate of professional experience, etc.). If necessary, these will be requested at a later stage.</w:t>
      </w:r>
    </w:p>
    <w:p>
      <w:pPr>
        <w:pStyle w:val="BodyText"/>
        <w:ind w:left="799"/>
      </w:pPr>
      <w:r>
        <w:rPr/>
        <w:t>Candidates</w:t>
      </w:r>
      <w:r>
        <w:rPr>
          <w:spacing w:val="-3"/>
        </w:rPr>
        <w:t> </w:t>
      </w:r>
      <w:r>
        <w:rPr/>
        <w:t>will</w:t>
      </w:r>
      <w:r>
        <w:rPr>
          <w:spacing w:val="-2"/>
        </w:rPr>
        <w:t> </w:t>
      </w:r>
      <w:r>
        <w:rPr/>
        <w:t>be</w:t>
      </w:r>
      <w:r>
        <w:rPr>
          <w:spacing w:val="-3"/>
        </w:rPr>
        <w:t> </w:t>
      </w:r>
      <w:r>
        <w:rPr/>
        <w:t>informed</w:t>
      </w:r>
      <w:r>
        <w:rPr>
          <w:spacing w:val="-2"/>
        </w:rPr>
        <w:t> </w:t>
      </w:r>
      <w:r>
        <w:rPr/>
        <w:t>of</w:t>
      </w:r>
      <w:r>
        <w:rPr>
          <w:spacing w:val="-2"/>
        </w:rPr>
        <w:t> </w:t>
      </w:r>
      <w:r>
        <w:rPr/>
        <w:t>the</w:t>
      </w:r>
      <w:r>
        <w:rPr>
          <w:spacing w:val="-5"/>
        </w:rPr>
        <w:t> </w:t>
      </w:r>
      <w:r>
        <w:rPr/>
        <w:t>follow-up</w:t>
      </w:r>
      <w:r>
        <w:rPr>
          <w:spacing w:val="-3"/>
        </w:rPr>
        <w:t> </w:t>
      </w:r>
      <w:r>
        <w:rPr/>
        <w:t>of</w:t>
      </w:r>
      <w:r>
        <w:rPr>
          <w:spacing w:val="-2"/>
        </w:rPr>
        <w:t> </w:t>
      </w:r>
      <w:r>
        <w:rPr/>
        <w:t>their</w:t>
      </w:r>
      <w:r>
        <w:rPr>
          <w:spacing w:val="-5"/>
        </w:rPr>
        <w:t> </w:t>
      </w:r>
      <w:r>
        <w:rPr/>
        <w:t>application</w:t>
      </w:r>
      <w:r>
        <w:rPr>
          <w:spacing w:val="-6"/>
        </w:rPr>
        <w:t> </w:t>
      </w:r>
      <w:r>
        <w:rPr/>
        <w:t>by</w:t>
      </w:r>
      <w:r>
        <w:rPr>
          <w:spacing w:val="-5"/>
        </w:rPr>
        <w:t> </w:t>
      </w:r>
      <w:r>
        <w:rPr/>
        <w:t>the</w:t>
      </w:r>
      <w:r>
        <w:rPr>
          <w:spacing w:val="-3"/>
        </w:rPr>
        <w:t> </w:t>
      </w:r>
      <w:r>
        <w:rPr/>
        <w:t>unit</w:t>
      </w:r>
      <w:r>
        <w:rPr>
          <w:spacing w:val="-4"/>
        </w:rPr>
        <w:t> </w:t>
      </w:r>
      <w:r>
        <w:rPr>
          <w:spacing w:val="-2"/>
        </w:rPr>
        <w:t>concerned.</w:t>
      </w:r>
    </w:p>
    <w:p>
      <w:pPr>
        <w:pStyle w:val="BodyText"/>
        <w:spacing w:before="3"/>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4"/>
          <w:sz w:val="24"/>
          <w:u w:val="single"/>
        </w:rPr>
        <w:t> </w:t>
      </w:r>
      <w:r>
        <w:rPr>
          <w:b/>
          <w:sz w:val="24"/>
          <w:u w:val="single"/>
        </w:rPr>
        <w:t>the</w:t>
      </w:r>
      <w:r>
        <w:rPr>
          <w:b/>
          <w:spacing w:val="-5"/>
          <w:sz w:val="24"/>
          <w:u w:val="single"/>
        </w:rPr>
        <w:t> </w:t>
      </w:r>
      <w:r>
        <w:rPr>
          <w:b/>
          <w:spacing w:val="-2"/>
          <w:sz w:val="24"/>
          <w:u w:val="single"/>
        </w:rPr>
        <w:t>secondment</w:t>
      </w:r>
    </w:p>
    <w:p>
      <w:pPr>
        <w:pStyle w:val="BodyText"/>
        <w:spacing w:before="7"/>
        <w:rPr>
          <w:b/>
          <w:sz w:val="15"/>
        </w:rPr>
      </w:pPr>
    </w:p>
    <w:p>
      <w:pPr>
        <w:spacing w:before="92"/>
        <w:ind w:left="799" w:right="27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spacing w:before="1"/>
        <w:ind w:left="799" w:right="287"/>
        <w:jc w:val="both"/>
      </w:pPr>
      <w:r>
        <w:rPr/>
        <w:t>The SNE will remain employed and remunerated by his/her employer during the secondment. He/she will equally remain covered by the national social security system.</w:t>
      </w:r>
    </w:p>
    <w:p>
      <w:pPr>
        <w:pStyle w:val="BodyText"/>
        <w:ind w:left="799" w:right="286"/>
        <w:jc w:val="both"/>
      </w:pPr>
      <w:r>
        <w:rPr/>
        <w:t>Unless for cost-free SNE, allowances may be granted by the Commission to SNE fulfilling the conditions provided for in Art. 17 of the SNE decision.</w:t>
      </w:r>
    </w:p>
    <w:p>
      <w:pPr>
        <w:pStyle w:val="BodyText"/>
        <w:spacing w:before="1"/>
      </w:pPr>
    </w:p>
    <w:p>
      <w:pPr>
        <w:pStyle w:val="BodyText"/>
        <w:ind w:left="799" w:right="283"/>
        <w:jc w:val="both"/>
      </w:pPr>
      <w:r>
        <w:rPr/>
        <w:t>During the secondment, SNE are subject to confidentiality, loyalty and absence of conflict of interest obligations, as provided for in Art. 6 and 7 of the SNE Decision.</w:t>
      </w:r>
    </w:p>
    <w:p>
      <w:pPr>
        <w:pStyle w:val="BodyText"/>
        <w:spacing w:line="251" w:lineRule="exact"/>
        <w:ind w:left="799"/>
        <w:jc w:val="both"/>
      </w:pPr>
      <w:r>
        <w:rPr/>
        <w:t>If</w:t>
      </w:r>
      <w:r>
        <w:rPr>
          <w:spacing w:val="-5"/>
        </w:rPr>
        <w:t> </w:t>
      </w:r>
      <w:r>
        <w:rPr/>
        <w:t>any</w:t>
      </w:r>
      <w:r>
        <w:rPr>
          <w:spacing w:val="-5"/>
        </w:rPr>
        <w:t> </w:t>
      </w:r>
      <w:r>
        <w:rPr/>
        <w:t>document</w:t>
      </w:r>
      <w:r>
        <w:rPr>
          <w:spacing w:val="-2"/>
        </w:rPr>
        <w:t> </w:t>
      </w:r>
      <w:r>
        <w:rPr/>
        <w:t>is</w:t>
      </w:r>
      <w:r>
        <w:rPr>
          <w:spacing w:val="-5"/>
        </w:rPr>
        <w:t> </w:t>
      </w:r>
      <w:r>
        <w:rPr/>
        <w:t>inexact,</w:t>
      </w:r>
      <w:r>
        <w:rPr>
          <w:spacing w:val="-5"/>
        </w:rPr>
        <w:t> </w:t>
      </w:r>
      <w:r>
        <w:rPr/>
        <w:t>incomplete</w:t>
      </w:r>
      <w:r>
        <w:rPr>
          <w:spacing w:val="-3"/>
        </w:rPr>
        <w:t> </w:t>
      </w:r>
      <w:r>
        <w:rPr/>
        <w:t>or</w:t>
      </w:r>
      <w:r>
        <w:rPr>
          <w:spacing w:val="-4"/>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pStyle w:val="BodyText"/>
      </w:pPr>
    </w:p>
    <w:p>
      <w:pPr>
        <w:pStyle w:val="BodyText"/>
        <w:ind w:left="799" w:right="283"/>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ind w:left="799" w:right="107"/>
        <w:jc w:val="both"/>
      </w:pPr>
      <w:r>
        <w:rPr/>
        <w:t>The selected candidate has the obligation to launch the vetting procedure before getting the secondment </w:t>
      </w:r>
      <w:r>
        <w:rPr>
          <w:spacing w:val="-2"/>
        </w:rPr>
        <w:t>confirmation.</w:t>
      </w:r>
    </w:p>
    <w:p>
      <w:pPr>
        <w:pStyle w:val="BodyText"/>
        <w:spacing w:before="5"/>
        <w:rPr>
          <w:sz w:val="24"/>
        </w:rPr>
      </w:pPr>
    </w:p>
    <w:p>
      <w:pPr>
        <w:pStyle w:val="ListParagraph"/>
        <w:numPr>
          <w:ilvl w:val="0"/>
          <w:numId w:val="3"/>
        </w:numPr>
        <w:tabs>
          <w:tab w:pos="799" w:val="left" w:leader="none"/>
          <w:tab w:pos="800" w:val="left" w:leader="none"/>
        </w:tabs>
        <w:spacing w:line="240" w:lineRule="auto" w:before="1"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6"/>
        <w:rPr>
          <w:b/>
          <w:sz w:val="15"/>
        </w:rPr>
      </w:pPr>
    </w:p>
    <w:p>
      <w:pPr>
        <w:pStyle w:val="BodyText"/>
        <w:spacing w:before="92"/>
        <w:ind w:left="799" w:right="285"/>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spacing w:before="1"/>
        <w:ind w:left="799" w:right="291"/>
        <w:jc w:val="both"/>
      </w:pPr>
      <w:r>
        <w:rPr/>
        <w:t>Data is kept by the competent services for 10 years after the secondment (2 years for not selected or not seconded experts).</w:t>
      </w:r>
    </w:p>
    <w:p>
      <w:pPr>
        <w:pStyle w:val="BodyText"/>
        <w:spacing w:before="1"/>
        <w:ind w:left="799" w:right="283"/>
        <w:jc w:val="both"/>
      </w:pPr>
      <w:r>
        <w:rPr/>
        <w:t>You</w:t>
      </w:r>
      <w:r>
        <w:rPr>
          <w:spacing w:val="-5"/>
        </w:rPr>
        <w:t> </w:t>
      </w:r>
      <w:r>
        <w:rPr/>
        <w:t>have</w:t>
      </w:r>
      <w:r>
        <w:rPr>
          <w:spacing w:val="-4"/>
        </w:rPr>
        <w:t> </w:t>
      </w:r>
      <w:r>
        <w:rPr/>
        <w:t>specific</w:t>
      </w:r>
      <w:r>
        <w:rPr>
          <w:spacing w:val="-4"/>
        </w:rPr>
        <w:t> </w:t>
      </w:r>
      <w:r>
        <w:rPr/>
        <w:t>rights</w:t>
      </w:r>
      <w:r>
        <w:rPr>
          <w:spacing w:val="-4"/>
        </w:rPr>
        <w:t> </w:t>
      </w:r>
      <w:r>
        <w:rPr/>
        <w:t>as</w:t>
      </w:r>
      <w:r>
        <w:rPr>
          <w:spacing w:val="-4"/>
        </w:rPr>
        <w:t> </w:t>
      </w:r>
      <w:r>
        <w:rPr/>
        <w:t>a</w:t>
      </w:r>
      <w:r>
        <w:rPr>
          <w:spacing w:val="-4"/>
        </w:rPr>
        <w:t> </w:t>
      </w:r>
      <w:r>
        <w:rPr/>
        <w:t>‘data</w:t>
      </w:r>
      <w:r>
        <w:rPr>
          <w:spacing w:val="-4"/>
        </w:rPr>
        <w:t> </w:t>
      </w:r>
      <w:r>
        <w:rPr/>
        <w:t>subject’</w:t>
      </w:r>
      <w:r>
        <w:rPr>
          <w:spacing w:val="-4"/>
        </w:rPr>
        <w:t> </w:t>
      </w:r>
      <w:r>
        <w:rPr/>
        <w:t>under</w:t>
      </w:r>
      <w:r>
        <w:rPr>
          <w:spacing w:val="-4"/>
        </w:rPr>
        <w:t> </w:t>
      </w:r>
      <w:r>
        <w:rPr/>
        <w:t>Chapter</w:t>
      </w:r>
      <w:r>
        <w:rPr>
          <w:spacing w:val="-4"/>
        </w:rPr>
        <w:t> </w:t>
      </w:r>
      <w:r>
        <w:rPr/>
        <w:t>III</w:t>
      </w:r>
      <w:r>
        <w:rPr>
          <w:spacing w:val="-9"/>
        </w:rPr>
        <w:t> </w:t>
      </w:r>
      <w:r>
        <w:rPr/>
        <w:t>(Articles</w:t>
      </w:r>
      <w:r>
        <w:rPr>
          <w:spacing w:val="-4"/>
        </w:rPr>
        <w:t> </w:t>
      </w:r>
      <w:r>
        <w:rPr/>
        <w:t>14-25)</w:t>
      </w:r>
      <w:r>
        <w:rPr>
          <w:spacing w:val="-4"/>
        </w:rPr>
        <w:t> </w:t>
      </w:r>
      <w:r>
        <w:rPr/>
        <w:t>of</w:t>
      </w:r>
      <w:r>
        <w:rPr>
          <w:spacing w:val="-4"/>
        </w:rPr>
        <w:t> </w:t>
      </w:r>
      <w:r>
        <w:rPr/>
        <w:t>Regulation</w:t>
      </w:r>
      <w:r>
        <w:rPr>
          <w:spacing w:val="-5"/>
        </w:rPr>
        <w:t> </w:t>
      </w:r>
      <w:r>
        <w:rPr/>
        <w:t>(EU)</w:t>
      </w:r>
      <w:r>
        <w:rPr>
          <w:spacing w:val="-4"/>
        </w:rPr>
        <w:t> </w:t>
      </w:r>
      <w:r>
        <w:rPr/>
        <w:t>2018/1725, in particular the right to access, rectify or erase your personal data and the right to restrict the processing of your personal data. Where applicable, you also have the right to object to the processing or the right to data </w:t>
      </w:r>
      <w:r>
        <w:rPr>
          <w:spacing w:val="-2"/>
        </w:rPr>
        <w:t>portability.</w:t>
      </w:r>
    </w:p>
    <w:p>
      <w:pPr>
        <w:pStyle w:val="BodyText"/>
        <w:ind w:left="799" w:right="282"/>
        <w:jc w:val="both"/>
      </w:pPr>
      <w:r>
        <w:rPr/>
        <w:t>You can exercise your rights by contacting the Data Controller, or in case of conflict the Data Protection Officer.</w:t>
      </w:r>
      <w:r>
        <w:rPr>
          <w:spacing w:val="-14"/>
        </w:rPr>
        <w:t> </w:t>
      </w:r>
      <w:r>
        <w:rPr/>
        <w:t>If</w:t>
      </w:r>
      <w:r>
        <w:rPr>
          <w:spacing w:val="-14"/>
        </w:rPr>
        <w:t> </w:t>
      </w:r>
      <w:r>
        <w:rPr/>
        <w:t>necessary,</w:t>
      </w:r>
      <w:r>
        <w:rPr>
          <w:spacing w:val="-14"/>
        </w:rPr>
        <w:t> </w:t>
      </w:r>
      <w:r>
        <w:rPr/>
        <w:t>you</w:t>
      </w:r>
      <w:r>
        <w:rPr>
          <w:spacing w:val="-13"/>
        </w:rPr>
        <w:t> </w:t>
      </w:r>
      <w:r>
        <w:rPr/>
        <w:t>can</w:t>
      </w:r>
      <w:r>
        <w:rPr>
          <w:spacing w:val="-14"/>
        </w:rPr>
        <w:t> </w:t>
      </w:r>
      <w:r>
        <w:rPr/>
        <w:t>also</w:t>
      </w:r>
      <w:r>
        <w:rPr>
          <w:spacing w:val="-14"/>
        </w:rPr>
        <w:t> </w:t>
      </w:r>
      <w:r>
        <w:rPr/>
        <w:t>address</w:t>
      </w:r>
      <w:r>
        <w:rPr>
          <w:spacing w:val="-12"/>
        </w:rPr>
        <w:t> </w:t>
      </w:r>
      <w:r>
        <w:rPr/>
        <w:t>the</w:t>
      </w:r>
      <w:r>
        <w:rPr>
          <w:spacing w:val="-14"/>
        </w:rPr>
        <w:t> </w:t>
      </w:r>
      <w:r>
        <w:rPr/>
        <w:t>European</w:t>
      </w:r>
      <w:r>
        <w:rPr>
          <w:spacing w:val="-14"/>
        </w:rPr>
        <w:t> </w:t>
      </w:r>
      <w:r>
        <w:rPr/>
        <w:t>Data</w:t>
      </w:r>
      <w:r>
        <w:rPr>
          <w:spacing w:val="-13"/>
        </w:rPr>
        <w:t> </w:t>
      </w:r>
      <w:r>
        <w:rPr/>
        <w:t>Protection</w:t>
      </w:r>
      <w:r>
        <w:rPr>
          <w:spacing w:val="-14"/>
        </w:rPr>
        <w:t> </w:t>
      </w:r>
      <w:r>
        <w:rPr/>
        <w:t>Supervisor.</w:t>
      </w:r>
      <w:r>
        <w:rPr>
          <w:spacing w:val="-14"/>
        </w:rPr>
        <w:t> </w:t>
      </w:r>
      <w:r>
        <w:rPr/>
        <w:t>Their</w:t>
      </w:r>
      <w:r>
        <w:rPr>
          <w:spacing w:val="-13"/>
        </w:rPr>
        <w:t> </w:t>
      </w:r>
      <w:r>
        <w:rPr/>
        <w:t>contact</w:t>
      </w:r>
      <w:r>
        <w:rPr>
          <w:spacing w:val="-13"/>
        </w:rPr>
        <w:t> </w:t>
      </w:r>
      <w:r>
        <w:rPr/>
        <w:t>information is given below.</w:t>
      </w:r>
    </w:p>
    <w:p>
      <w:pPr>
        <w:pStyle w:val="BodyText"/>
        <w:spacing w:before="4"/>
      </w:pPr>
    </w:p>
    <w:p>
      <w:pPr>
        <w:pStyle w:val="Heading1"/>
        <w:ind w:left="799" w:firstLine="0"/>
      </w:pPr>
      <w:r>
        <w:rPr>
          <w:u w:val="single"/>
        </w:rPr>
        <w:t>Contact</w:t>
      </w:r>
      <w:r>
        <w:rPr>
          <w:spacing w:val="-4"/>
          <w:u w:val="single"/>
        </w:rPr>
        <w:t> </w:t>
      </w:r>
      <w:r>
        <w:rPr>
          <w:spacing w:val="-2"/>
          <w:u w:val="single"/>
        </w:rPr>
        <w:t>information</w:t>
      </w:r>
    </w:p>
    <w:p>
      <w:pPr>
        <w:pStyle w:val="BodyText"/>
        <w:spacing w:before="2"/>
        <w:rPr>
          <w:b/>
        </w:rPr>
      </w:pPr>
    </w:p>
    <w:p>
      <w:pPr>
        <w:pStyle w:val="ListParagraph"/>
        <w:numPr>
          <w:ilvl w:val="0"/>
          <w:numId w:val="5"/>
        </w:numPr>
        <w:tabs>
          <w:tab w:pos="1081" w:val="left" w:leader="none"/>
        </w:tabs>
        <w:spacing w:line="266" w:lineRule="exact" w:before="0"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ind w:left="1080" w:right="278"/>
        <w:jc w:val="both"/>
      </w:pPr>
      <w:r>
        <w:rPr/>
        <w:t>If you would like to exercise your rights under Regulation (EU) 2018/1725, or if you have comments, questions or</w:t>
      </w:r>
      <w:r>
        <w:rPr>
          <w:spacing w:val="-1"/>
        </w:rPr>
        <w:t> </w:t>
      </w:r>
      <w:r>
        <w:rPr/>
        <w:t>concerns, or</w:t>
      </w:r>
      <w:r>
        <w:rPr>
          <w:spacing w:val="-1"/>
        </w:rPr>
        <w:t> </w:t>
      </w:r>
      <w:r>
        <w:rPr/>
        <w:t>if</w:t>
      </w:r>
      <w:r>
        <w:rPr>
          <w:spacing w:val="-3"/>
        </w:rPr>
        <w:t> </w:t>
      </w:r>
      <w:r>
        <w:rPr/>
        <w:t>you would</w:t>
      </w:r>
      <w:r>
        <w:rPr>
          <w:spacing w:val="-1"/>
        </w:rPr>
        <w:t> </w:t>
      </w:r>
      <w:r>
        <w:rPr/>
        <w:t>like</w:t>
      </w:r>
      <w:r>
        <w:rPr>
          <w:spacing w:val="-1"/>
        </w:rPr>
        <w:t> </w:t>
      </w:r>
      <w:r>
        <w:rPr/>
        <w:t>to</w:t>
      </w:r>
      <w:r>
        <w:rPr>
          <w:spacing w:val="-1"/>
        </w:rPr>
        <w:t> </w:t>
      </w:r>
      <w:r>
        <w:rPr/>
        <w:t>submit a</w:t>
      </w:r>
      <w:r>
        <w:rPr>
          <w:spacing w:val="-1"/>
        </w:rPr>
        <w:t> </w:t>
      </w:r>
      <w:r>
        <w:rPr/>
        <w:t>complaint regarding</w:t>
      </w:r>
      <w:r>
        <w:rPr>
          <w:spacing w:val="-4"/>
        </w:rPr>
        <w:t> </w:t>
      </w:r>
      <w:r>
        <w:rPr/>
        <w:t>the</w:t>
      </w:r>
      <w:r>
        <w:rPr>
          <w:spacing w:val="-1"/>
        </w:rPr>
        <w:t> </w:t>
      </w:r>
      <w:r>
        <w:rPr/>
        <w:t>collection and use</w:t>
      </w:r>
      <w:r>
        <w:rPr>
          <w:spacing w:val="-1"/>
        </w:rPr>
        <w:t> </w:t>
      </w:r>
      <w:r>
        <w:rPr/>
        <w:t>of</w:t>
      </w:r>
      <w:r>
        <w:rPr>
          <w:spacing w:val="-1"/>
        </w:rPr>
        <w:t> </w:t>
      </w:r>
      <w:r>
        <w:rPr/>
        <w:t>your personal</w:t>
      </w:r>
      <w:r>
        <w:rPr>
          <w:spacing w:val="-10"/>
        </w:rPr>
        <w:t> </w:t>
      </w:r>
      <w:r>
        <w:rPr/>
        <w:t>data,</w:t>
      </w:r>
      <w:r>
        <w:rPr>
          <w:spacing w:val="-6"/>
        </w:rPr>
        <w:t> </w:t>
      </w:r>
      <w:r>
        <w:rPr/>
        <w:t>please</w:t>
      </w:r>
      <w:r>
        <w:rPr>
          <w:spacing w:val="-6"/>
        </w:rPr>
        <w:t> </w:t>
      </w:r>
      <w:r>
        <w:rPr/>
        <w:t>feel</w:t>
      </w:r>
      <w:r>
        <w:rPr>
          <w:spacing w:val="-8"/>
        </w:rPr>
        <w:t> </w:t>
      </w:r>
      <w:r>
        <w:rPr/>
        <w:t>free</w:t>
      </w:r>
      <w:r>
        <w:rPr>
          <w:spacing w:val="-6"/>
        </w:rPr>
        <w:t> </w:t>
      </w:r>
      <w:r>
        <w:rPr/>
        <w:t>to</w:t>
      </w:r>
      <w:r>
        <w:rPr>
          <w:spacing w:val="-9"/>
        </w:rPr>
        <w:t> </w:t>
      </w:r>
      <w:r>
        <w:rPr/>
        <w:t>contact</w:t>
      </w:r>
      <w:r>
        <w:rPr>
          <w:spacing w:val="-6"/>
        </w:rPr>
        <w:t> </w:t>
      </w:r>
      <w:r>
        <w:rPr/>
        <w:t>the</w:t>
      </w:r>
      <w:r>
        <w:rPr>
          <w:spacing w:val="-6"/>
        </w:rPr>
        <w:t> </w:t>
      </w:r>
      <w:r>
        <w:rPr/>
        <w:t>Data</w:t>
      </w:r>
      <w:r>
        <w:rPr>
          <w:spacing w:val="-6"/>
        </w:rPr>
        <w:t> </w:t>
      </w:r>
      <w:r>
        <w:rPr/>
        <w:t>Controller,</w:t>
      </w:r>
      <w:r>
        <w:rPr>
          <w:spacing w:val="-6"/>
        </w:rPr>
        <w:t> </w:t>
      </w:r>
      <w:r>
        <w:rPr/>
        <w:t>HR.DDG.B.4,</w:t>
      </w:r>
      <w:r>
        <w:rPr>
          <w:spacing w:val="-5"/>
        </w:rPr>
        <w:t> </w:t>
      </w:r>
      <w:hyperlink r:id="rId9">
        <w:r>
          <w:rPr>
            <w:color w:val="0000FF"/>
            <w:u w:val="single" w:color="0000FF"/>
          </w:rPr>
          <w:t>HR-MAIL-</w:t>
        </w:r>
        <w:r>
          <w:rPr>
            <w:color w:val="0000FF"/>
            <w:spacing w:val="-2"/>
            <w:u w:val="single" w:color="0000FF"/>
          </w:rPr>
          <w:t>B4@ec.europa.eu</w:t>
        </w:r>
      </w:hyperlink>
      <w:r>
        <w:rPr>
          <w:spacing w:val="-2"/>
        </w:rPr>
        <w:t>.</w:t>
      </w:r>
    </w:p>
    <w:p>
      <w:pPr>
        <w:pStyle w:val="BodyText"/>
        <w:spacing w:before="1"/>
      </w:pPr>
    </w:p>
    <w:p>
      <w:pPr>
        <w:pStyle w:val="Heading1"/>
        <w:numPr>
          <w:ilvl w:val="0"/>
          <w:numId w:val="5"/>
        </w:numPr>
        <w:tabs>
          <w:tab w:pos="1081" w:val="left" w:leader="none"/>
        </w:tabs>
        <w:spacing w:line="266" w:lineRule="exact" w:before="0" w:after="0"/>
        <w:ind w:left="1080" w:right="0" w:hanging="282"/>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3"/>
        </w:rPr>
        <w:t> </w:t>
      </w:r>
      <w:r>
        <w:rPr/>
        <w:t>of</w:t>
      </w:r>
      <w:r>
        <w:rPr>
          <w:spacing w:val="-3"/>
        </w:rPr>
        <w:t> </w:t>
      </w:r>
      <w:r>
        <w:rPr/>
        <w:t>the</w:t>
      </w:r>
      <w:r>
        <w:rPr>
          <w:spacing w:val="-3"/>
        </w:rPr>
        <w:t> </w:t>
      </w:r>
      <w:r>
        <w:rPr>
          <w:spacing w:val="-2"/>
        </w:rPr>
        <w:t>Commission</w:t>
      </w:r>
    </w:p>
    <w:p>
      <w:pPr>
        <w:pStyle w:val="BodyText"/>
        <w:spacing w:line="242" w:lineRule="auto"/>
        <w:ind w:left="1080" w:right="280"/>
        <w:jc w:val="both"/>
      </w:pPr>
      <w:r>
        <w:rPr/>
        <w:t>You may contact the Data Protection Officer (</w:t>
      </w:r>
      <w:hyperlink r:id="rId10">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pPr>
    </w:p>
    <w:p>
      <w:pPr>
        <w:pStyle w:val="Heading1"/>
        <w:numPr>
          <w:ilvl w:val="0"/>
          <w:numId w:val="5"/>
        </w:numPr>
        <w:tabs>
          <w:tab w:pos="1081" w:val="left" w:leader="none"/>
        </w:tabs>
        <w:spacing w:line="240" w:lineRule="auto" w:before="0" w:after="0"/>
        <w:ind w:left="108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spacing w:after="0" w:line="240" w:lineRule="auto"/>
        <w:jc w:val="both"/>
        <w:sectPr>
          <w:pgSz w:w="11910" w:h="16840"/>
          <w:pgMar w:header="0" w:footer="690" w:top="1040" w:bottom="880" w:left="480" w:right="740"/>
        </w:sectPr>
      </w:pPr>
    </w:p>
    <w:p>
      <w:pPr>
        <w:pStyle w:val="BodyText"/>
        <w:spacing w:before="68"/>
        <w:ind w:left="1080" w:right="283"/>
        <w:jc w:val="both"/>
      </w:pPr>
      <w:r>
        <w:rPr/>
        <w:pict>
          <v:rect style="position:absolute;margin-left:228.169998pt;margin-top:27.589539pt;width:3.72pt;height:.48pt;mso-position-horizontal-relative:page;mso-position-vertical-relative:paragraph;z-index:-15833088" id="docshape3" filled="true" fillcolor="#000000" stroked="false">
            <v:fill type="solid"/>
            <w10:wrap type="none"/>
          </v:rect>
        </w:pict>
      </w:r>
      <w:r>
        <w:rPr/>
        <w:t>You have the right to have recourse (i.e. you can lodge a complaint) to the European Data Protection Supervisor</w:t>
      </w:r>
      <w:r>
        <w:rPr>
          <w:spacing w:val="-10"/>
          <w:u w:val="single"/>
        </w:rPr>
        <w:t> </w:t>
      </w:r>
      <w:r>
        <w:rPr>
          <w:u w:val="single"/>
        </w:rPr>
        <w:t>(</w:t>
      </w:r>
      <w:hyperlink r:id="rId11">
        <w:r>
          <w:rPr>
            <w:color w:val="0000FF"/>
            <w:u w:val="single" w:color="000000"/>
          </w:rPr>
          <w:t>edps@edps.europa.eu</w:t>
        </w:r>
      </w:hyperlink>
      <w:r>
        <w:rPr/>
        <w:t>)</w:t>
      </w:r>
      <w:r>
        <w:rPr>
          <w:spacing w:val="-9"/>
        </w:rPr>
        <w:t> </w:t>
      </w:r>
      <w:r>
        <w:rPr/>
        <w:t>if</w:t>
      </w:r>
      <w:r>
        <w:rPr>
          <w:spacing w:val="-9"/>
        </w:rPr>
        <w:t> </w:t>
      </w:r>
      <w:r>
        <w:rPr/>
        <w:t>you</w:t>
      </w:r>
      <w:r>
        <w:rPr>
          <w:spacing w:val="-10"/>
        </w:rPr>
        <w:t> </w:t>
      </w:r>
      <w:r>
        <w:rPr/>
        <w:t>consider</w:t>
      </w:r>
      <w:r>
        <w:rPr>
          <w:spacing w:val="-11"/>
        </w:rPr>
        <w:t> </w:t>
      </w:r>
      <w:r>
        <w:rPr/>
        <w:t>that</w:t>
      </w:r>
      <w:r>
        <w:rPr>
          <w:spacing w:val="-9"/>
        </w:rPr>
        <w:t> </w:t>
      </w:r>
      <w:r>
        <w:rPr/>
        <w:t>your</w:t>
      </w:r>
      <w:r>
        <w:rPr>
          <w:spacing w:val="-9"/>
        </w:rPr>
        <w:t> </w:t>
      </w:r>
      <w:r>
        <w:rPr/>
        <w:t>rights</w:t>
      </w:r>
      <w:r>
        <w:rPr>
          <w:spacing w:val="-9"/>
        </w:rPr>
        <w:t> </w:t>
      </w:r>
      <w:r>
        <w:rPr/>
        <w:t>under</w:t>
      </w:r>
      <w:r>
        <w:rPr>
          <w:spacing w:val="-9"/>
        </w:rPr>
        <w:t> </w:t>
      </w:r>
      <w:r>
        <w:rPr/>
        <w:t>Regulation</w:t>
      </w:r>
      <w:r>
        <w:rPr>
          <w:spacing w:val="-10"/>
        </w:rPr>
        <w:t> </w:t>
      </w:r>
      <w:r>
        <w:rPr/>
        <w:t>(EU)</w:t>
      </w:r>
      <w:r>
        <w:rPr>
          <w:spacing w:val="-9"/>
        </w:rPr>
        <w:t> </w:t>
      </w:r>
      <w:r>
        <w:rPr/>
        <w:t>2018/1725</w:t>
      </w:r>
      <w:r>
        <w:rPr>
          <w:spacing w:val="-10"/>
        </w:rPr>
        <w:t> </w:t>
      </w:r>
      <w:r>
        <w:rPr/>
        <w:t>have been infringed as a result of the processing of your personal data by the Data Controller.</w:t>
      </w:r>
    </w:p>
    <w:p>
      <w:pPr>
        <w:pStyle w:val="BodyText"/>
        <w:spacing w:before="2"/>
        <w:ind w:left="1080"/>
        <w:jc w:val="both"/>
      </w:pPr>
      <w:r>
        <w:rPr/>
        <w:t>To</w:t>
      </w:r>
      <w:r>
        <w:rPr>
          <w:spacing w:val="-8"/>
        </w:rPr>
        <w:t> </w:t>
      </w:r>
      <w:r>
        <w:rPr/>
        <w:t>the</w:t>
      </w:r>
      <w:r>
        <w:rPr>
          <w:spacing w:val="-5"/>
        </w:rPr>
        <w:t> </w:t>
      </w:r>
      <w:r>
        <w:rPr/>
        <w:t>attention</w:t>
      </w:r>
      <w:r>
        <w:rPr>
          <w:spacing w:val="-3"/>
        </w:rPr>
        <w:t> </w:t>
      </w:r>
      <w:r>
        <w:rPr/>
        <w:t>of</w:t>
      </w:r>
      <w:r>
        <w:rPr>
          <w:spacing w:val="-5"/>
        </w:rPr>
        <w:t> </w:t>
      </w:r>
      <w:r>
        <w:rPr/>
        <w:t>candidates</w:t>
      </w:r>
      <w:r>
        <w:rPr>
          <w:spacing w:val="-2"/>
        </w:rPr>
        <w:t> </w:t>
      </w:r>
      <w:r>
        <w:rPr/>
        <w:t>from</w:t>
      </w:r>
      <w:r>
        <w:rPr>
          <w:spacing w:val="-7"/>
        </w:rPr>
        <w:t> </w:t>
      </w:r>
      <w:r>
        <w:rPr/>
        <w:t>third</w:t>
      </w:r>
      <w:r>
        <w:rPr>
          <w:spacing w:val="-6"/>
        </w:rPr>
        <w:t> </w:t>
      </w:r>
      <w:r>
        <w:rPr/>
        <w:t>countries:</w:t>
      </w:r>
      <w:r>
        <w:rPr>
          <w:spacing w:val="-2"/>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3"/>
        </w:rPr>
        <w:t> </w:t>
      </w:r>
      <w:r>
        <w:rPr/>
        <w:t>used</w:t>
      </w:r>
      <w:r>
        <w:rPr>
          <w:spacing w:val="-5"/>
        </w:rPr>
        <w:t> </w:t>
      </w:r>
      <w:r>
        <w:rPr/>
        <w:t>for</w:t>
      </w:r>
      <w:r>
        <w:rPr>
          <w:spacing w:val="-3"/>
        </w:rPr>
        <w:t> </w:t>
      </w:r>
      <w:r>
        <w:rPr/>
        <w:t>necessary</w:t>
      </w:r>
      <w:r>
        <w:rPr>
          <w:spacing w:val="-5"/>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34112" type="#_x0000_t202" id="docshape1" filled="false" stroked="false">
          <v:textbox inset="0,0,0,0">
            <w:txbxContent>
              <w:p>
                <w:pPr>
                  <w:spacing w:before="14"/>
                  <w:ind w:left="20" w:right="0" w:firstLine="0"/>
                  <w:jc w:val="left"/>
                  <w:rPr>
                    <w:sz w:val="16"/>
                  </w:rPr>
                </w:pPr>
                <w:r>
                  <w:rPr>
                    <w:sz w:val="16"/>
                  </w:rPr>
                  <w:t>Version</w:t>
                </w:r>
                <w:r>
                  <w:rPr>
                    <w:spacing w:val="-9"/>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3">
    <w:multiLevelType w:val="hybridMultilevel"/>
    <w:lvl w:ilvl="0">
      <w:start w:val="0"/>
      <w:numFmt w:val="bullet"/>
      <w:lvlText w:val="-"/>
      <w:lvlJc w:val="left"/>
      <w:pPr>
        <w:ind w:left="1190" w:hanging="125"/>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148" w:hanging="125"/>
      </w:pPr>
      <w:rPr>
        <w:rFonts w:hint="default"/>
        <w:lang w:val="en-US" w:eastAsia="en-US" w:bidi="ar-SA"/>
      </w:rPr>
    </w:lvl>
    <w:lvl w:ilvl="2">
      <w:start w:val="0"/>
      <w:numFmt w:val="bullet"/>
      <w:lvlText w:val="•"/>
      <w:lvlJc w:val="left"/>
      <w:pPr>
        <w:ind w:left="3097" w:hanging="125"/>
      </w:pPr>
      <w:rPr>
        <w:rFonts w:hint="default"/>
        <w:lang w:val="en-US" w:eastAsia="en-US" w:bidi="ar-SA"/>
      </w:rPr>
    </w:lvl>
    <w:lvl w:ilvl="3">
      <w:start w:val="0"/>
      <w:numFmt w:val="bullet"/>
      <w:lvlText w:val="•"/>
      <w:lvlJc w:val="left"/>
      <w:pPr>
        <w:ind w:left="4045" w:hanging="125"/>
      </w:pPr>
      <w:rPr>
        <w:rFonts w:hint="default"/>
        <w:lang w:val="en-US" w:eastAsia="en-US" w:bidi="ar-SA"/>
      </w:rPr>
    </w:lvl>
    <w:lvl w:ilvl="4">
      <w:start w:val="0"/>
      <w:numFmt w:val="bullet"/>
      <w:lvlText w:val="•"/>
      <w:lvlJc w:val="left"/>
      <w:pPr>
        <w:ind w:left="4994" w:hanging="125"/>
      </w:pPr>
      <w:rPr>
        <w:rFonts w:hint="default"/>
        <w:lang w:val="en-US" w:eastAsia="en-US" w:bidi="ar-SA"/>
      </w:rPr>
    </w:lvl>
    <w:lvl w:ilvl="5">
      <w:start w:val="0"/>
      <w:numFmt w:val="bullet"/>
      <w:lvlText w:val="•"/>
      <w:lvlJc w:val="left"/>
      <w:pPr>
        <w:ind w:left="5943" w:hanging="125"/>
      </w:pPr>
      <w:rPr>
        <w:rFonts w:hint="default"/>
        <w:lang w:val="en-US" w:eastAsia="en-US" w:bidi="ar-SA"/>
      </w:rPr>
    </w:lvl>
    <w:lvl w:ilvl="6">
      <w:start w:val="0"/>
      <w:numFmt w:val="bullet"/>
      <w:lvlText w:val="•"/>
      <w:lvlJc w:val="left"/>
      <w:pPr>
        <w:ind w:left="6891" w:hanging="125"/>
      </w:pPr>
      <w:rPr>
        <w:rFonts w:hint="default"/>
        <w:lang w:val="en-US" w:eastAsia="en-US" w:bidi="ar-SA"/>
      </w:rPr>
    </w:lvl>
    <w:lvl w:ilvl="7">
      <w:start w:val="0"/>
      <w:numFmt w:val="bullet"/>
      <w:lvlText w:val="•"/>
      <w:lvlJc w:val="left"/>
      <w:pPr>
        <w:ind w:left="7840" w:hanging="125"/>
      </w:pPr>
      <w:rPr>
        <w:rFonts w:hint="default"/>
        <w:lang w:val="en-US" w:eastAsia="en-US" w:bidi="ar-SA"/>
      </w:rPr>
    </w:lvl>
    <w:lvl w:ilvl="8">
      <w:start w:val="0"/>
      <w:numFmt w:val="bullet"/>
      <w:lvlText w:val="•"/>
      <w:lvlJc w:val="left"/>
      <w:pPr>
        <w:ind w:left="8789" w:hanging="125"/>
      </w:pPr>
      <w:rPr>
        <w:rFonts w:hint="default"/>
        <w:lang w:val="en-US" w:eastAsia="en-US" w:bidi="ar-SA"/>
      </w:rPr>
    </w:lvl>
  </w:abstractNum>
  <w:abstractNum w:abstractNumId="1">
    <w:multiLevelType w:val="hybridMultilevel"/>
    <w:lvl w:ilvl="0">
      <w:start w:val="0"/>
      <w:numFmt w:val="bullet"/>
      <w:lvlText w:val=""/>
      <w:lvlJc w:val="left"/>
      <w:pPr>
        <w:ind w:left="564"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92" w:hanging="276"/>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83" w:hanging="276"/>
      </w:pPr>
      <w:rPr>
        <w:rFonts w:hint="default"/>
        <w:lang w:val="en-US" w:eastAsia="en-US" w:bidi="ar-SA"/>
      </w:rPr>
    </w:lvl>
    <w:lvl w:ilvl="3">
      <w:start w:val="0"/>
      <w:numFmt w:val="bullet"/>
      <w:lvlText w:val="•"/>
      <w:lvlJc w:val="left"/>
      <w:pPr>
        <w:ind w:left="3066" w:hanging="276"/>
      </w:pPr>
      <w:rPr>
        <w:rFonts w:hint="default"/>
        <w:lang w:val="en-US" w:eastAsia="en-US" w:bidi="ar-SA"/>
      </w:rPr>
    </w:lvl>
    <w:lvl w:ilvl="4">
      <w:start w:val="0"/>
      <w:numFmt w:val="bullet"/>
      <w:lvlText w:val="•"/>
      <w:lvlJc w:val="left"/>
      <w:pPr>
        <w:ind w:left="4049" w:hanging="276"/>
      </w:pPr>
      <w:rPr>
        <w:rFonts w:hint="default"/>
        <w:lang w:val="en-US" w:eastAsia="en-US" w:bidi="ar-SA"/>
      </w:rPr>
    </w:lvl>
    <w:lvl w:ilvl="5">
      <w:start w:val="0"/>
      <w:numFmt w:val="bullet"/>
      <w:lvlText w:val="•"/>
      <w:lvlJc w:val="left"/>
      <w:pPr>
        <w:ind w:left="5032" w:hanging="276"/>
      </w:pPr>
      <w:rPr>
        <w:rFonts w:hint="default"/>
        <w:lang w:val="en-US" w:eastAsia="en-US" w:bidi="ar-SA"/>
      </w:rPr>
    </w:lvl>
    <w:lvl w:ilvl="6">
      <w:start w:val="0"/>
      <w:numFmt w:val="bullet"/>
      <w:lvlText w:val="•"/>
      <w:lvlJc w:val="left"/>
      <w:pPr>
        <w:ind w:left="6015" w:hanging="276"/>
      </w:pPr>
      <w:rPr>
        <w:rFonts w:hint="default"/>
        <w:lang w:val="en-US" w:eastAsia="en-US" w:bidi="ar-SA"/>
      </w:rPr>
    </w:lvl>
    <w:lvl w:ilvl="7">
      <w:start w:val="0"/>
      <w:numFmt w:val="bullet"/>
      <w:lvlText w:val="•"/>
      <w:lvlJc w:val="left"/>
      <w:pPr>
        <w:ind w:left="6998" w:hanging="276"/>
      </w:pPr>
      <w:rPr>
        <w:rFonts w:hint="default"/>
        <w:lang w:val="en-US" w:eastAsia="en-US" w:bidi="ar-SA"/>
      </w:rPr>
    </w:lvl>
    <w:lvl w:ilvl="8">
      <w:start w:val="0"/>
      <w:numFmt w:val="bullet"/>
      <w:lvlText w:val="•"/>
      <w:lvlJc w:val="left"/>
      <w:pPr>
        <w:ind w:left="7981" w:hanging="276"/>
      </w:pPr>
      <w:rPr>
        <w:rFonts w:hint="default"/>
        <w:lang w:val="en-US" w:eastAsia="en-US" w:bidi="ar-SA"/>
      </w:rPr>
    </w:lvl>
  </w:abstractNum>
  <w:abstractNum w:abstractNumId="0">
    <w:multiLevelType w:val="hybridMultilevel"/>
    <w:lvl w:ilvl="0">
      <w:start w:val="0"/>
      <w:numFmt w:val="bullet"/>
      <w:lvlText w:val=""/>
      <w:lvlJc w:val="left"/>
      <w:pPr>
        <w:ind w:left="918" w:hanging="473"/>
      </w:pPr>
      <w:rPr>
        <w:rFonts w:hint="default" w:ascii="Wingdings 2" w:hAnsi="Wingdings 2" w:eastAsia="Wingdings 2" w:cs="Wingdings 2"/>
        <w:b w:val="0"/>
        <w:bCs w:val="0"/>
        <w:i w:val="0"/>
        <w:iCs w:val="0"/>
        <w:w w:val="100"/>
        <w:sz w:val="22"/>
        <w:szCs w:val="22"/>
        <w:lang w:val="en-US" w:eastAsia="en-US" w:bidi="ar-SA"/>
      </w:rPr>
    </w:lvl>
    <w:lvl w:ilvl="1">
      <w:start w:val="0"/>
      <w:numFmt w:val="bullet"/>
      <w:lvlText w:val="•"/>
      <w:lvlJc w:val="left"/>
      <w:pPr>
        <w:ind w:left="1136" w:hanging="473"/>
      </w:pPr>
      <w:rPr>
        <w:rFonts w:hint="default"/>
        <w:lang w:val="en-US" w:eastAsia="en-US" w:bidi="ar-SA"/>
      </w:rPr>
    </w:lvl>
    <w:lvl w:ilvl="2">
      <w:start w:val="0"/>
      <w:numFmt w:val="bullet"/>
      <w:lvlText w:val="•"/>
      <w:lvlJc w:val="left"/>
      <w:pPr>
        <w:ind w:left="1352" w:hanging="473"/>
      </w:pPr>
      <w:rPr>
        <w:rFonts w:hint="default"/>
        <w:lang w:val="en-US" w:eastAsia="en-US" w:bidi="ar-SA"/>
      </w:rPr>
    </w:lvl>
    <w:lvl w:ilvl="3">
      <w:start w:val="0"/>
      <w:numFmt w:val="bullet"/>
      <w:lvlText w:val="•"/>
      <w:lvlJc w:val="left"/>
      <w:pPr>
        <w:ind w:left="1568" w:hanging="473"/>
      </w:pPr>
      <w:rPr>
        <w:rFonts w:hint="default"/>
        <w:lang w:val="en-US" w:eastAsia="en-US" w:bidi="ar-SA"/>
      </w:rPr>
    </w:lvl>
    <w:lvl w:ilvl="4">
      <w:start w:val="0"/>
      <w:numFmt w:val="bullet"/>
      <w:lvlText w:val="•"/>
      <w:lvlJc w:val="left"/>
      <w:pPr>
        <w:ind w:left="1784" w:hanging="473"/>
      </w:pPr>
      <w:rPr>
        <w:rFonts w:hint="default"/>
        <w:lang w:val="en-US" w:eastAsia="en-US" w:bidi="ar-SA"/>
      </w:rPr>
    </w:lvl>
    <w:lvl w:ilvl="5">
      <w:start w:val="0"/>
      <w:numFmt w:val="bullet"/>
      <w:lvlText w:val="•"/>
      <w:lvlJc w:val="left"/>
      <w:pPr>
        <w:ind w:left="2000" w:hanging="473"/>
      </w:pPr>
      <w:rPr>
        <w:rFonts w:hint="default"/>
        <w:lang w:val="en-US" w:eastAsia="en-US" w:bidi="ar-SA"/>
      </w:rPr>
    </w:lvl>
    <w:lvl w:ilvl="6">
      <w:start w:val="0"/>
      <w:numFmt w:val="bullet"/>
      <w:lvlText w:val="•"/>
      <w:lvlJc w:val="left"/>
      <w:pPr>
        <w:ind w:left="2216" w:hanging="473"/>
      </w:pPr>
      <w:rPr>
        <w:rFonts w:hint="default"/>
        <w:lang w:val="en-US" w:eastAsia="en-US" w:bidi="ar-SA"/>
      </w:rPr>
    </w:lvl>
    <w:lvl w:ilvl="7">
      <w:start w:val="0"/>
      <w:numFmt w:val="bullet"/>
      <w:lvlText w:val="•"/>
      <w:lvlJc w:val="left"/>
      <w:pPr>
        <w:ind w:left="2432" w:hanging="473"/>
      </w:pPr>
      <w:rPr>
        <w:rFonts w:hint="default"/>
        <w:lang w:val="en-US" w:eastAsia="en-US" w:bidi="ar-SA"/>
      </w:rPr>
    </w:lvl>
    <w:lvl w:ilvl="8">
      <w:start w:val="0"/>
      <w:numFmt w:val="bullet"/>
      <w:lvlText w:val="•"/>
      <w:lvlJc w:val="left"/>
      <w:pPr>
        <w:ind w:left="2648" w:hanging="473"/>
      </w:pPr>
      <w:rPr>
        <w:rFonts w:hint="default"/>
        <w:lang w:val="en-US" w:eastAsia="en-US" w:bidi="ar-SA"/>
      </w:rPr>
    </w:lvl>
  </w:abstractNum>
  <w:abstractNum w:abstractNumId="2">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1"/>
      <w:numFmt w:val="lowerLetter"/>
      <w:lvlText w:val="%2)"/>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2">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3">
      <w:start w:val="0"/>
      <w:numFmt w:val="bullet"/>
      <w:lvlText w:val="•"/>
      <w:lvlJc w:val="left"/>
      <w:pPr>
        <w:ind w:left="2280" w:hanging="281"/>
      </w:pPr>
      <w:rPr>
        <w:rFonts w:hint="default"/>
        <w:lang w:val="en-US" w:eastAsia="en-US" w:bidi="ar-SA"/>
      </w:rPr>
    </w:lvl>
    <w:lvl w:ilvl="4">
      <w:start w:val="0"/>
      <w:numFmt w:val="bullet"/>
      <w:lvlText w:val="•"/>
      <w:lvlJc w:val="left"/>
      <w:pPr>
        <w:ind w:left="3481" w:hanging="281"/>
      </w:pPr>
      <w:rPr>
        <w:rFonts w:hint="default"/>
        <w:lang w:val="en-US" w:eastAsia="en-US" w:bidi="ar-SA"/>
      </w:rPr>
    </w:lvl>
    <w:lvl w:ilvl="5">
      <w:start w:val="0"/>
      <w:numFmt w:val="bullet"/>
      <w:lvlText w:val="•"/>
      <w:lvlJc w:val="left"/>
      <w:pPr>
        <w:ind w:left="4682" w:hanging="281"/>
      </w:pPr>
      <w:rPr>
        <w:rFonts w:hint="default"/>
        <w:lang w:val="en-US" w:eastAsia="en-US" w:bidi="ar-SA"/>
      </w:rPr>
    </w:lvl>
    <w:lvl w:ilvl="6">
      <w:start w:val="0"/>
      <w:numFmt w:val="bullet"/>
      <w:lvlText w:val="•"/>
      <w:lvlJc w:val="left"/>
      <w:pPr>
        <w:ind w:left="5883" w:hanging="281"/>
      </w:pPr>
      <w:rPr>
        <w:rFonts w:hint="default"/>
        <w:lang w:val="en-US" w:eastAsia="en-US" w:bidi="ar-SA"/>
      </w:rPr>
    </w:lvl>
    <w:lvl w:ilvl="7">
      <w:start w:val="0"/>
      <w:numFmt w:val="bullet"/>
      <w:lvlText w:val="•"/>
      <w:lvlJc w:val="left"/>
      <w:pPr>
        <w:ind w:left="7084" w:hanging="281"/>
      </w:pPr>
      <w:rPr>
        <w:rFonts w:hint="default"/>
        <w:lang w:val="en-US" w:eastAsia="en-US" w:bidi="ar-SA"/>
      </w:rPr>
    </w:lvl>
    <w:lvl w:ilvl="8">
      <w:start w:val="0"/>
      <w:numFmt w:val="bullet"/>
      <w:lvlText w:val="•"/>
      <w:lvlJc w:val="left"/>
      <w:pPr>
        <w:ind w:left="8284" w:hanging="281"/>
      </w:pPr>
      <w:rPr>
        <w:rFonts w:hint="default"/>
        <w:lang w:val="en-US" w:eastAsia="en-US" w:bidi="ar-SA"/>
      </w:rPr>
    </w:lvl>
  </w:abstractNum>
  <w:num w:numId="5">
    <w:abstractNumId w:val="4"/>
  </w:num>
  <w:num w:numId="4">
    <w:abstractNumId w:val="3"/>
  </w: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80" w:hanging="42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harold.nyssens@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MAIL-B4@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2023-02-16T16:38:39Z</dcterms:created>
  <dcterms:modified xsi:type="dcterms:W3CDTF">2023-02-16T16:38:39Z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LastSaved">
    <vt:filetime>2023-02-16T00:00:00Z</vt:filetime>
  </property>
</Properties>
</file>