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pacing w:val="-2"/>
                <w:sz w:val="24"/>
              </w:rPr>
              <w:t>DGT.C.ES.1</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Santiago</w:t>
            </w:r>
            <w:r>
              <w:rPr>
                <w:b/>
                <w:spacing w:val="-6"/>
                <w:sz w:val="22"/>
              </w:rPr>
              <w:t> </w:t>
            </w:r>
            <w:r>
              <w:rPr>
                <w:b/>
                <w:sz w:val="22"/>
              </w:rPr>
              <w:t>del</w:t>
            </w:r>
            <w:r>
              <w:rPr>
                <w:b/>
                <w:spacing w:val="-5"/>
                <w:sz w:val="22"/>
              </w:rPr>
              <w:t> </w:t>
            </w:r>
            <w:r>
              <w:rPr>
                <w:b/>
                <w:spacing w:val="-4"/>
                <w:sz w:val="22"/>
              </w:rPr>
              <w:t>Pino</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spacing w:val="-2"/>
                  <w:sz w:val="22"/>
                </w:rPr>
                <w:t>Santiago.Del-Pino@ec.europa.eu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6" w:type="dxa"/>
            <w:gridSpan w:val="2"/>
            <w:tcBorders>
              <w:top w:val="nil"/>
              <w:bottom w:val="nil"/>
            </w:tcBorders>
          </w:tcPr>
          <w:p>
            <w:pPr>
              <w:pStyle w:val="TableParagraph"/>
              <w:spacing w:line="233" w:lineRule="exact"/>
              <w:rPr>
                <w:b/>
                <w:sz w:val="22"/>
              </w:rPr>
            </w:pPr>
            <w:r>
              <w:rPr>
                <w:b/>
                <w:sz w:val="22"/>
              </w:rPr>
              <w:t>+32</w:t>
            </w:r>
            <w:r>
              <w:rPr>
                <w:b/>
                <w:spacing w:val="-1"/>
                <w:sz w:val="22"/>
              </w:rPr>
              <w:t> </w:t>
            </w:r>
            <w:r>
              <w:rPr>
                <w:b/>
                <w:sz w:val="22"/>
              </w:rPr>
              <w:t>229</w:t>
            </w:r>
            <w:r>
              <w:rPr>
                <w:b/>
                <w:spacing w:val="-1"/>
                <w:sz w:val="22"/>
              </w:rPr>
              <w:t> </w:t>
            </w:r>
            <w:r>
              <w:rPr>
                <w:b/>
                <w:spacing w:val="-2"/>
                <w:sz w:val="22"/>
              </w:rPr>
              <w:t>63124</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32" w:lineRule="exact"/>
              <w:rPr>
                <w:b/>
                <w:sz w:val="22"/>
              </w:rPr>
            </w:pPr>
            <w:r>
              <w:rPr>
                <w:b/>
                <w:sz w:val="22"/>
              </w:rPr>
              <w:t>2nd</w:t>
            </w:r>
            <w:r>
              <w:rPr>
                <w:b/>
                <w:spacing w:val="-5"/>
                <w:sz w:val="22"/>
              </w:rPr>
              <w:t> </w:t>
            </w:r>
            <w:r>
              <w:rPr>
                <w:b/>
                <w:sz w:val="22"/>
              </w:rPr>
              <w:t>quarter</w:t>
            </w:r>
            <w:r>
              <w:rPr>
                <w:b/>
                <w:spacing w:val="-2"/>
                <w:sz w:val="22"/>
              </w:rPr>
              <w:t> </w:t>
            </w:r>
            <w:r>
              <w:rPr>
                <w:b/>
                <w:sz w:val="22"/>
              </w:rPr>
              <w:t>2023</w:t>
            </w:r>
            <w:r>
              <w:rPr>
                <w:b/>
                <w:spacing w:val="-4"/>
                <w:sz w:val="22"/>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33" w:lineRule="exact"/>
              <w:rPr>
                <w:b/>
                <w:sz w:val="22"/>
              </w:rPr>
            </w:pPr>
            <w:r>
              <w:rPr>
                <w:b/>
                <w:sz w:val="22"/>
              </w:rPr>
              <w:t>2 </w:t>
            </w:r>
            <w:r>
              <w:rPr>
                <w:b/>
                <w:spacing w:val="-2"/>
                <w:sz w:val="22"/>
              </w:rPr>
              <w:t>years</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3"/>
                <w:sz w:val="22"/>
              </w:rPr>
              <w:t> </w:t>
            </w:r>
            <w:r>
              <w:rPr>
                <w:b/>
                <w:spacing w:val="-2"/>
                <w:sz w:val="22"/>
              </w:rPr>
              <w:t>secondment:</w:t>
            </w:r>
          </w:p>
        </w:tc>
        <w:tc>
          <w:tcPr>
            <w:tcW w:w="5596"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4"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5"/>
        <w:rPr>
          <w:b/>
          <w:sz w:val="13"/>
        </w:rPr>
      </w:pPr>
    </w:p>
    <w:p>
      <w:pPr>
        <w:pStyle w:val="BodyText"/>
        <w:spacing w:before="92"/>
        <w:ind w:left="799" w:right="105"/>
        <w:jc w:val="both"/>
      </w:pPr>
      <w:r>
        <w:rPr/>
        <w:t>The seconded national expert will work as a translator and reviser in unit ES.1 of the Spanish Language Department of the Directorate-General for Translation (DGT). He/she will predominantly work on highly specialised documents in the fields of economics, finance and taxation requested by other Commission services, mainly the Directorate-General for Financial Stability, Financial Services and Capital Markets</w:t>
      </w:r>
      <w:r>
        <w:rPr>
          <w:spacing w:val="80"/>
        </w:rPr>
        <w:t> </w:t>
      </w:r>
      <w:r>
        <w:rPr/>
        <w:t>Union, the Directorate-General for Economic and Financial Affairs and the Directorate-General for Taxation and Customs Union.</w:t>
      </w:r>
    </w:p>
    <w:p>
      <w:pPr>
        <w:pStyle w:val="BodyText"/>
      </w:pPr>
    </w:p>
    <w:p>
      <w:pPr>
        <w:pStyle w:val="BodyText"/>
        <w:ind w:left="799"/>
        <w:jc w:val="both"/>
      </w:pPr>
      <w:r>
        <w:rPr/>
        <w:t>The</w:t>
      </w:r>
      <w:r>
        <w:rPr>
          <w:spacing w:val="-7"/>
        </w:rPr>
        <w:t> </w:t>
      </w:r>
      <w:r>
        <w:rPr/>
        <w:t>main</w:t>
      </w:r>
      <w:r>
        <w:rPr>
          <w:spacing w:val="-3"/>
        </w:rPr>
        <w:t> </w:t>
      </w:r>
      <w:r>
        <w:rPr/>
        <w:t>tasks</w:t>
      </w:r>
      <w:r>
        <w:rPr>
          <w:spacing w:val="-2"/>
        </w:rPr>
        <w:t> </w:t>
      </w:r>
      <w:r>
        <w:rPr/>
        <w:t>of</w:t>
      </w:r>
      <w:r>
        <w:rPr>
          <w:spacing w:val="-2"/>
        </w:rPr>
        <w:t> </w:t>
      </w:r>
      <w:r>
        <w:rPr/>
        <w:t>the</w:t>
      </w:r>
      <w:r>
        <w:rPr>
          <w:spacing w:val="-3"/>
        </w:rPr>
        <w:t> </w:t>
      </w:r>
      <w:r>
        <w:rPr/>
        <w:t>seconded</w:t>
      </w:r>
      <w:r>
        <w:rPr>
          <w:spacing w:val="-2"/>
        </w:rPr>
        <w:t> </w:t>
      </w:r>
      <w:r>
        <w:rPr/>
        <w:t>national</w:t>
      </w:r>
      <w:r>
        <w:rPr>
          <w:spacing w:val="-4"/>
        </w:rPr>
        <w:t> </w:t>
      </w:r>
      <w:r>
        <w:rPr/>
        <w:t>expert</w:t>
      </w:r>
      <w:r>
        <w:rPr>
          <w:spacing w:val="-4"/>
        </w:rPr>
        <w:t> </w:t>
      </w:r>
      <w:r>
        <w:rPr/>
        <w:t>include</w:t>
      </w:r>
      <w:r>
        <w:rPr>
          <w:spacing w:val="-5"/>
        </w:rPr>
        <w:t> </w:t>
      </w:r>
      <w:r>
        <w:rPr/>
        <w:t>the</w:t>
      </w:r>
      <w:r>
        <w:rPr>
          <w:spacing w:val="-4"/>
        </w:rPr>
        <w:t> </w:t>
      </w:r>
      <w:r>
        <w:rPr>
          <w:spacing w:val="-2"/>
        </w:rPr>
        <w:t>following:</w:t>
      </w:r>
    </w:p>
    <w:p>
      <w:pPr>
        <w:pStyle w:val="BodyText"/>
        <w:spacing w:before="2"/>
      </w:pPr>
    </w:p>
    <w:p>
      <w:pPr>
        <w:pStyle w:val="ListParagraph"/>
        <w:numPr>
          <w:ilvl w:val="1"/>
          <w:numId w:val="3"/>
        </w:numPr>
        <w:tabs>
          <w:tab w:pos="1092" w:val="left" w:leader="none"/>
          <w:tab w:pos="1093" w:val="left" w:leader="none"/>
        </w:tabs>
        <w:spacing w:line="240" w:lineRule="auto" w:before="0" w:after="0"/>
        <w:ind w:left="1092" w:right="204" w:hanging="361"/>
        <w:jc w:val="left"/>
        <w:rPr>
          <w:sz w:val="22"/>
        </w:rPr>
      </w:pPr>
      <w:r>
        <w:rPr>
          <w:sz w:val="22"/>
        </w:rPr>
        <w:t>to</w:t>
      </w:r>
      <w:r>
        <w:rPr>
          <w:spacing w:val="-1"/>
          <w:sz w:val="22"/>
        </w:rPr>
        <w:t> </w:t>
      </w:r>
      <w:r>
        <w:rPr>
          <w:sz w:val="22"/>
        </w:rPr>
        <w:t>translate</w:t>
      </w:r>
      <w:r>
        <w:rPr>
          <w:spacing w:val="-3"/>
          <w:sz w:val="22"/>
        </w:rPr>
        <w:t> </w:t>
      </w:r>
      <w:r>
        <w:rPr>
          <w:sz w:val="22"/>
        </w:rPr>
        <w:t>from</w:t>
      </w:r>
      <w:r>
        <w:rPr>
          <w:spacing w:val="-5"/>
          <w:sz w:val="22"/>
        </w:rPr>
        <w:t> </w:t>
      </w:r>
      <w:r>
        <w:rPr>
          <w:sz w:val="22"/>
        </w:rPr>
        <w:t>English</w:t>
      </w:r>
      <w:r>
        <w:rPr>
          <w:spacing w:val="-3"/>
          <w:sz w:val="22"/>
        </w:rPr>
        <w:t> </w:t>
      </w:r>
      <w:r>
        <w:rPr>
          <w:sz w:val="22"/>
        </w:rPr>
        <w:t>into</w:t>
      </w:r>
      <w:r>
        <w:rPr>
          <w:spacing w:val="-1"/>
          <w:sz w:val="22"/>
        </w:rPr>
        <w:t> </w:t>
      </w:r>
      <w:r>
        <w:rPr>
          <w:sz w:val="22"/>
        </w:rPr>
        <w:t>Spanish</w:t>
      </w:r>
      <w:r>
        <w:rPr>
          <w:spacing w:val="-3"/>
          <w:sz w:val="22"/>
        </w:rPr>
        <w:t> </w:t>
      </w:r>
      <w:r>
        <w:rPr>
          <w:sz w:val="22"/>
        </w:rPr>
        <w:t>documents</w:t>
      </w:r>
      <w:r>
        <w:rPr>
          <w:spacing w:val="-1"/>
          <w:sz w:val="22"/>
        </w:rPr>
        <w:t> </w:t>
      </w:r>
      <w:r>
        <w:rPr>
          <w:sz w:val="22"/>
        </w:rPr>
        <w:t>requested</w:t>
      </w:r>
      <w:r>
        <w:rPr>
          <w:spacing w:val="-1"/>
          <w:sz w:val="22"/>
        </w:rPr>
        <w:t> </w:t>
      </w:r>
      <w:r>
        <w:rPr>
          <w:sz w:val="22"/>
        </w:rPr>
        <w:t>by</w:t>
      </w:r>
      <w:r>
        <w:rPr>
          <w:spacing w:val="-4"/>
          <w:sz w:val="22"/>
        </w:rPr>
        <w:t> </w:t>
      </w:r>
      <w:r>
        <w:rPr>
          <w:sz w:val="22"/>
        </w:rPr>
        <w:t>the</w:t>
      </w:r>
      <w:r>
        <w:rPr>
          <w:spacing w:val="-1"/>
          <w:sz w:val="22"/>
        </w:rPr>
        <w:t> </w:t>
      </w:r>
      <w:r>
        <w:rPr>
          <w:sz w:val="22"/>
        </w:rPr>
        <w:t>Commission in</w:t>
      </w:r>
      <w:r>
        <w:rPr>
          <w:spacing w:val="-4"/>
          <w:sz w:val="22"/>
        </w:rPr>
        <w:t> </w:t>
      </w:r>
      <w:r>
        <w:rPr>
          <w:sz w:val="22"/>
        </w:rPr>
        <w:t>the</w:t>
      </w:r>
      <w:r>
        <w:rPr>
          <w:spacing w:val="-3"/>
          <w:sz w:val="22"/>
        </w:rPr>
        <w:t> </w:t>
      </w:r>
      <w:r>
        <w:rPr>
          <w:sz w:val="22"/>
        </w:rPr>
        <w:t>fields</w:t>
      </w:r>
      <w:r>
        <w:rPr>
          <w:spacing w:val="-3"/>
          <w:sz w:val="22"/>
        </w:rPr>
        <w:t> </w:t>
      </w:r>
      <w:r>
        <w:rPr>
          <w:sz w:val="22"/>
        </w:rPr>
        <w:t>of</w:t>
      </w:r>
      <w:r>
        <w:rPr>
          <w:spacing w:val="-3"/>
          <w:sz w:val="22"/>
        </w:rPr>
        <w:t> </w:t>
      </w:r>
      <w:r>
        <w:rPr>
          <w:sz w:val="22"/>
        </w:rPr>
        <w:t>economics, finance and taxation;</w:t>
      </w:r>
    </w:p>
    <w:p>
      <w:pPr>
        <w:pStyle w:val="ListParagraph"/>
        <w:numPr>
          <w:ilvl w:val="1"/>
          <w:numId w:val="3"/>
        </w:numPr>
        <w:tabs>
          <w:tab w:pos="1092" w:val="left" w:leader="none"/>
          <w:tab w:pos="1093" w:val="left" w:leader="none"/>
        </w:tabs>
        <w:spacing w:line="267" w:lineRule="exact" w:before="0" w:after="0"/>
        <w:ind w:left="1092" w:right="0" w:hanging="361"/>
        <w:jc w:val="left"/>
        <w:rPr>
          <w:sz w:val="22"/>
        </w:rPr>
      </w:pPr>
      <w:r>
        <w:rPr>
          <w:sz w:val="22"/>
        </w:rPr>
        <w:t>to</w:t>
      </w:r>
      <w:r>
        <w:rPr>
          <w:spacing w:val="-5"/>
          <w:sz w:val="22"/>
        </w:rPr>
        <w:t> </w:t>
      </w:r>
      <w:r>
        <w:rPr>
          <w:sz w:val="22"/>
        </w:rPr>
        <w:t>revise,</w:t>
      </w:r>
      <w:r>
        <w:rPr>
          <w:spacing w:val="-6"/>
          <w:sz w:val="22"/>
        </w:rPr>
        <w:t> </w:t>
      </w:r>
      <w:r>
        <w:rPr>
          <w:sz w:val="22"/>
        </w:rPr>
        <w:t>review</w:t>
      </w:r>
      <w:r>
        <w:rPr>
          <w:spacing w:val="-3"/>
          <w:sz w:val="22"/>
        </w:rPr>
        <w:t> </w:t>
      </w:r>
      <w:r>
        <w:rPr>
          <w:sz w:val="22"/>
        </w:rPr>
        <w:t>and</w:t>
      </w:r>
      <w:r>
        <w:rPr>
          <w:spacing w:val="-6"/>
          <w:sz w:val="22"/>
        </w:rPr>
        <w:t> </w:t>
      </w:r>
      <w:r>
        <w:rPr>
          <w:sz w:val="22"/>
        </w:rPr>
        <w:t>evaluate</w:t>
      </w:r>
      <w:r>
        <w:rPr>
          <w:spacing w:val="-3"/>
          <w:sz w:val="22"/>
        </w:rPr>
        <w:t> </w:t>
      </w:r>
      <w:r>
        <w:rPr>
          <w:sz w:val="22"/>
        </w:rPr>
        <w:t>translations</w:t>
      </w:r>
      <w:r>
        <w:rPr>
          <w:spacing w:val="-3"/>
          <w:sz w:val="22"/>
        </w:rPr>
        <w:t> </w:t>
      </w:r>
      <w:r>
        <w:rPr>
          <w:sz w:val="22"/>
        </w:rPr>
        <w:t>made</w:t>
      </w:r>
      <w:r>
        <w:rPr>
          <w:spacing w:val="-3"/>
          <w:sz w:val="22"/>
        </w:rPr>
        <w:t> </w:t>
      </w:r>
      <w:r>
        <w:rPr>
          <w:sz w:val="22"/>
        </w:rPr>
        <w:t>by</w:t>
      </w:r>
      <w:r>
        <w:rPr>
          <w:spacing w:val="-6"/>
          <w:sz w:val="22"/>
        </w:rPr>
        <w:t> </w:t>
      </w:r>
      <w:r>
        <w:rPr>
          <w:sz w:val="22"/>
        </w:rPr>
        <w:t>internal</w:t>
      </w:r>
      <w:r>
        <w:rPr>
          <w:spacing w:val="-2"/>
          <w:sz w:val="22"/>
        </w:rPr>
        <w:t> </w:t>
      </w:r>
      <w:r>
        <w:rPr>
          <w:sz w:val="22"/>
        </w:rPr>
        <w:t>or</w:t>
      </w:r>
      <w:r>
        <w:rPr>
          <w:spacing w:val="-3"/>
          <w:sz w:val="22"/>
        </w:rPr>
        <w:t> </w:t>
      </w:r>
      <w:r>
        <w:rPr>
          <w:sz w:val="22"/>
        </w:rPr>
        <w:t>external</w:t>
      </w:r>
      <w:r>
        <w:rPr>
          <w:spacing w:val="-4"/>
          <w:sz w:val="22"/>
        </w:rPr>
        <w:t> </w:t>
      </w:r>
      <w:r>
        <w:rPr>
          <w:spacing w:val="-2"/>
          <w:sz w:val="22"/>
        </w:rPr>
        <w:t>translators;</w:t>
      </w:r>
    </w:p>
    <w:p>
      <w:pPr>
        <w:pStyle w:val="ListParagraph"/>
        <w:numPr>
          <w:ilvl w:val="1"/>
          <w:numId w:val="3"/>
        </w:numPr>
        <w:tabs>
          <w:tab w:pos="1092" w:val="left" w:leader="none"/>
          <w:tab w:pos="1093" w:val="left" w:leader="none"/>
        </w:tabs>
        <w:spacing w:line="269" w:lineRule="exact" w:before="0" w:after="0"/>
        <w:ind w:left="1092" w:right="0" w:hanging="361"/>
        <w:jc w:val="left"/>
        <w:rPr>
          <w:sz w:val="22"/>
        </w:rPr>
      </w:pPr>
      <w:r>
        <w:rPr>
          <w:sz w:val="22"/>
        </w:rPr>
        <w:t>to</w:t>
      </w:r>
      <w:r>
        <w:rPr>
          <w:spacing w:val="-3"/>
          <w:sz w:val="22"/>
        </w:rPr>
        <w:t> </w:t>
      </w:r>
      <w:r>
        <w:rPr>
          <w:sz w:val="22"/>
        </w:rPr>
        <w:t>meet</w:t>
      </w:r>
      <w:r>
        <w:rPr>
          <w:spacing w:val="-2"/>
          <w:sz w:val="22"/>
        </w:rPr>
        <w:t> </w:t>
      </w:r>
      <w:r>
        <w:rPr>
          <w:sz w:val="22"/>
        </w:rPr>
        <w:t>the</w:t>
      </w:r>
      <w:r>
        <w:rPr>
          <w:spacing w:val="-3"/>
          <w:sz w:val="22"/>
        </w:rPr>
        <w:t> </w:t>
      </w:r>
      <w:r>
        <w:rPr>
          <w:sz w:val="22"/>
        </w:rPr>
        <w:t>quality</w:t>
      </w:r>
      <w:r>
        <w:rPr>
          <w:spacing w:val="-5"/>
          <w:sz w:val="22"/>
        </w:rPr>
        <w:t> </w:t>
      </w:r>
      <w:r>
        <w:rPr>
          <w:sz w:val="22"/>
        </w:rPr>
        <w:t>requirements</w:t>
      </w:r>
      <w:r>
        <w:rPr>
          <w:spacing w:val="-3"/>
          <w:sz w:val="22"/>
        </w:rPr>
        <w:t> </w:t>
      </w:r>
      <w:r>
        <w:rPr>
          <w:sz w:val="22"/>
        </w:rPr>
        <w:t>set</w:t>
      </w:r>
      <w:r>
        <w:rPr>
          <w:spacing w:val="-5"/>
          <w:sz w:val="22"/>
        </w:rPr>
        <w:t> </w:t>
      </w:r>
      <w:r>
        <w:rPr>
          <w:sz w:val="22"/>
        </w:rPr>
        <w:t>out</w:t>
      </w:r>
      <w:r>
        <w:rPr>
          <w:spacing w:val="-4"/>
          <w:sz w:val="22"/>
        </w:rPr>
        <w:t> </w:t>
      </w:r>
      <w:r>
        <w:rPr>
          <w:sz w:val="22"/>
        </w:rPr>
        <w:t>in</w:t>
      </w:r>
      <w:r>
        <w:rPr>
          <w:spacing w:val="-3"/>
          <w:sz w:val="22"/>
        </w:rPr>
        <w:t> </w:t>
      </w:r>
      <w:r>
        <w:rPr>
          <w:sz w:val="22"/>
        </w:rPr>
        <w:t>DGT’s</w:t>
      </w:r>
      <w:r>
        <w:rPr>
          <w:spacing w:val="-4"/>
          <w:sz w:val="22"/>
        </w:rPr>
        <w:t> </w:t>
      </w:r>
      <w:r>
        <w:rPr>
          <w:spacing w:val="-2"/>
          <w:sz w:val="22"/>
        </w:rPr>
        <w:t>guidelines;</w:t>
      </w:r>
    </w:p>
    <w:p>
      <w:pPr>
        <w:pStyle w:val="ListParagraph"/>
        <w:numPr>
          <w:ilvl w:val="1"/>
          <w:numId w:val="3"/>
        </w:numPr>
        <w:tabs>
          <w:tab w:pos="1092" w:val="left" w:leader="none"/>
          <w:tab w:pos="1093" w:val="left" w:leader="none"/>
        </w:tabs>
        <w:spacing w:line="269" w:lineRule="exact" w:before="0" w:after="0"/>
        <w:ind w:left="1092" w:right="0" w:hanging="361"/>
        <w:jc w:val="left"/>
        <w:rPr>
          <w:sz w:val="22"/>
        </w:rPr>
      </w:pPr>
      <w:r>
        <w:rPr>
          <w:sz w:val="22"/>
        </w:rPr>
        <w:t>to</w:t>
      </w:r>
      <w:r>
        <w:rPr>
          <w:spacing w:val="-2"/>
          <w:sz w:val="22"/>
        </w:rPr>
        <w:t> </w:t>
      </w:r>
      <w:r>
        <w:rPr>
          <w:sz w:val="22"/>
        </w:rPr>
        <w:t>carry</w:t>
      </w:r>
      <w:r>
        <w:rPr>
          <w:spacing w:val="-5"/>
          <w:sz w:val="22"/>
        </w:rPr>
        <w:t> </w:t>
      </w:r>
      <w:r>
        <w:rPr>
          <w:sz w:val="22"/>
        </w:rPr>
        <w:t>out</w:t>
      </w:r>
      <w:r>
        <w:rPr>
          <w:spacing w:val="-4"/>
          <w:sz w:val="22"/>
        </w:rPr>
        <w:t> </w:t>
      </w:r>
      <w:r>
        <w:rPr>
          <w:sz w:val="22"/>
        </w:rPr>
        <w:t>terminology</w:t>
      </w:r>
      <w:r>
        <w:rPr>
          <w:spacing w:val="-5"/>
          <w:sz w:val="22"/>
        </w:rPr>
        <w:t> </w:t>
      </w:r>
      <w:r>
        <w:rPr>
          <w:sz w:val="22"/>
        </w:rPr>
        <w:t>work</w:t>
      </w:r>
      <w:r>
        <w:rPr>
          <w:spacing w:val="-5"/>
          <w:sz w:val="22"/>
        </w:rPr>
        <w:t> </w:t>
      </w:r>
      <w:r>
        <w:rPr>
          <w:sz w:val="22"/>
        </w:rPr>
        <w:t>in</w:t>
      </w:r>
      <w:r>
        <w:rPr>
          <w:spacing w:val="-2"/>
          <w:sz w:val="22"/>
        </w:rPr>
        <w:t> </w:t>
      </w:r>
      <w:r>
        <w:rPr>
          <w:sz w:val="22"/>
        </w:rPr>
        <w:t>his/her</w:t>
      </w:r>
      <w:r>
        <w:rPr>
          <w:spacing w:val="-4"/>
          <w:sz w:val="22"/>
        </w:rPr>
        <w:t> </w:t>
      </w:r>
      <w:r>
        <w:rPr>
          <w:sz w:val="22"/>
        </w:rPr>
        <w:t>fields</w:t>
      </w:r>
      <w:r>
        <w:rPr>
          <w:spacing w:val="-2"/>
          <w:sz w:val="22"/>
        </w:rPr>
        <w:t> </w:t>
      </w:r>
      <w:r>
        <w:rPr>
          <w:sz w:val="22"/>
        </w:rPr>
        <w:t>of</w:t>
      </w:r>
      <w:r>
        <w:rPr>
          <w:spacing w:val="-3"/>
          <w:sz w:val="22"/>
        </w:rPr>
        <w:t> </w:t>
      </w:r>
      <w:r>
        <w:rPr>
          <w:spacing w:val="-2"/>
          <w:sz w:val="22"/>
        </w:rPr>
        <w:t>specialisation;</w:t>
      </w:r>
    </w:p>
    <w:p>
      <w:pPr>
        <w:pStyle w:val="ListParagraph"/>
        <w:numPr>
          <w:ilvl w:val="1"/>
          <w:numId w:val="3"/>
        </w:numPr>
        <w:tabs>
          <w:tab w:pos="1092" w:val="left" w:leader="none"/>
          <w:tab w:pos="1093" w:val="left" w:leader="none"/>
        </w:tabs>
        <w:spacing w:line="240" w:lineRule="auto" w:before="0" w:after="0"/>
        <w:ind w:left="1092" w:right="107" w:hanging="361"/>
        <w:jc w:val="left"/>
        <w:rPr>
          <w:sz w:val="22"/>
        </w:rPr>
      </w:pPr>
      <w:r>
        <w:rPr>
          <w:sz w:val="22"/>
        </w:rPr>
        <w:t>to</w:t>
      </w:r>
      <w:r>
        <w:rPr>
          <w:spacing w:val="27"/>
          <w:sz w:val="22"/>
        </w:rPr>
        <w:t> </w:t>
      </w:r>
      <w:r>
        <w:rPr>
          <w:sz w:val="22"/>
        </w:rPr>
        <w:t>ensure</w:t>
      </w:r>
      <w:r>
        <w:rPr>
          <w:spacing w:val="28"/>
          <w:sz w:val="22"/>
        </w:rPr>
        <w:t> </w:t>
      </w:r>
      <w:r>
        <w:rPr>
          <w:sz w:val="22"/>
        </w:rPr>
        <w:t>linguistic</w:t>
      </w:r>
      <w:r>
        <w:rPr>
          <w:spacing w:val="28"/>
          <w:sz w:val="22"/>
        </w:rPr>
        <w:t> </w:t>
      </w:r>
      <w:r>
        <w:rPr>
          <w:sz w:val="22"/>
        </w:rPr>
        <w:t>and</w:t>
      </w:r>
      <w:r>
        <w:rPr>
          <w:spacing w:val="28"/>
          <w:sz w:val="22"/>
        </w:rPr>
        <w:t> </w:t>
      </w:r>
      <w:r>
        <w:rPr>
          <w:sz w:val="22"/>
        </w:rPr>
        <w:t>terminological</w:t>
      </w:r>
      <w:r>
        <w:rPr>
          <w:spacing w:val="28"/>
          <w:sz w:val="22"/>
        </w:rPr>
        <w:t> </w:t>
      </w:r>
      <w:r>
        <w:rPr>
          <w:sz w:val="22"/>
        </w:rPr>
        <w:t>consistency</w:t>
      </w:r>
      <w:r>
        <w:rPr>
          <w:spacing w:val="25"/>
          <w:sz w:val="22"/>
        </w:rPr>
        <w:t> </w:t>
      </w:r>
      <w:r>
        <w:rPr>
          <w:sz w:val="22"/>
        </w:rPr>
        <w:t>and</w:t>
      </w:r>
      <w:r>
        <w:rPr>
          <w:spacing w:val="28"/>
          <w:sz w:val="22"/>
        </w:rPr>
        <w:t> </w:t>
      </w:r>
      <w:r>
        <w:rPr>
          <w:sz w:val="22"/>
        </w:rPr>
        <w:t>harmonisation</w:t>
      </w:r>
      <w:r>
        <w:rPr>
          <w:spacing w:val="27"/>
          <w:sz w:val="22"/>
        </w:rPr>
        <w:t> </w:t>
      </w:r>
      <w:r>
        <w:rPr>
          <w:sz w:val="22"/>
        </w:rPr>
        <w:t>of</w:t>
      </w:r>
      <w:r>
        <w:rPr>
          <w:spacing w:val="28"/>
          <w:sz w:val="22"/>
        </w:rPr>
        <w:t> </w:t>
      </w:r>
      <w:r>
        <w:rPr>
          <w:sz w:val="22"/>
        </w:rPr>
        <w:t>translation</w:t>
      </w:r>
      <w:r>
        <w:rPr>
          <w:spacing w:val="27"/>
          <w:sz w:val="22"/>
        </w:rPr>
        <w:t> </w:t>
      </w:r>
      <w:r>
        <w:rPr>
          <w:sz w:val="22"/>
        </w:rPr>
        <w:t>work</w:t>
      </w:r>
      <w:r>
        <w:rPr>
          <w:spacing w:val="25"/>
          <w:sz w:val="22"/>
        </w:rPr>
        <w:t> </w:t>
      </w:r>
      <w:r>
        <w:rPr>
          <w:sz w:val="22"/>
        </w:rPr>
        <w:t>of</w:t>
      </w:r>
      <w:r>
        <w:rPr>
          <w:spacing w:val="28"/>
          <w:sz w:val="22"/>
        </w:rPr>
        <w:t> </w:t>
      </w:r>
      <w:r>
        <w:rPr>
          <w:sz w:val="22"/>
        </w:rPr>
        <w:t>the</w:t>
      </w:r>
      <w:r>
        <w:rPr>
          <w:spacing w:val="28"/>
          <w:sz w:val="22"/>
        </w:rPr>
        <w:t> </w:t>
      </w:r>
      <w:r>
        <w:rPr>
          <w:sz w:val="22"/>
        </w:rPr>
        <w:t>unit</w:t>
      </w:r>
      <w:r>
        <w:rPr>
          <w:spacing w:val="28"/>
          <w:sz w:val="22"/>
        </w:rPr>
        <w:t> </w:t>
      </w:r>
      <w:r>
        <w:rPr>
          <w:sz w:val="22"/>
        </w:rPr>
        <w:t>in his/her fields of specialisation.</w:t>
      </w:r>
    </w:p>
    <w:p>
      <w:pPr>
        <w:pStyle w:val="BodyText"/>
        <w:spacing w:before="4"/>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8"/>
        <w:rPr>
          <w:b/>
          <w:sz w:val="21"/>
        </w:rPr>
      </w:pPr>
    </w:p>
    <w:p>
      <w:pPr>
        <w:pStyle w:val="BodyText"/>
        <w:ind w:left="799" w:right="108"/>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2"/>
      </w:pPr>
      <w:r>
        <w:rPr/>
        <w:pict>
          <v:rect style="position:absolute;margin-left:42.599998pt;margin-top:13.97793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5"/>
        </w:numPr>
        <w:tabs>
          <w:tab w:pos="1081" w:val="left" w:leader="none"/>
        </w:tabs>
        <w:spacing w:line="240" w:lineRule="auto" w:before="62" w:after="0"/>
        <w:ind w:left="1080" w:right="108"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0"/>
          <w:numId w:val="5"/>
        </w:numPr>
        <w:tabs>
          <w:tab w:pos="1081" w:val="left" w:leader="none"/>
        </w:tabs>
        <w:spacing w:line="240" w:lineRule="auto" w:before="0" w:after="0"/>
        <w:ind w:left="1080" w:right="117"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5"/>
        </w:numPr>
        <w:tabs>
          <w:tab w:pos="1081" w:val="left" w:leader="none"/>
        </w:tabs>
        <w:spacing w:line="240" w:lineRule="auto" w:before="0" w:after="0"/>
        <w:ind w:left="1080" w:right="113"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40"/>
          <w:sz w:val="22"/>
        </w:rPr>
        <w:t> </w:t>
      </w:r>
      <w:r>
        <w:rPr>
          <w:spacing w:val="-2"/>
          <w:sz w:val="22"/>
        </w:rPr>
        <w:t>duties.</w:t>
      </w:r>
    </w:p>
    <w:p>
      <w:pPr>
        <w:pStyle w:val="BodyText"/>
        <w:spacing w:before="3"/>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10"/>
        <w:rPr>
          <w:b/>
          <w:sz w:val="15"/>
        </w:rPr>
      </w:pPr>
    </w:p>
    <w:p>
      <w:pPr>
        <w:pStyle w:val="BodyText"/>
        <w:spacing w:line="252" w:lineRule="exact" w:before="91"/>
        <w:ind w:left="1080"/>
      </w:pPr>
      <w:r>
        <w:rPr>
          <w:spacing w:val="-2"/>
          <w:u w:val="single"/>
        </w:rPr>
        <w:t>Diploma</w:t>
      </w:r>
    </w:p>
    <w:p>
      <w:pPr>
        <w:pStyle w:val="ListParagraph"/>
        <w:numPr>
          <w:ilvl w:val="1"/>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40" w:lineRule="auto" w:before="2" w:after="0"/>
        <w:ind w:left="1205" w:right="0" w:hanging="126"/>
        <w:jc w:val="left"/>
        <w:rPr>
          <w:sz w:val="22"/>
        </w:rPr>
      </w:pPr>
      <w:r>
        <w:rPr>
          <w:sz w:val="22"/>
        </w:rPr>
        <w:t>professional</w:t>
      </w:r>
      <w:r>
        <w:rPr>
          <w:spacing w:val="-6"/>
          <w:sz w:val="22"/>
        </w:rPr>
        <w:t> </w:t>
      </w:r>
      <w:r>
        <w:rPr>
          <w:sz w:val="22"/>
        </w:rPr>
        <w:t>training</w:t>
      </w:r>
      <w:r>
        <w:rPr>
          <w:spacing w:val="-6"/>
          <w:sz w:val="22"/>
        </w:rPr>
        <w:t> </w:t>
      </w:r>
      <w:r>
        <w:rPr>
          <w:sz w:val="22"/>
        </w:rPr>
        <w:t>or</w:t>
      </w:r>
      <w:r>
        <w:rPr>
          <w:spacing w:val="-2"/>
          <w:sz w:val="22"/>
        </w:rPr>
        <w:t> </w:t>
      </w:r>
      <w:r>
        <w:rPr>
          <w:sz w:val="22"/>
        </w:rPr>
        <w:t>professional</w:t>
      </w:r>
      <w:r>
        <w:rPr>
          <w:spacing w:val="-5"/>
          <w:sz w:val="22"/>
        </w:rPr>
        <w:t> </w:t>
      </w:r>
      <w:r>
        <w:rPr>
          <w:sz w:val="22"/>
        </w:rPr>
        <w:t>experience</w:t>
      </w:r>
      <w:r>
        <w:rPr>
          <w:spacing w:val="-5"/>
          <w:sz w:val="22"/>
        </w:rPr>
        <w:t> </w:t>
      </w:r>
      <w:r>
        <w:rPr>
          <w:sz w:val="22"/>
        </w:rPr>
        <w:t>of</w:t>
      </w:r>
      <w:r>
        <w:rPr>
          <w:spacing w:val="-4"/>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9"/>
        <w:rPr>
          <w:sz w:val="21"/>
        </w:rPr>
      </w:pPr>
    </w:p>
    <w:p>
      <w:pPr>
        <w:pStyle w:val="BodyText"/>
        <w:ind w:left="1080"/>
      </w:pPr>
      <w:r>
        <w:rPr/>
        <w:t>in</w:t>
      </w:r>
      <w:r>
        <w:rPr>
          <w:spacing w:val="80"/>
        </w:rPr>
        <w:t> </w:t>
      </w:r>
      <w:r>
        <w:rPr/>
        <w:t>the</w:t>
      </w:r>
      <w:r>
        <w:rPr>
          <w:spacing w:val="80"/>
        </w:rPr>
        <w:t> </w:t>
      </w:r>
      <w:r>
        <w:rPr/>
        <w:t>field(s):</w:t>
      </w:r>
      <w:r>
        <w:rPr>
          <w:spacing w:val="80"/>
        </w:rPr>
        <w:t> </w:t>
      </w:r>
      <w:r>
        <w:rPr/>
        <w:t>Economics,</w:t>
      </w:r>
      <w:r>
        <w:rPr>
          <w:spacing w:val="80"/>
        </w:rPr>
        <w:t> </w:t>
      </w:r>
      <w:r>
        <w:rPr/>
        <w:t>Finance,</w:t>
      </w:r>
      <w:r>
        <w:rPr>
          <w:spacing w:val="80"/>
        </w:rPr>
        <w:t> </w:t>
      </w:r>
      <w:r>
        <w:rPr/>
        <w:t>Financial</w:t>
      </w:r>
      <w:r>
        <w:rPr>
          <w:spacing w:val="80"/>
        </w:rPr>
        <w:t> </w:t>
      </w:r>
      <w:r>
        <w:rPr/>
        <w:t>Accounting</w:t>
      </w:r>
      <w:r>
        <w:rPr>
          <w:spacing w:val="80"/>
        </w:rPr>
        <w:t> </w:t>
      </w:r>
      <w:r>
        <w:rPr/>
        <w:t>or</w:t>
      </w:r>
      <w:r>
        <w:rPr>
          <w:spacing w:val="80"/>
        </w:rPr>
        <w:t> </w:t>
      </w:r>
      <w:r>
        <w:rPr/>
        <w:t>Translation</w:t>
      </w:r>
      <w:r>
        <w:rPr>
          <w:spacing w:val="80"/>
        </w:rPr>
        <w:t> </w:t>
      </w:r>
      <w:r>
        <w:rPr/>
        <w:t>with</w:t>
      </w:r>
      <w:r>
        <w:rPr>
          <w:spacing w:val="80"/>
        </w:rPr>
        <w:t> </w:t>
      </w:r>
      <w:r>
        <w:rPr/>
        <w:t>a</w:t>
      </w:r>
      <w:r>
        <w:rPr>
          <w:spacing w:val="80"/>
        </w:rPr>
        <w:t> </w:t>
      </w:r>
      <w:r>
        <w:rPr/>
        <w:t>specialisation</w:t>
      </w:r>
      <w:r>
        <w:rPr>
          <w:spacing w:val="80"/>
        </w:rPr>
        <w:t> </w:t>
      </w:r>
      <w:r>
        <w:rPr/>
        <w:t>in Economics and Finance</w:t>
      </w:r>
    </w:p>
    <w:p>
      <w:pPr>
        <w:pStyle w:val="BodyText"/>
        <w:spacing w:before="2"/>
      </w:pPr>
    </w:p>
    <w:p>
      <w:pPr>
        <w:pStyle w:val="BodyText"/>
        <w:ind w:left="1080"/>
      </w:pPr>
      <w:r>
        <w:rPr>
          <w:u w:val="single"/>
        </w:rPr>
        <w:t>Professional</w:t>
      </w:r>
      <w:r>
        <w:rPr>
          <w:spacing w:val="-4"/>
          <w:u w:val="single"/>
        </w:rPr>
        <w:t> </w:t>
      </w:r>
      <w:r>
        <w:rPr>
          <w:spacing w:val="-2"/>
          <w:u w:val="single"/>
        </w:rPr>
        <w:t>experience</w:t>
      </w:r>
    </w:p>
    <w:p>
      <w:pPr>
        <w:pStyle w:val="BodyText"/>
        <w:spacing w:before="10"/>
        <w:rPr>
          <w:sz w:val="13"/>
        </w:rPr>
      </w:pPr>
    </w:p>
    <w:p>
      <w:pPr>
        <w:pStyle w:val="BodyText"/>
        <w:spacing w:before="91"/>
        <w:ind w:left="1080"/>
      </w:pPr>
      <w:r>
        <w:rPr/>
        <w:t>At least three years of professional experience in any</w:t>
      </w:r>
      <w:r>
        <w:rPr>
          <w:spacing w:val="-2"/>
        </w:rPr>
        <w:t> </w:t>
      </w:r>
      <w:r>
        <w:rPr/>
        <w:t>of the following fields: economics, finance, financial accounting,</w:t>
      </w:r>
      <w:r>
        <w:rPr>
          <w:spacing w:val="-8"/>
        </w:rPr>
        <w:t> </w:t>
      </w:r>
      <w:r>
        <w:rPr/>
        <w:t>banking,</w:t>
      </w:r>
      <w:r>
        <w:rPr>
          <w:spacing w:val="-6"/>
        </w:rPr>
        <w:t> </w:t>
      </w:r>
      <w:r>
        <w:rPr/>
        <w:t>insurance,</w:t>
      </w:r>
      <w:r>
        <w:rPr>
          <w:spacing w:val="-6"/>
        </w:rPr>
        <w:t> </w:t>
      </w:r>
      <w:r>
        <w:rPr/>
        <w:t>taxation,</w:t>
      </w:r>
      <w:r>
        <w:rPr>
          <w:spacing w:val="-6"/>
        </w:rPr>
        <w:t> </w:t>
      </w:r>
      <w:r>
        <w:rPr/>
        <w:t>preferably</w:t>
      </w:r>
      <w:r>
        <w:rPr>
          <w:spacing w:val="-8"/>
        </w:rPr>
        <w:t> </w:t>
      </w:r>
      <w:r>
        <w:rPr/>
        <w:t>performing</w:t>
      </w:r>
      <w:r>
        <w:rPr>
          <w:spacing w:val="-8"/>
        </w:rPr>
        <w:t> </w:t>
      </w:r>
      <w:r>
        <w:rPr/>
        <w:t>translation</w:t>
      </w:r>
      <w:r>
        <w:rPr>
          <w:spacing w:val="-6"/>
        </w:rPr>
        <w:t> </w:t>
      </w:r>
      <w:r>
        <w:rPr/>
        <w:t>or</w:t>
      </w:r>
      <w:r>
        <w:rPr>
          <w:spacing w:val="-8"/>
        </w:rPr>
        <w:t> </w:t>
      </w:r>
      <w:r>
        <w:rPr/>
        <w:t>translation-related</w:t>
      </w:r>
      <w:r>
        <w:rPr>
          <w:spacing w:val="-5"/>
        </w:rPr>
        <w:t> </w:t>
      </w:r>
      <w:r>
        <w:rPr>
          <w:spacing w:val="-2"/>
        </w:rPr>
        <w:t>activities.</w:t>
      </w:r>
    </w:p>
    <w:p>
      <w:pPr>
        <w:pStyle w:val="BodyText"/>
        <w:spacing w:before="3"/>
      </w:pPr>
    </w:p>
    <w:p>
      <w:pPr>
        <w:pStyle w:val="BodyText"/>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0"/>
        <w:rPr>
          <w:sz w:val="13"/>
        </w:rPr>
      </w:pPr>
    </w:p>
    <w:p>
      <w:pPr>
        <w:pStyle w:val="BodyText"/>
        <w:spacing w:before="91"/>
        <w:ind w:left="1080"/>
      </w:pPr>
      <w:r>
        <w:rPr/>
        <w:t>Spanish</w:t>
      </w:r>
      <w:r>
        <w:rPr>
          <w:spacing w:val="39"/>
        </w:rPr>
        <w:t> </w:t>
      </w:r>
      <w:r>
        <w:rPr/>
        <w:t>at</w:t>
      </w:r>
      <w:r>
        <w:rPr>
          <w:spacing w:val="39"/>
        </w:rPr>
        <w:t> </w:t>
      </w:r>
      <w:r>
        <w:rPr/>
        <w:t>mother-tongue</w:t>
      </w:r>
      <w:r>
        <w:rPr>
          <w:spacing w:val="39"/>
        </w:rPr>
        <w:t> </w:t>
      </w:r>
      <w:r>
        <w:rPr/>
        <w:t>level</w:t>
      </w:r>
      <w:r>
        <w:rPr>
          <w:spacing w:val="39"/>
        </w:rPr>
        <w:t> </w:t>
      </w:r>
      <w:r>
        <w:rPr/>
        <w:t>and</w:t>
      </w:r>
      <w:r>
        <w:rPr>
          <w:spacing w:val="39"/>
        </w:rPr>
        <w:t> </w:t>
      </w:r>
      <w:r>
        <w:rPr/>
        <w:t>very</w:t>
      </w:r>
      <w:r>
        <w:rPr>
          <w:spacing w:val="36"/>
        </w:rPr>
        <w:t> </w:t>
      </w:r>
      <w:r>
        <w:rPr/>
        <w:t>good</w:t>
      </w:r>
      <w:r>
        <w:rPr>
          <w:spacing w:val="38"/>
        </w:rPr>
        <w:t> </w:t>
      </w:r>
      <w:r>
        <w:rPr/>
        <w:t>command</w:t>
      </w:r>
      <w:r>
        <w:rPr>
          <w:spacing w:val="39"/>
        </w:rPr>
        <w:t> </w:t>
      </w:r>
      <w:r>
        <w:rPr/>
        <w:t>of</w:t>
      </w:r>
      <w:r>
        <w:rPr>
          <w:spacing w:val="39"/>
        </w:rPr>
        <w:t> </w:t>
      </w:r>
      <w:r>
        <w:rPr/>
        <w:t>English.</w:t>
      </w:r>
      <w:r>
        <w:rPr>
          <w:spacing w:val="39"/>
        </w:rPr>
        <w:t> </w:t>
      </w:r>
      <w:r>
        <w:rPr/>
        <w:t>Knowledge</w:t>
      </w:r>
      <w:r>
        <w:rPr>
          <w:spacing w:val="39"/>
        </w:rPr>
        <w:t> </w:t>
      </w:r>
      <w:r>
        <w:rPr/>
        <w:t>of</w:t>
      </w:r>
      <w:r>
        <w:rPr>
          <w:spacing w:val="39"/>
        </w:rPr>
        <w:t> </w:t>
      </w:r>
      <w:r>
        <w:rPr/>
        <w:t>other</w:t>
      </w:r>
      <w:r>
        <w:rPr>
          <w:spacing w:val="39"/>
        </w:rPr>
        <w:t> </w:t>
      </w:r>
      <w:r>
        <w:rPr/>
        <w:t>official</w:t>
      </w:r>
      <w:r>
        <w:rPr>
          <w:spacing w:val="39"/>
        </w:rPr>
        <w:t> </w:t>
      </w:r>
      <w:r>
        <w:rPr/>
        <w:t>EU languages, in particular French, would be considered an asset.</w:t>
      </w:r>
    </w:p>
    <w:p>
      <w:pPr>
        <w:pStyle w:val="BodyText"/>
        <w:spacing w:before="7"/>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spacing w:before="1"/>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line="251" w:lineRule="exact"/>
        <w:ind w:left="799"/>
        <w:jc w:val="both"/>
      </w:pPr>
      <w:r>
        <w:rPr/>
        <w:t>Candidates</w:t>
      </w:r>
      <w:r>
        <w:rPr>
          <w:spacing w:val="-2"/>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5"/>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BodyText"/>
        <w:spacing w:before="6"/>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spacing w:after="0"/>
        <w:jc w:val="both"/>
        <w:sectPr>
          <w:pgSz w:w="11910" w:h="16840"/>
          <w:pgMar w:header="0" w:footer="690" w:top="1300" w:bottom="880" w:left="480" w:right="740"/>
        </w:sectPr>
      </w:pPr>
    </w:p>
    <w:p>
      <w:pPr>
        <w:pStyle w:val="BodyText"/>
        <w:spacing w:before="68"/>
        <w:ind w:left="799" w:right="283"/>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ind w:left="799" w:firstLine="0"/>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4"/>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pict>
          <v:rect style="position:absolute;margin-left:519.580017pt;margin-top:11.469532pt;width:5.16pt;height:.48001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2"/>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3"/>
        <w:jc w:val="both"/>
      </w:pPr>
      <w:r>
        <w:rPr/>
        <w:pict>
          <v:rect style="position:absolute;margin-left:230.330002pt;margin-top:24.069487pt;width:3.72pt;height:.48004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667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2" w:hanging="361"/>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165" w:hanging="361"/>
      </w:pPr>
      <w:rPr>
        <w:rFonts w:hint="default"/>
        <w:lang w:val="en-US" w:eastAsia="en-US" w:bidi="ar-SA"/>
      </w:rPr>
    </w:lvl>
    <w:lvl w:ilvl="3">
      <w:start w:val="0"/>
      <w:numFmt w:val="bullet"/>
      <w:lvlText w:val="•"/>
      <w:lvlJc w:val="left"/>
      <w:pPr>
        <w:ind w:left="3230" w:hanging="361"/>
      </w:pPr>
      <w:rPr>
        <w:rFonts w:hint="default"/>
        <w:lang w:val="en-US" w:eastAsia="en-US" w:bidi="ar-SA"/>
      </w:rPr>
    </w:lvl>
    <w:lvl w:ilvl="4">
      <w:start w:val="0"/>
      <w:numFmt w:val="bullet"/>
      <w:lvlText w:val="•"/>
      <w:lvlJc w:val="left"/>
      <w:pPr>
        <w:ind w:left="4295"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425" w:hanging="361"/>
      </w:pPr>
      <w:rPr>
        <w:rFonts w:hint="default"/>
        <w:lang w:val="en-US" w:eastAsia="en-US" w:bidi="ar-SA"/>
      </w:rPr>
    </w:lvl>
    <w:lvl w:ilvl="7">
      <w:start w:val="0"/>
      <w:numFmt w:val="bullet"/>
      <w:lvlText w:val="•"/>
      <w:lvlJc w:val="left"/>
      <w:pPr>
        <w:ind w:left="7490" w:hanging="361"/>
      </w:pPr>
      <w:rPr>
        <w:rFonts w:hint="default"/>
        <w:lang w:val="en-US" w:eastAsia="en-US" w:bidi="ar-SA"/>
      </w:rPr>
    </w:lvl>
    <w:lvl w:ilvl="8">
      <w:start w:val="0"/>
      <w:numFmt w:val="bullet"/>
      <w:lvlText w:val="•"/>
      <w:lvlJc w:val="left"/>
      <w:pPr>
        <w:ind w:left="8556" w:hanging="361"/>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antiago.Del-Pino@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2023-02-16T16:39:45Z</dcterms:created>
  <dcterms:modified xsi:type="dcterms:W3CDTF">2023-02-16T16:39:45Z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