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7" w:firstLine="0"/>
        <w:jc w:val="center"/>
        <w:rPr>
          <w:b/>
          <w:sz w:val="24"/>
        </w:rPr>
      </w:pPr>
      <w:r>
        <w:rPr>
          <w:b/>
          <w:spacing w:val="-2"/>
          <w:sz w:val="24"/>
        </w:rPr>
        <w:t>VACANCY</w:t>
      </w:r>
      <w:r>
        <w:rPr>
          <w:b/>
          <w:spacing w:val="-3"/>
          <w:sz w:val="24"/>
        </w:rPr>
        <w:t> </w:t>
      </w:r>
      <w:r>
        <w:rPr>
          <w:b/>
          <w:spacing w:val="-2"/>
          <w:sz w:val="24"/>
        </w:rPr>
        <w:t>NOTICE</w:t>
      </w:r>
    </w:p>
    <w:p>
      <w:pPr>
        <w:pStyle w:val="BodyText"/>
        <w:spacing w:before="11"/>
        <w:rPr>
          <w:b/>
          <w:sz w:val="23"/>
        </w:rPr>
      </w:pPr>
    </w:p>
    <w:p>
      <w:pPr>
        <w:spacing w:before="0"/>
        <w:ind w:left="1296" w:right="1632" w:firstLine="0"/>
        <w:jc w:val="center"/>
        <w:rPr>
          <w:b/>
          <w:sz w:val="24"/>
        </w:rPr>
      </w:pPr>
      <w:r>
        <w:rPr>
          <w:b/>
          <w:sz w:val="24"/>
        </w:rPr>
        <w:t>SECONDED</w:t>
      </w:r>
      <w:r>
        <w:rPr>
          <w:b/>
          <w:spacing w:val="-8"/>
          <w:sz w:val="24"/>
        </w:rPr>
        <w:t> </w:t>
      </w:r>
      <w:r>
        <w:rPr>
          <w:b/>
          <w:sz w:val="24"/>
        </w:rPr>
        <w:t>NATIONAL</w:t>
      </w:r>
      <w:r>
        <w:rPr>
          <w:b/>
          <w:spacing w:val="-7"/>
          <w:sz w:val="24"/>
        </w:rPr>
        <w:t> </w:t>
      </w:r>
      <w:r>
        <w:rPr>
          <w:b/>
          <w:sz w:val="24"/>
        </w:rPr>
        <w:t>EXPERT</w:t>
      </w:r>
      <w:r>
        <w:rPr>
          <w:b/>
          <w:spacing w:val="-7"/>
          <w:sz w:val="24"/>
        </w:rPr>
        <w:t> </w:t>
      </w:r>
      <w:r>
        <w:rPr>
          <w:b/>
          <w:sz w:val="24"/>
        </w:rPr>
        <w:t>TO</w:t>
      </w:r>
      <w:r>
        <w:rPr>
          <w:b/>
          <w:spacing w:val="-8"/>
          <w:sz w:val="24"/>
        </w:rPr>
        <w:t> </w:t>
      </w:r>
      <w:r>
        <w:rPr>
          <w:b/>
          <w:sz w:val="24"/>
        </w:rPr>
        <w:t>THE</w:t>
      </w:r>
      <w:r>
        <w:rPr>
          <w:b/>
          <w:spacing w:val="-9"/>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78"/>
              <w:rPr>
                <w:b/>
                <w:sz w:val="22"/>
              </w:rPr>
            </w:pPr>
            <w:r>
              <w:rPr>
                <w:b/>
                <w:sz w:val="22"/>
              </w:rPr>
              <w:t>EAC.D.1</w:t>
            </w:r>
            <w:r>
              <w:rPr>
                <w:b/>
                <w:spacing w:val="-4"/>
                <w:sz w:val="22"/>
              </w:rPr>
              <w:t> </w:t>
            </w:r>
            <w:r>
              <w:rPr>
                <w:b/>
                <w:sz w:val="22"/>
              </w:rPr>
              <w:t>–</w:t>
            </w:r>
            <w:r>
              <w:rPr>
                <w:b/>
                <w:spacing w:val="-4"/>
                <w:sz w:val="22"/>
              </w:rPr>
              <w:t> </w:t>
            </w:r>
            <w:r>
              <w:rPr>
                <w:b/>
                <w:sz w:val="22"/>
              </w:rPr>
              <w:t>Cultural</w:t>
            </w:r>
            <w:r>
              <w:rPr>
                <w:b/>
                <w:spacing w:val="-5"/>
                <w:sz w:val="22"/>
              </w:rPr>
              <w:t> </w:t>
            </w:r>
            <w:r>
              <w:rPr>
                <w:b/>
                <w:spacing w:val="-2"/>
                <w:sz w:val="22"/>
              </w:rPr>
              <w:t>Policy</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Catherine</w:t>
            </w:r>
            <w:r>
              <w:rPr>
                <w:b/>
                <w:spacing w:val="-4"/>
                <w:sz w:val="22"/>
              </w:rPr>
              <w:t> </w:t>
            </w:r>
            <w:r>
              <w:rPr>
                <w:b/>
                <w:spacing w:val="-2"/>
                <w:sz w:val="22"/>
              </w:rPr>
              <w:t>Magnant</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u w:val="single"/>
                </w:rPr>
                <w:t>Catherine.magnant@ec.europa.eu</w:t>
              </w:r>
            </w:hyperlink>
          </w:p>
        </w:tc>
      </w:tr>
      <w:tr>
        <w:trPr>
          <w:trHeight w:val="251" w:hRule="atLeast"/>
        </w:trPr>
        <w:tc>
          <w:tcPr>
            <w:tcW w:w="4359" w:type="dxa"/>
            <w:tcBorders>
              <w:top w:val="nil"/>
              <w:bottom w:val="nil"/>
            </w:tcBorders>
          </w:tcPr>
          <w:p>
            <w:pPr>
              <w:pStyle w:val="TableParagraph"/>
              <w:spacing w:line="232" w:lineRule="exact"/>
              <w:rPr>
                <w:b/>
                <w:sz w:val="22"/>
              </w:rPr>
            </w:pPr>
            <w:r>
              <w:rPr>
                <w:b/>
                <w:spacing w:val="-2"/>
                <w:sz w:val="22"/>
              </w:rPr>
              <w:t>Telephone:</w:t>
            </w:r>
          </w:p>
        </w:tc>
        <w:tc>
          <w:tcPr>
            <w:tcW w:w="5596" w:type="dxa"/>
            <w:gridSpan w:val="2"/>
            <w:tcBorders>
              <w:top w:val="nil"/>
              <w:bottom w:val="nil"/>
            </w:tcBorders>
          </w:tcPr>
          <w:p>
            <w:pPr>
              <w:pStyle w:val="TableParagraph"/>
              <w:spacing w:line="232" w:lineRule="exact"/>
              <w:rPr>
                <w:b/>
                <w:sz w:val="22"/>
              </w:rPr>
            </w:pPr>
            <w:r>
              <w:rPr>
                <w:b/>
                <w:sz w:val="22"/>
              </w:rPr>
              <w:t>+</w:t>
            </w:r>
            <w:r>
              <w:rPr>
                <w:b/>
                <w:spacing w:val="-1"/>
                <w:sz w:val="22"/>
              </w:rPr>
              <w:t> </w:t>
            </w:r>
            <w:r>
              <w:rPr>
                <w:b/>
                <w:sz w:val="22"/>
              </w:rPr>
              <w:t>32 2 </w:t>
            </w:r>
            <w:r>
              <w:rPr>
                <w:b/>
                <w:spacing w:val="-2"/>
                <w:sz w:val="22"/>
              </w:rPr>
              <w:t>296.53.76</w:t>
            </w:r>
          </w:p>
        </w:tc>
      </w:tr>
      <w:tr>
        <w:trPr>
          <w:trHeight w:val="263" w:hRule="atLeast"/>
        </w:trPr>
        <w:tc>
          <w:tcPr>
            <w:tcW w:w="4359" w:type="dxa"/>
            <w:tcBorders>
              <w:top w:val="nil"/>
              <w:bottom w:val="nil"/>
            </w:tcBorders>
          </w:tcPr>
          <w:p>
            <w:pPr>
              <w:pStyle w:val="TableParagraph"/>
              <w:spacing w:line="244" w:lineRule="exact"/>
              <w:rPr>
                <w:b/>
                <w:sz w:val="22"/>
              </w:rPr>
            </w:pPr>
            <w:r>
              <w:rPr>
                <w:b/>
                <w:sz w:val="22"/>
              </w:rPr>
              <w:t>Number</w:t>
            </w:r>
            <w:r>
              <w:rPr>
                <w:b/>
                <w:spacing w:val="-4"/>
                <w:sz w:val="22"/>
              </w:rPr>
              <w:t> </w:t>
            </w:r>
            <w:r>
              <w:rPr>
                <w:b/>
                <w:sz w:val="22"/>
              </w:rPr>
              <w:t>of</w:t>
            </w:r>
            <w:r>
              <w:rPr>
                <w:b/>
                <w:spacing w:val="-2"/>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44" w:lineRule="exact"/>
              <w:rPr>
                <w:sz w:val="24"/>
              </w:rPr>
            </w:pPr>
            <w:r>
              <w:rPr>
                <w:sz w:val="24"/>
              </w:rPr>
              <w:t>1</w:t>
            </w:r>
          </w:p>
        </w:tc>
      </w:tr>
      <w:tr>
        <w:trPr>
          <w:trHeight w:val="254" w:hRule="atLeast"/>
        </w:trPr>
        <w:tc>
          <w:tcPr>
            <w:tcW w:w="4359" w:type="dxa"/>
            <w:tcBorders>
              <w:top w:val="nil"/>
              <w:bottom w:val="nil"/>
            </w:tcBorders>
          </w:tcPr>
          <w:p>
            <w:pPr>
              <w:pStyle w:val="TableParagraph"/>
              <w:spacing w:line="235"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25" w:lineRule="exact" w:before="10"/>
              <w:rPr>
                <w:b/>
                <w:sz w:val="22"/>
              </w:rPr>
            </w:pPr>
            <w:r>
              <w:rPr>
                <w:b/>
                <w:sz w:val="22"/>
              </w:rPr>
              <w:t>3</w:t>
            </w:r>
            <w:r>
              <w:rPr>
                <w:b/>
                <w:sz w:val="22"/>
                <w:vertAlign w:val="superscript"/>
              </w:rPr>
              <w:t>rd</w:t>
            </w:r>
            <w:r>
              <w:rPr>
                <w:b/>
                <w:spacing w:val="-3"/>
                <w:sz w:val="22"/>
                <w:vertAlign w:val="baseline"/>
              </w:rPr>
              <w:t> </w:t>
            </w:r>
            <w:r>
              <w:rPr>
                <w:b/>
                <w:sz w:val="22"/>
                <w:vertAlign w:val="baseline"/>
              </w:rPr>
              <w:t>quarter</w:t>
            </w:r>
            <w:r>
              <w:rPr>
                <w:b/>
                <w:spacing w:val="-2"/>
                <w:sz w:val="22"/>
                <w:vertAlign w:val="baseline"/>
              </w:rPr>
              <w:t> </w:t>
            </w:r>
            <w:r>
              <w:rPr>
                <w:b/>
                <w:sz w:val="22"/>
                <w:vertAlign w:val="baseline"/>
              </w:rPr>
              <w:t>2023</w:t>
            </w:r>
            <w:r>
              <w:rPr>
                <w:b/>
                <w:spacing w:val="-4"/>
                <w:sz w:val="22"/>
                <w:vertAlign w:val="baseline"/>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26" w:lineRule="exact" w:before="7"/>
              <w:rPr>
                <w:b/>
                <w:sz w:val="22"/>
              </w:rPr>
            </w:pPr>
            <w:r>
              <w:rPr>
                <w:b/>
                <w:sz w:val="22"/>
              </w:rPr>
              <w:t>2 </w:t>
            </w:r>
            <w:r>
              <w:rPr>
                <w:b/>
                <w:spacing w:val="-2"/>
                <w:sz w:val="22"/>
              </w:rPr>
              <w:t>years</w:t>
            </w:r>
            <w:r>
              <w:rPr>
                <w:b/>
                <w:spacing w:val="-2"/>
                <w:sz w:val="22"/>
                <w:vertAlign w:val="superscript"/>
              </w:rPr>
              <w:t>1</w:t>
            </w:r>
          </w:p>
        </w:tc>
      </w:tr>
      <w:tr>
        <w:trPr>
          <w:trHeight w:val="444" w:hRule="atLeast"/>
        </w:trPr>
        <w:tc>
          <w:tcPr>
            <w:tcW w:w="4359" w:type="dxa"/>
            <w:tcBorders>
              <w:top w:val="nil"/>
              <w:bottom w:val="nil"/>
            </w:tcBorders>
          </w:tcPr>
          <w:p>
            <w:pPr>
              <w:pStyle w:val="TableParagraph"/>
              <w:spacing w:line="237" w:lineRule="exact"/>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6" w:type="dxa"/>
            <w:gridSpan w:val="2"/>
            <w:tcBorders>
              <w:top w:val="nil"/>
            </w:tcBorders>
          </w:tcPr>
          <w:p>
            <w:pPr>
              <w:pStyle w:val="TableParagraph"/>
              <w:spacing w:before="6"/>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3"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1"/>
                <w:sz w:val="24"/>
              </w:rPr>
              <w:t> </w:t>
            </w:r>
            <w:r>
              <w:rPr>
                <w:b/>
                <w:sz w:val="24"/>
              </w:rPr>
              <w:t>agreement</w:t>
            </w:r>
            <w:r>
              <w:rPr>
                <w:b/>
                <w:spacing w:val="-10"/>
                <w:sz w:val="24"/>
              </w:rPr>
              <w:t> </w:t>
            </w:r>
            <w:r>
              <w:rPr>
                <w:b/>
                <w:sz w:val="24"/>
              </w:rPr>
              <w:t>(Iceland,</w:t>
            </w:r>
            <w:r>
              <w:rPr>
                <w:b/>
                <w:spacing w:val="-9"/>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4"/>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right="114"/>
        <w:jc w:val="both"/>
      </w:pPr>
      <w:r>
        <w:rPr/>
        <w:t>We propose a post for secondment to the European Commission to work within a dynamic Unit responsible for cultural policy (D1).</w:t>
      </w:r>
    </w:p>
    <w:p>
      <w:pPr>
        <w:pStyle w:val="BodyText"/>
        <w:ind w:left="372" w:right="108"/>
        <w:jc w:val="both"/>
      </w:pPr>
      <w:r>
        <w:rPr/>
        <w:t>The work of the ‘Cultural Policy' Unit is rooted in the New European Agenda for Culture, which was adopted in 2018,</w:t>
      </w:r>
      <w:r>
        <w:rPr>
          <w:spacing w:val="-1"/>
        </w:rPr>
        <w:t> </w:t>
      </w:r>
      <w:r>
        <w:rPr/>
        <w:t>and</w:t>
      </w:r>
      <w:r>
        <w:rPr>
          <w:spacing w:val="-3"/>
        </w:rPr>
        <w:t> </w:t>
      </w:r>
      <w:r>
        <w:rPr/>
        <w:t>endorsed</w:t>
      </w:r>
      <w:r>
        <w:rPr>
          <w:spacing w:val="-1"/>
        </w:rPr>
        <w:t> </w:t>
      </w:r>
      <w:r>
        <w:rPr/>
        <w:t>by</w:t>
      </w:r>
      <w:r>
        <w:rPr>
          <w:spacing w:val="-4"/>
        </w:rPr>
        <w:t> </w:t>
      </w:r>
      <w:r>
        <w:rPr/>
        <w:t>the</w:t>
      </w:r>
      <w:r>
        <w:rPr>
          <w:spacing w:val="-3"/>
        </w:rPr>
        <w:t> </w:t>
      </w:r>
      <w:r>
        <w:rPr/>
        <w:t>Council.</w:t>
      </w:r>
      <w:r>
        <w:rPr>
          <w:spacing w:val="-4"/>
        </w:rPr>
        <w:t> </w:t>
      </w:r>
      <w:r>
        <w:rPr/>
        <w:t>The</w:t>
      </w:r>
      <w:r>
        <w:rPr>
          <w:spacing w:val="-1"/>
        </w:rPr>
        <w:t> </w:t>
      </w:r>
      <w:r>
        <w:rPr/>
        <w:t>Agenda</w:t>
      </w:r>
      <w:r>
        <w:rPr>
          <w:spacing w:val="-1"/>
        </w:rPr>
        <w:t> </w:t>
      </w:r>
      <w:r>
        <w:rPr/>
        <w:t>provides</w:t>
      </w:r>
      <w:r>
        <w:rPr>
          <w:spacing w:val="-1"/>
        </w:rPr>
        <w:t> </w:t>
      </w:r>
      <w:r>
        <w:rPr/>
        <w:t>strategic</w:t>
      </w:r>
      <w:r>
        <w:rPr>
          <w:spacing w:val="-1"/>
        </w:rPr>
        <w:t> </w:t>
      </w:r>
      <w:r>
        <w:rPr/>
        <w:t>guidance</w:t>
      </w:r>
      <w:r>
        <w:rPr>
          <w:spacing w:val="-3"/>
        </w:rPr>
        <w:t> </w:t>
      </w:r>
      <w:r>
        <w:rPr/>
        <w:t>setting</w:t>
      </w:r>
      <w:r>
        <w:rPr>
          <w:spacing w:val="-4"/>
        </w:rPr>
        <w:t> </w:t>
      </w:r>
      <w:r>
        <w:rPr/>
        <w:t>out new</w:t>
      </w:r>
      <w:r>
        <w:rPr>
          <w:spacing w:val="-1"/>
        </w:rPr>
        <w:t> </w:t>
      </w:r>
      <w:r>
        <w:rPr/>
        <w:t>approaches</w:t>
      </w:r>
      <w:r>
        <w:rPr>
          <w:spacing w:val="-3"/>
        </w:rPr>
        <w:t> </w:t>
      </w:r>
      <w:r>
        <w:rPr/>
        <w:t>for</w:t>
      </w:r>
      <w:r>
        <w:rPr>
          <w:spacing w:val="-3"/>
        </w:rPr>
        <w:t> </w:t>
      </w:r>
      <w:r>
        <w:rPr/>
        <w:t>cultural involvement and giving culture </w:t>
      </w:r>
      <w:r>
        <w:rPr>
          <w:color w:val="FF0000"/>
        </w:rPr>
        <w:t>a</w:t>
      </w:r>
      <w:r>
        <w:rPr/>
        <w:t>nd cultural heritage a more prominent role in the European Union. The Agenda’s three main objectives are to promote:</w:t>
      </w:r>
    </w:p>
    <w:p>
      <w:pPr>
        <w:pStyle w:val="BodyText"/>
      </w:pPr>
    </w:p>
    <w:p>
      <w:pPr>
        <w:pStyle w:val="ListParagraph"/>
        <w:numPr>
          <w:ilvl w:val="1"/>
          <w:numId w:val="3"/>
        </w:numPr>
        <w:tabs>
          <w:tab w:pos="1136" w:val="left" w:leader="none"/>
        </w:tabs>
        <w:spacing w:line="240" w:lineRule="auto" w:before="0" w:after="0"/>
        <w:ind w:left="1135" w:right="104" w:hanging="252"/>
        <w:jc w:val="left"/>
        <w:rPr>
          <w:sz w:val="22"/>
        </w:rPr>
      </w:pPr>
      <w:r>
        <w:rPr>
          <w:sz w:val="22"/>
        </w:rPr>
        <w:t>Social</w:t>
      </w:r>
      <w:r>
        <w:rPr>
          <w:spacing w:val="34"/>
          <w:sz w:val="22"/>
        </w:rPr>
        <w:t> </w:t>
      </w:r>
      <w:r>
        <w:rPr>
          <w:sz w:val="22"/>
        </w:rPr>
        <w:t>dimension:</w:t>
      </w:r>
      <w:r>
        <w:rPr>
          <w:spacing w:val="34"/>
          <w:sz w:val="22"/>
        </w:rPr>
        <w:t> </w:t>
      </w:r>
      <w:r>
        <w:rPr>
          <w:sz w:val="22"/>
        </w:rPr>
        <w:t>harnessing</w:t>
      </w:r>
      <w:r>
        <w:rPr>
          <w:spacing w:val="31"/>
          <w:sz w:val="22"/>
        </w:rPr>
        <w:t> </w:t>
      </w:r>
      <w:r>
        <w:rPr>
          <w:sz w:val="22"/>
        </w:rPr>
        <w:t>the</w:t>
      </w:r>
      <w:r>
        <w:rPr>
          <w:spacing w:val="34"/>
          <w:sz w:val="22"/>
        </w:rPr>
        <w:t> </w:t>
      </w:r>
      <w:r>
        <w:rPr>
          <w:sz w:val="22"/>
        </w:rPr>
        <w:t>power</w:t>
      </w:r>
      <w:r>
        <w:rPr>
          <w:spacing w:val="35"/>
          <w:sz w:val="22"/>
        </w:rPr>
        <w:t> </w:t>
      </w:r>
      <w:r>
        <w:rPr>
          <w:sz w:val="22"/>
        </w:rPr>
        <w:t>of</w:t>
      </w:r>
      <w:r>
        <w:rPr>
          <w:spacing w:val="34"/>
          <w:sz w:val="22"/>
        </w:rPr>
        <w:t> </w:t>
      </w:r>
      <w:r>
        <w:rPr>
          <w:sz w:val="22"/>
        </w:rPr>
        <w:t>culture</w:t>
      </w:r>
      <w:r>
        <w:rPr>
          <w:spacing w:val="34"/>
          <w:sz w:val="22"/>
        </w:rPr>
        <w:t> </w:t>
      </w:r>
      <w:r>
        <w:rPr>
          <w:sz w:val="22"/>
        </w:rPr>
        <w:t>and</w:t>
      </w:r>
      <w:r>
        <w:rPr>
          <w:spacing w:val="33"/>
          <w:sz w:val="22"/>
        </w:rPr>
        <w:t> </w:t>
      </w:r>
      <w:r>
        <w:rPr>
          <w:sz w:val="22"/>
        </w:rPr>
        <w:t>cultural</w:t>
      </w:r>
      <w:r>
        <w:rPr>
          <w:spacing w:val="35"/>
          <w:sz w:val="22"/>
        </w:rPr>
        <w:t> </w:t>
      </w:r>
      <w:r>
        <w:rPr>
          <w:sz w:val="22"/>
        </w:rPr>
        <w:t>diversity</w:t>
      </w:r>
      <w:r>
        <w:rPr>
          <w:spacing w:val="31"/>
          <w:sz w:val="22"/>
        </w:rPr>
        <w:t> </w:t>
      </w:r>
      <w:r>
        <w:rPr>
          <w:sz w:val="22"/>
        </w:rPr>
        <w:t>for</w:t>
      </w:r>
      <w:r>
        <w:rPr>
          <w:spacing w:val="32"/>
          <w:sz w:val="22"/>
        </w:rPr>
        <w:t> </w:t>
      </w:r>
      <w:r>
        <w:rPr>
          <w:sz w:val="22"/>
        </w:rPr>
        <w:t>social</w:t>
      </w:r>
      <w:r>
        <w:rPr>
          <w:spacing w:val="34"/>
          <w:sz w:val="22"/>
        </w:rPr>
        <w:t> </w:t>
      </w:r>
      <w:r>
        <w:rPr>
          <w:sz w:val="22"/>
        </w:rPr>
        <w:t>cohesion</w:t>
      </w:r>
      <w:r>
        <w:rPr>
          <w:spacing w:val="33"/>
          <w:sz w:val="22"/>
        </w:rPr>
        <w:t> </w:t>
      </w:r>
      <w:r>
        <w:rPr>
          <w:sz w:val="22"/>
        </w:rPr>
        <w:t>and</w:t>
      </w:r>
      <w:r>
        <w:rPr>
          <w:spacing w:val="34"/>
          <w:sz w:val="22"/>
        </w:rPr>
        <w:t> </w:t>
      </w:r>
      <w:r>
        <w:rPr>
          <w:sz w:val="22"/>
        </w:rPr>
        <w:t>well- </w:t>
      </w:r>
      <w:r>
        <w:rPr>
          <w:spacing w:val="-2"/>
          <w:sz w:val="22"/>
        </w:rPr>
        <w:t>being;</w:t>
      </w:r>
    </w:p>
    <w:p>
      <w:pPr>
        <w:pStyle w:val="ListParagraph"/>
        <w:numPr>
          <w:ilvl w:val="1"/>
          <w:numId w:val="3"/>
        </w:numPr>
        <w:tabs>
          <w:tab w:pos="1136" w:val="left" w:leader="none"/>
        </w:tabs>
        <w:spacing w:line="240" w:lineRule="auto" w:before="0" w:after="0"/>
        <w:ind w:left="1135" w:right="108" w:hanging="252"/>
        <w:jc w:val="left"/>
        <w:rPr>
          <w:sz w:val="22"/>
        </w:rPr>
      </w:pPr>
      <w:r>
        <w:rPr>
          <w:sz w:val="22"/>
        </w:rPr>
        <w:t>Economic dimension - supporting culture-based creativity in education and innovation, and for jobs and</w:t>
      </w:r>
      <w:r>
        <w:rPr>
          <w:spacing w:val="80"/>
          <w:sz w:val="22"/>
        </w:rPr>
        <w:t> </w:t>
      </w:r>
      <w:r>
        <w:rPr>
          <w:spacing w:val="-2"/>
          <w:sz w:val="22"/>
        </w:rPr>
        <w:t>growth;</w:t>
      </w:r>
    </w:p>
    <w:p>
      <w:pPr>
        <w:pStyle w:val="ListParagraph"/>
        <w:numPr>
          <w:ilvl w:val="1"/>
          <w:numId w:val="3"/>
        </w:numPr>
        <w:tabs>
          <w:tab w:pos="1136" w:val="left" w:leader="none"/>
        </w:tabs>
        <w:spacing w:line="240" w:lineRule="auto" w:before="0" w:after="0"/>
        <w:ind w:left="1135" w:right="0" w:hanging="253"/>
        <w:jc w:val="left"/>
        <w:rPr>
          <w:sz w:val="22"/>
        </w:rPr>
      </w:pPr>
      <w:r>
        <w:rPr>
          <w:sz w:val="22"/>
        </w:rPr>
        <w:t>External</w:t>
      </w:r>
      <w:r>
        <w:rPr>
          <w:spacing w:val="-8"/>
          <w:sz w:val="22"/>
        </w:rPr>
        <w:t> </w:t>
      </w:r>
      <w:r>
        <w:rPr>
          <w:sz w:val="22"/>
        </w:rPr>
        <w:t>dimension</w:t>
      </w:r>
      <w:r>
        <w:rPr>
          <w:spacing w:val="-3"/>
          <w:sz w:val="22"/>
        </w:rPr>
        <w:t> </w:t>
      </w:r>
      <w:r>
        <w:rPr>
          <w:sz w:val="22"/>
        </w:rPr>
        <w:t>-</w:t>
      </w:r>
      <w:r>
        <w:rPr>
          <w:spacing w:val="-8"/>
          <w:sz w:val="22"/>
        </w:rPr>
        <w:t> </w:t>
      </w:r>
      <w:r>
        <w:rPr>
          <w:sz w:val="22"/>
        </w:rPr>
        <w:t>Strengthening</w:t>
      </w:r>
      <w:r>
        <w:rPr>
          <w:spacing w:val="-7"/>
          <w:sz w:val="22"/>
        </w:rPr>
        <w:t> </w:t>
      </w:r>
      <w:r>
        <w:rPr>
          <w:sz w:val="22"/>
        </w:rPr>
        <w:t>international</w:t>
      </w:r>
      <w:r>
        <w:rPr>
          <w:spacing w:val="-3"/>
          <w:sz w:val="22"/>
        </w:rPr>
        <w:t> </w:t>
      </w:r>
      <w:r>
        <w:rPr>
          <w:sz w:val="22"/>
        </w:rPr>
        <w:t>cultural</w:t>
      </w:r>
      <w:r>
        <w:rPr>
          <w:spacing w:val="-6"/>
          <w:sz w:val="22"/>
        </w:rPr>
        <w:t> </w:t>
      </w:r>
      <w:r>
        <w:rPr>
          <w:spacing w:val="-2"/>
          <w:sz w:val="22"/>
        </w:rPr>
        <w:t>relations.</w:t>
      </w:r>
    </w:p>
    <w:p>
      <w:pPr>
        <w:pStyle w:val="BodyText"/>
        <w:spacing w:before="10"/>
        <w:rPr>
          <w:sz w:val="21"/>
        </w:rPr>
      </w:pPr>
    </w:p>
    <w:p>
      <w:pPr>
        <w:pStyle w:val="BodyText"/>
        <w:spacing w:before="1"/>
        <w:ind w:left="372" w:right="105"/>
        <w:jc w:val="both"/>
      </w:pPr>
      <w:r>
        <w:rPr/>
        <w:t>In line with the New Agenda, the Work Plan for Culture 2023-2026 adopted by the Council in November 2022 defines</w:t>
      </w:r>
      <w:r>
        <w:rPr>
          <w:spacing w:val="-1"/>
        </w:rPr>
        <w:t> </w:t>
      </w:r>
      <w:r>
        <w:rPr/>
        <w:t>concrete</w:t>
      </w:r>
      <w:r>
        <w:rPr>
          <w:spacing w:val="-1"/>
        </w:rPr>
        <w:t> </w:t>
      </w:r>
      <w:r>
        <w:rPr/>
        <w:t>actions</w:t>
      </w:r>
      <w:r>
        <w:rPr>
          <w:spacing w:val="-1"/>
        </w:rPr>
        <w:t> </w:t>
      </w:r>
      <w:r>
        <w:rPr/>
        <w:t>guiding</w:t>
      </w:r>
      <w:r>
        <w:rPr>
          <w:spacing w:val="-2"/>
        </w:rPr>
        <w:t> </w:t>
      </w:r>
      <w:r>
        <w:rPr/>
        <w:t>the cooperation</w:t>
      </w:r>
      <w:r>
        <w:rPr>
          <w:spacing w:val="-2"/>
        </w:rPr>
        <w:t> </w:t>
      </w:r>
      <w:r>
        <w:rPr/>
        <w:t>between</w:t>
      </w:r>
      <w:r>
        <w:rPr>
          <w:spacing w:val="-1"/>
        </w:rPr>
        <w:t> </w:t>
      </w:r>
      <w:r>
        <w:rPr/>
        <w:t>the</w:t>
      </w:r>
      <w:r>
        <w:rPr>
          <w:spacing w:val="-1"/>
        </w:rPr>
        <w:t> </w:t>
      </w:r>
      <w:r>
        <w:rPr/>
        <w:t>MS</w:t>
      </w:r>
      <w:r>
        <w:rPr>
          <w:spacing w:val="-1"/>
        </w:rPr>
        <w:t> </w:t>
      </w:r>
      <w:r>
        <w:rPr/>
        <w:t>and</w:t>
      </w:r>
      <w:r>
        <w:rPr>
          <w:spacing w:val="-1"/>
        </w:rPr>
        <w:t> </w:t>
      </w:r>
      <w:r>
        <w:rPr/>
        <w:t>with</w:t>
      </w:r>
      <w:r>
        <w:rPr>
          <w:spacing w:val="-2"/>
        </w:rPr>
        <w:t> </w:t>
      </w:r>
      <w:r>
        <w:rPr/>
        <w:t>the Commission.</w:t>
      </w:r>
      <w:r>
        <w:rPr>
          <w:spacing w:val="-1"/>
        </w:rPr>
        <w:t> </w:t>
      </w:r>
      <w:r>
        <w:rPr/>
        <w:t>The</w:t>
      </w:r>
      <w:r>
        <w:rPr>
          <w:spacing w:val="-1"/>
        </w:rPr>
        <w:t> </w:t>
      </w:r>
      <w:r>
        <w:rPr/>
        <w:t>Work</w:t>
      </w:r>
      <w:r>
        <w:rPr>
          <w:spacing w:val="-2"/>
        </w:rPr>
        <w:t> </w:t>
      </w:r>
      <w:r>
        <w:rPr/>
        <w:t>Plan,</w:t>
      </w:r>
      <w:r>
        <w:rPr>
          <w:spacing w:val="-3"/>
        </w:rPr>
        <w:t> </w:t>
      </w:r>
      <w:r>
        <w:rPr/>
        <w:t>hence, also forms a key strategic document guiding the work of the Unit.</w:t>
      </w:r>
    </w:p>
    <w:p>
      <w:pPr>
        <w:pStyle w:val="BodyText"/>
        <w:spacing w:before="1"/>
      </w:pPr>
    </w:p>
    <w:p>
      <w:pPr>
        <w:pStyle w:val="BodyText"/>
        <w:ind w:left="372" w:right="106"/>
        <w:jc w:val="both"/>
      </w:pPr>
      <w:r>
        <w:rPr/>
        <w:t>Reporting to the Head of Unit and Deputy Head of Unit, and under their supervision, the job involves contributing to the implementation and further development of the strategy for European cooperation in the field of culture and cultural heritage.</w:t>
      </w:r>
    </w:p>
    <w:p>
      <w:pPr>
        <w:pStyle w:val="BodyText"/>
        <w:spacing w:line="252" w:lineRule="exact"/>
        <w:ind w:left="372"/>
        <w:jc w:val="both"/>
      </w:pPr>
      <w:r>
        <w:rPr/>
        <w:t>More</w:t>
      </w:r>
      <w:r>
        <w:rPr>
          <w:spacing w:val="-7"/>
        </w:rPr>
        <w:t> </w:t>
      </w:r>
      <w:r>
        <w:rPr/>
        <w:t>specifically,</w:t>
      </w:r>
      <w:r>
        <w:rPr>
          <w:spacing w:val="-3"/>
        </w:rPr>
        <w:t> </w:t>
      </w:r>
      <w:r>
        <w:rPr/>
        <w:t>the</w:t>
      </w:r>
      <w:r>
        <w:rPr>
          <w:spacing w:val="-2"/>
        </w:rPr>
        <w:t> </w:t>
      </w:r>
      <w:r>
        <w:rPr/>
        <w:t>Unit</w:t>
      </w:r>
      <w:r>
        <w:rPr>
          <w:spacing w:val="-5"/>
        </w:rPr>
        <w:t> </w:t>
      </w:r>
      <w:r>
        <w:rPr/>
        <w:t>is</w:t>
      </w:r>
      <w:r>
        <w:rPr>
          <w:spacing w:val="-3"/>
        </w:rPr>
        <w:t> </w:t>
      </w:r>
      <w:r>
        <w:rPr/>
        <w:t>looking</w:t>
      </w:r>
      <w:r>
        <w:rPr>
          <w:spacing w:val="-5"/>
        </w:rPr>
        <w:t> </w:t>
      </w:r>
      <w:r>
        <w:rPr/>
        <w:t>for</w:t>
      </w:r>
      <w:r>
        <w:rPr>
          <w:spacing w:val="-3"/>
        </w:rPr>
        <w:t> </w:t>
      </w:r>
      <w:r>
        <w:rPr/>
        <w:t>an</w:t>
      </w:r>
      <w:r>
        <w:rPr>
          <w:spacing w:val="-3"/>
        </w:rPr>
        <w:t> </w:t>
      </w:r>
      <w:r>
        <w:rPr/>
        <w:t>expert</w:t>
      </w:r>
      <w:r>
        <w:rPr>
          <w:spacing w:val="-1"/>
        </w:rPr>
        <w:t> </w:t>
      </w:r>
      <w:r>
        <w:rPr/>
        <w:t>who</w:t>
      </w:r>
      <w:r>
        <w:rPr>
          <w:spacing w:val="-3"/>
        </w:rPr>
        <w:t> </w:t>
      </w:r>
      <w:r>
        <w:rPr/>
        <w:t>has</w:t>
      </w:r>
      <w:r>
        <w:rPr>
          <w:spacing w:val="-3"/>
        </w:rPr>
        <w:t> </w:t>
      </w:r>
      <w:r>
        <w:rPr/>
        <w:t>one</w:t>
      </w:r>
      <w:r>
        <w:rPr>
          <w:spacing w:val="-3"/>
        </w:rPr>
        <w:t> </w:t>
      </w:r>
      <w:r>
        <w:rPr/>
        <w:t>or</w:t>
      </w:r>
      <w:r>
        <w:rPr>
          <w:spacing w:val="-3"/>
        </w:rPr>
        <w:t> </w:t>
      </w:r>
      <w:r>
        <w:rPr/>
        <w:t>several</w:t>
      </w:r>
      <w:r>
        <w:rPr>
          <w:spacing w:val="-2"/>
        </w:rPr>
        <w:t> </w:t>
      </w:r>
      <w:r>
        <w:rPr/>
        <w:t>of</w:t>
      </w:r>
      <w:r>
        <w:rPr>
          <w:spacing w:val="-3"/>
        </w:rPr>
        <w:t> </w:t>
      </w:r>
      <w:r>
        <w:rPr/>
        <w:t>the</w:t>
      </w:r>
      <w:r>
        <w:rPr>
          <w:spacing w:val="-4"/>
        </w:rPr>
        <w:t> </w:t>
      </w:r>
      <w:r>
        <w:rPr/>
        <w:t>profiles</w:t>
      </w:r>
      <w:r>
        <w:rPr>
          <w:spacing w:val="-5"/>
        </w:rPr>
        <w:t> </w:t>
      </w:r>
      <w:r>
        <w:rPr/>
        <w:t>listed</w:t>
      </w:r>
      <w:r>
        <w:rPr>
          <w:spacing w:val="-4"/>
        </w:rPr>
        <w:t> </w:t>
      </w:r>
      <w:r>
        <w:rPr>
          <w:spacing w:val="-2"/>
        </w:rPr>
        <w:t>below:</w:t>
      </w:r>
    </w:p>
    <w:p>
      <w:pPr>
        <w:pStyle w:val="ListParagraph"/>
        <w:numPr>
          <w:ilvl w:val="0"/>
          <w:numId w:val="4"/>
        </w:numPr>
        <w:tabs>
          <w:tab w:pos="732" w:val="left" w:leader="none"/>
        </w:tabs>
        <w:spacing w:line="252" w:lineRule="exact" w:before="0" w:after="0"/>
        <w:ind w:left="732" w:right="0" w:hanging="360"/>
        <w:jc w:val="both"/>
        <w:rPr>
          <w:sz w:val="22"/>
        </w:rPr>
      </w:pPr>
      <w:r>
        <w:rPr>
          <w:sz w:val="22"/>
        </w:rPr>
        <w:t>proven</w:t>
      </w:r>
      <w:r>
        <w:rPr>
          <w:spacing w:val="-6"/>
          <w:sz w:val="22"/>
        </w:rPr>
        <w:t> </w:t>
      </w:r>
      <w:r>
        <w:rPr>
          <w:sz w:val="22"/>
        </w:rPr>
        <w:t>experience</w:t>
      </w:r>
      <w:r>
        <w:rPr>
          <w:spacing w:val="-4"/>
          <w:sz w:val="22"/>
        </w:rPr>
        <w:t> </w:t>
      </w:r>
      <w:r>
        <w:rPr>
          <w:sz w:val="22"/>
        </w:rPr>
        <w:t>in</w:t>
      </w:r>
      <w:r>
        <w:rPr>
          <w:spacing w:val="-6"/>
          <w:sz w:val="22"/>
        </w:rPr>
        <w:t> </w:t>
      </w:r>
      <w:r>
        <w:rPr>
          <w:sz w:val="22"/>
        </w:rPr>
        <w:t>the</w:t>
      </w:r>
      <w:r>
        <w:rPr>
          <w:spacing w:val="-6"/>
          <w:sz w:val="22"/>
        </w:rPr>
        <w:t> </w:t>
      </w:r>
      <w:r>
        <w:rPr>
          <w:sz w:val="22"/>
        </w:rPr>
        <w:t>development</w:t>
      </w:r>
      <w:r>
        <w:rPr>
          <w:spacing w:val="-3"/>
          <w:sz w:val="22"/>
        </w:rPr>
        <w:t> </w:t>
      </w:r>
      <w:r>
        <w:rPr>
          <w:sz w:val="22"/>
        </w:rPr>
        <w:t>and</w:t>
      </w:r>
      <w:r>
        <w:rPr>
          <w:spacing w:val="-3"/>
          <w:sz w:val="22"/>
        </w:rPr>
        <w:t> </w:t>
      </w:r>
      <w:r>
        <w:rPr>
          <w:sz w:val="22"/>
        </w:rPr>
        <w:t>implementation</w:t>
      </w:r>
      <w:r>
        <w:rPr>
          <w:spacing w:val="-4"/>
          <w:sz w:val="22"/>
        </w:rPr>
        <w:t> </w:t>
      </w:r>
      <w:r>
        <w:rPr>
          <w:sz w:val="22"/>
        </w:rPr>
        <w:t>of</w:t>
      </w:r>
      <w:r>
        <w:rPr>
          <w:spacing w:val="-4"/>
          <w:sz w:val="22"/>
        </w:rPr>
        <w:t> </w:t>
      </w:r>
      <w:r>
        <w:rPr>
          <w:sz w:val="22"/>
        </w:rPr>
        <w:t>the</w:t>
      </w:r>
      <w:r>
        <w:rPr>
          <w:spacing w:val="-3"/>
          <w:sz w:val="22"/>
        </w:rPr>
        <w:t> </w:t>
      </w:r>
      <w:r>
        <w:rPr>
          <w:sz w:val="22"/>
        </w:rPr>
        <w:t>cultural</w:t>
      </w:r>
      <w:r>
        <w:rPr>
          <w:spacing w:val="-3"/>
          <w:sz w:val="22"/>
        </w:rPr>
        <w:t> </w:t>
      </w:r>
      <w:r>
        <w:rPr>
          <w:sz w:val="22"/>
        </w:rPr>
        <w:t>heritage</w:t>
      </w:r>
      <w:r>
        <w:rPr>
          <w:spacing w:val="-5"/>
          <w:sz w:val="22"/>
        </w:rPr>
        <w:t> </w:t>
      </w:r>
      <w:r>
        <w:rPr>
          <w:sz w:val="22"/>
        </w:rPr>
        <w:t>policy</w:t>
      </w:r>
      <w:r>
        <w:rPr>
          <w:spacing w:val="-6"/>
          <w:sz w:val="22"/>
        </w:rPr>
        <w:t> </w:t>
      </w:r>
      <w:r>
        <w:rPr>
          <w:sz w:val="22"/>
        </w:rPr>
        <w:t>of</w:t>
      </w:r>
      <w:r>
        <w:rPr>
          <w:spacing w:val="-4"/>
          <w:sz w:val="22"/>
        </w:rPr>
        <w:t> </w:t>
      </w:r>
      <w:r>
        <w:rPr>
          <w:sz w:val="22"/>
        </w:rPr>
        <w:t>his/her </w:t>
      </w:r>
      <w:r>
        <w:rPr>
          <w:spacing w:val="-2"/>
          <w:sz w:val="22"/>
        </w:rPr>
        <w:t>country,</w:t>
      </w:r>
    </w:p>
    <w:p>
      <w:pPr>
        <w:pStyle w:val="BodyText"/>
        <w:rPr>
          <w:sz w:val="20"/>
        </w:rPr>
      </w:pPr>
    </w:p>
    <w:p>
      <w:pPr>
        <w:pStyle w:val="BodyText"/>
        <w:rPr>
          <w:sz w:val="20"/>
        </w:rPr>
      </w:pPr>
    </w:p>
    <w:p>
      <w:pPr>
        <w:pStyle w:val="BodyText"/>
        <w:rPr>
          <w:sz w:val="20"/>
        </w:rPr>
      </w:pPr>
    </w:p>
    <w:p>
      <w:pPr>
        <w:pStyle w:val="BodyText"/>
        <w:spacing w:before="9"/>
        <w:rPr>
          <w:sz w:val="14"/>
        </w:rPr>
      </w:pPr>
      <w:r>
        <w:rPr/>
        <w:pict>
          <v:rect style="position:absolute;margin-left:42.599998pt;margin-top:9.701322pt;width:144.020pt;height:.599980pt;mso-position-horizontal-relative:page;mso-position-vertical-relative:paragraph;z-index:-15728640;mso-wrap-distance-left:0;mso-wrap-distance-right:0" id="docshape2" filled="true" fillcolor="#000000" stroked="false">
            <v:fill type="solid"/>
            <w10:wrap type="topAndBottom"/>
          </v:rect>
        </w:pict>
      </w:r>
    </w:p>
    <w:p>
      <w:pPr>
        <w:spacing w:before="101"/>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8"/>
          <w:sz w:val="20"/>
          <w:vertAlign w:val="baseline"/>
        </w:rPr>
        <w:t> </w:t>
      </w:r>
      <w:r>
        <w:rPr>
          <w:sz w:val="20"/>
          <w:vertAlign w:val="baseline"/>
        </w:rPr>
        <w:t>(Art.4</w:t>
      </w:r>
      <w:r>
        <w:rPr>
          <w:spacing w:val="1"/>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SNE</w:t>
      </w:r>
      <w:r>
        <w:rPr>
          <w:spacing w:val="-1"/>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4"/>
        </w:numPr>
        <w:tabs>
          <w:tab w:pos="732" w:val="left" w:leader="none"/>
        </w:tabs>
        <w:spacing w:line="240" w:lineRule="auto" w:before="68" w:after="0"/>
        <w:ind w:left="732" w:right="113" w:hanging="360"/>
        <w:jc w:val="both"/>
        <w:rPr>
          <w:sz w:val="22"/>
        </w:rPr>
      </w:pPr>
      <w:r>
        <w:rPr>
          <w:sz w:val="22"/>
        </w:rPr>
        <w:t>proven experience in the development of cultural policies (the role of culture for social cohesion, the contribution of cultural and creative industries to jobs and growth, culture and sustainable development, etc.) and in impact measurement (social and economic) of cultural policies.</w:t>
      </w:r>
    </w:p>
    <w:p>
      <w:pPr>
        <w:pStyle w:val="BodyText"/>
        <w:spacing w:before="201"/>
        <w:ind w:left="372"/>
      </w:pPr>
      <w:r>
        <w:rPr/>
        <w:t>The</w:t>
      </w:r>
      <w:r>
        <w:rPr>
          <w:spacing w:val="-4"/>
        </w:rPr>
        <w:t> </w:t>
      </w:r>
      <w:r>
        <w:rPr/>
        <w:t>type</w:t>
      </w:r>
      <w:r>
        <w:rPr>
          <w:spacing w:val="-1"/>
        </w:rPr>
        <w:t> </w:t>
      </w:r>
      <w:r>
        <w:rPr/>
        <w:t>of</w:t>
      </w:r>
      <w:r>
        <w:rPr>
          <w:spacing w:val="-3"/>
        </w:rPr>
        <w:t> </w:t>
      </w:r>
      <w:r>
        <w:rPr/>
        <w:t>tasks</w:t>
      </w:r>
      <w:r>
        <w:rPr>
          <w:spacing w:val="-1"/>
        </w:rPr>
        <w:t> </w:t>
      </w:r>
      <w:r>
        <w:rPr/>
        <w:t>will </w:t>
      </w:r>
      <w:r>
        <w:rPr>
          <w:spacing w:val="-2"/>
        </w:rPr>
        <w:t>include:</w:t>
      </w:r>
    </w:p>
    <w:p>
      <w:pPr>
        <w:pStyle w:val="BodyText"/>
        <w:spacing w:before="1"/>
      </w:pPr>
    </w:p>
    <w:p>
      <w:pPr>
        <w:pStyle w:val="ListParagraph"/>
        <w:numPr>
          <w:ilvl w:val="1"/>
          <w:numId w:val="4"/>
        </w:numPr>
        <w:tabs>
          <w:tab w:pos="731" w:val="left" w:leader="none"/>
          <w:tab w:pos="732" w:val="left" w:leader="none"/>
        </w:tabs>
        <w:spacing w:line="240" w:lineRule="auto" w:before="0" w:after="0"/>
        <w:ind w:left="732" w:right="114" w:hanging="360"/>
        <w:jc w:val="left"/>
        <w:rPr>
          <w:sz w:val="22"/>
        </w:rPr>
      </w:pPr>
      <w:r>
        <w:rPr>
          <w:sz w:val="22"/>
        </w:rPr>
        <w:t>Working</w:t>
      </w:r>
      <w:r>
        <w:rPr>
          <w:spacing w:val="26"/>
          <w:sz w:val="22"/>
        </w:rPr>
        <w:t> </w:t>
      </w:r>
      <w:r>
        <w:rPr>
          <w:sz w:val="22"/>
        </w:rPr>
        <w:t>on</w:t>
      </w:r>
      <w:r>
        <w:rPr>
          <w:spacing w:val="29"/>
          <w:sz w:val="22"/>
        </w:rPr>
        <w:t> </w:t>
      </w:r>
      <w:r>
        <w:rPr>
          <w:sz w:val="22"/>
        </w:rPr>
        <w:t>all</w:t>
      </w:r>
      <w:r>
        <w:rPr>
          <w:spacing w:val="30"/>
          <w:sz w:val="22"/>
        </w:rPr>
        <w:t> </w:t>
      </w:r>
      <w:r>
        <w:rPr>
          <w:sz w:val="22"/>
        </w:rPr>
        <w:t>matters</w:t>
      </w:r>
      <w:r>
        <w:rPr>
          <w:spacing w:val="27"/>
          <w:sz w:val="22"/>
        </w:rPr>
        <w:t> </w:t>
      </w:r>
      <w:r>
        <w:rPr>
          <w:sz w:val="22"/>
        </w:rPr>
        <w:t>relating</w:t>
      </w:r>
      <w:r>
        <w:rPr>
          <w:spacing w:val="26"/>
          <w:sz w:val="22"/>
        </w:rPr>
        <w:t> </w:t>
      </w:r>
      <w:r>
        <w:rPr>
          <w:sz w:val="22"/>
        </w:rPr>
        <w:t>to</w:t>
      </w:r>
      <w:r>
        <w:rPr>
          <w:spacing w:val="29"/>
          <w:sz w:val="22"/>
        </w:rPr>
        <w:t> </w:t>
      </w:r>
      <w:r>
        <w:rPr>
          <w:sz w:val="22"/>
        </w:rPr>
        <w:t>group(s)</w:t>
      </w:r>
      <w:r>
        <w:rPr>
          <w:spacing w:val="30"/>
          <w:sz w:val="22"/>
        </w:rPr>
        <w:t> </w:t>
      </w:r>
      <w:r>
        <w:rPr>
          <w:sz w:val="22"/>
        </w:rPr>
        <w:t>of</w:t>
      </w:r>
      <w:r>
        <w:rPr>
          <w:spacing w:val="29"/>
          <w:sz w:val="22"/>
        </w:rPr>
        <w:t> </w:t>
      </w:r>
      <w:r>
        <w:rPr>
          <w:sz w:val="22"/>
        </w:rPr>
        <w:t>experts</w:t>
      </w:r>
      <w:r>
        <w:rPr>
          <w:spacing w:val="29"/>
          <w:sz w:val="22"/>
        </w:rPr>
        <w:t> </w:t>
      </w:r>
      <w:r>
        <w:rPr>
          <w:sz w:val="22"/>
        </w:rPr>
        <w:t>from</w:t>
      </w:r>
      <w:r>
        <w:rPr>
          <w:spacing w:val="25"/>
          <w:sz w:val="22"/>
        </w:rPr>
        <w:t> </w:t>
      </w:r>
      <w:r>
        <w:rPr>
          <w:sz w:val="22"/>
        </w:rPr>
        <w:t>EU</w:t>
      </w:r>
      <w:r>
        <w:rPr>
          <w:spacing w:val="27"/>
          <w:sz w:val="22"/>
        </w:rPr>
        <w:t> </w:t>
      </w:r>
      <w:r>
        <w:rPr>
          <w:sz w:val="22"/>
        </w:rPr>
        <w:t>Member</w:t>
      </w:r>
      <w:r>
        <w:rPr>
          <w:spacing w:val="30"/>
          <w:sz w:val="22"/>
        </w:rPr>
        <w:t> </w:t>
      </w:r>
      <w:r>
        <w:rPr>
          <w:sz w:val="22"/>
        </w:rPr>
        <w:t>States</w:t>
      </w:r>
      <w:r>
        <w:rPr>
          <w:spacing w:val="27"/>
          <w:sz w:val="22"/>
        </w:rPr>
        <w:t> </w:t>
      </w:r>
      <w:r>
        <w:rPr>
          <w:sz w:val="22"/>
        </w:rPr>
        <w:t>under</w:t>
      </w:r>
      <w:r>
        <w:rPr>
          <w:spacing w:val="28"/>
          <w:sz w:val="22"/>
        </w:rPr>
        <w:t> </w:t>
      </w:r>
      <w:r>
        <w:rPr>
          <w:sz w:val="22"/>
        </w:rPr>
        <w:t>the</w:t>
      </w:r>
      <w:r>
        <w:rPr>
          <w:spacing w:val="29"/>
          <w:sz w:val="22"/>
        </w:rPr>
        <w:t> </w:t>
      </w:r>
      <w:r>
        <w:rPr>
          <w:sz w:val="22"/>
        </w:rPr>
        <w:t>Open</w:t>
      </w:r>
      <w:r>
        <w:rPr>
          <w:spacing w:val="27"/>
          <w:sz w:val="22"/>
        </w:rPr>
        <w:t> </w:t>
      </w:r>
      <w:r>
        <w:rPr>
          <w:sz w:val="22"/>
        </w:rPr>
        <w:t>Method</w:t>
      </w:r>
      <w:r>
        <w:rPr>
          <w:spacing w:val="26"/>
          <w:sz w:val="22"/>
        </w:rPr>
        <w:t> </w:t>
      </w:r>
      <w:r>
        <w:rPr>
          <w:sz w:val="22"/>
        </w:rPr>
        <w:t>of Coordination in the field of culture, including contribution to analysis and policy documents,</w:t>
      </w:r>
    </w:p>
    <w:p>
      <w:pPr>
        <w:pStyle w:val="ListParagraph"/>
        <w:numPr>
          <w:ilvl w:val="1"/>
          <w:numId w:val="4"/>
        </w:numPr>
        <w:tabs>
          <w:tab w:pos="731" w:val="left" w:leader="none"/>
          <w:tab w:pos="732" w:val="left" w:leader="none"/>
        </w:tabs>
        <w:spacing w:line="240" w:lineRule="auto" w:before="120" w:after="0"/>
        <w:ind w:left="732" w:right="0" w:hanging="360"/>
        <w:jc w:val="left"/>
        <w:rPr>
          <w:sz w:val="22"/>
        </w:rPr>
      </w:pPr>
      <w:r>
        <w:rPr>
          <w:sz w:val="22"/>
        </w:rPr>
        <w:t>Working</w:t>
      </w:r>
      <w:r>
        <w:rPr>
          <w:spacing w:val="-9"/>
          <w:sz w:val="22"/>
        </w:rPr>
        <w:t> </w:t>
      </w:r>
      <w:r>
        <w:rPr>
          <w:sz w:val="22"/>
        </w:rPr>
        <w:t>on</w:t>
      </w:r>
      <w:r>
        <w:rPr>
          <w:spacing w:val="-3"/>
          <w:sz w:val="22"/>
        </w:rPr>
        <w:t> </w:t>
      </w:r>
      <w:r>
        <w:rPr>
          <w:sz w:val="22"/>
        </w:rPr>
        <w:t>all</w:t>
      </w:r>
      <w:r>
        <w:rPr>
          <w:spacing w:val="-2"/>
          <w:sz w:val="22"/>
        </w:rPr>
        <w:t> </w:t>
      </w:r>
      <w:r>
        <w:rPr>
          <w:sz w:val="22"/>
        </w:rPr>
        <w:t>matters</w:t>
      </w:r>
      <w:r>
        <w:rPr>
          <w:spacing w:val="-4"/>
          <w:sz w:val="22"/>
        </w:rPr>
        <w:t> </w:t>
      </w:r>
      <w:r>
        <w:rPr>
          <w:sz w:val="22"/>
        </w:rPr>
        <w:t>relating</w:t>
      </w:r>
      <w:r>
        <w:rPr>
          <w:spacing w:val="-6"/>
          <w:sz w:val="22"/>
        </w:rPr>
        <w:t> </w:t>
      </w:r>
      <w:r>
        <w:rPr>
          <w:sz w:val="22"/>
        </w:rPr>
        <w:t>to</w:t>
      </w:r>
      <w:r>
        <w:rPr>
          <w:spacing w:val="-4"/>
          <w:sz w:val="22"/>
        </w:rPr>
        <w:t> </w:t>
      </w:r>
      <w:r>
        <w:rPr>
          <w:sz w:val="22"/>
        </w:rPr>
        <w:t>the</w:t>
      </w:r>
      <w:r>
        <w:rPr>
          <w:spacing w:val="-3"/>
          <w:sz w:val="22"/>
        </w:rPr>
        <w:t> </w:t>
      </w:r>
      <w:r>
        <w:rPr>
          <w:sz w:val="22"/>
        </w:rPr>
        <w:t>Commission</w:t>
      </w:r>
      <w:r>
        <w:rPr>
          <w:spacing w:val="-4"/>
          <w:sz w:val="22"/>
        </w:rPr>
        <w:t> </w:t>
      </w:r>
      <w:r>
        <w:rPr>
          <w:sz w:val="22"/>
        </w:rPr>
        <w:t>expert</w:t>
      </w:r>
      <w:r>
        <w:rPr>
          <w:spacing w:val="-2"/>
          <w:sz w:val="22"/>
        </w:rPr>
        <w:t> </w:t>
      </w:r>
      <w:r>
        <w:rPr>
          <w:sz w:val="22"/>
        </w:rPr>
        <w:t>group</w:t>
      </w:r>
      <w:r>
        <w:rPr>
          <w:spacing w:val="-3"/>
          <w:sz w:val="22"/>
        </w:rPr>
        <w:t> </w:t>
      </w:r>
      <w:r>
        <w:rPr>
          <w:sz w:val="22"/>
        </w:rPr>
        <w:t>on</w:t>
      </w:r>
      <w:r>
        <w:rPr>
          <w:spacing w:val="-3"/>
          <w:sz w:val="22"/>
        </w:rPr>
        <w:t> </w:t>
      </w:r>
      <w:r>
        <w:rPr>
          <w:sz w:val="22"/>
        </w:rPr>
        <w:t>Cultural</w:t>
      </w:r>
      <w:r>
        <w:rPr>
          <w:spacing w:val="-2"/>
          <w:sz w:val="22"/>
        </w:rPr>
        <w:t> Heritage</w:t>
      </w:r>
    </w:p>
    <w:p>
      <w:pPr>
        <w:pStyle w:val="ListParagraph"/>
        <w:numPr>
          <w:ilvl w:val="1"/>
          <w:numId w:val="4"/>
        </w:numPr>
        <w:tabs>
          <w:tab w:pos="731" w:val="left" w:leader="none"/>
          <w:tab w:pos="732" w:val="left" w:leader="none"/>
        </w:tabs>
        <w:spacing w:line="240" w:lineRule="auto" w:before="119" w:after="0"/>
        <w:ind w:left="732" w:right="114" w:hanging="360"/>
        <w:jc w:val="left"/>
        <w:rPr>
          <w:sz w:val="22"/>
        </w:rPr>
      </w:pPr>
      <w:r>
        <w:rPr>
          <w:sz w:val="22"/>
        </w:rPr>
        <w:t>Interface</w:t>
      </w:r>
      <w:r>
        <w:rPr>
          <w:spacing w:val="29"/>
          <w:sz w:val="22"/>
        </w:rPr>
        <w:t> </w:t>
      </w:r>
      <w:r>
        <w:rPr>
          <w:sz w:val="22"/>
        </w:rPr>
        <w:t>with</w:t>
      </w:r>
      <w:r>
        <w:rPr>
          <w:spacing w:val="31"/>
          <w:sz w:val="22"/>
        </w:rPr>
        <w:t> </w:t>
      </w:r>
      <w:r>
        <w:rPr>
          <w:sz w:val="22"/>
        </w:rPr>
        <w:t>other</w:t>
      </w:r>
      <w:r>
        <w:rPr>
          <w:spacing w:val="32"/>
          <w:sz w:val="22"/>
        </w:rPr>
        <w:t> </w:t>
      </w:r>
      <w:r>
        <w:rPr>
          <w:sz w:val="22"/>
        </w:rPr>
        <w:t>EU</w:t>
      </w:r>
      <w:r>
        <w:rPr>
          <w:spacing w:val="30"/>
          <w:sz w:val="22"/>
        </w:rPr>
        <w:t> </w:t>
      </w:r>
      <w:r>
        <w:rPr>
          <w:sz w:val="22"/>
        </w:rPr>
        <w:t>policies,</w:t>
      </w:r>
      <w:r>
        <w:rPr>
          <w:spacing w:val="31"/>
          <w:sz w:val="22"/>
        </w:rPr>
        <w:t> </w:t>
      </w:r>
      <w:r>
        <w:rPr>
          <w:sz w:val="22"/>
        </w:rPr>
        <w:t>such</w:t>
      </w:r>
      <w:r>
        <w:rPr>
          <w:spacing w:val="29"/>
          <w:sz w:val="22"/>
        </w:rPr>
        <w:t> </w:t>
      </w:r>
      <w:r>
        <w:rPr>
          <w:sz w:val="22"/>
        </w:rPr>
        <w:t>as</w:t>
      </w:r>
      <w:r>
        <w:rPr>
          <w:spacing w:val="32"/>
          <w:sz w:val="22"/>
        </w:rPr>
        <w:t> </w:t>
      </w:r>
      <w:r>
        <w:rPr>
          <w:sz w:val="22"/>
        </w:rPr>
        <w:t>cohesion</w:t>
      </w:r>
      <w:r>
        <w:rPr>
          <w:spacing w:val="29"/>
          <w:sz w:val="22"/>
        </w:rPr>
        <w:t> </w:t>
      </w:r>
      <w:r>
        <w:rPr>
          <w:sz w:val="22"/>
        </w:rPr>
        <w:t>funds</w:t>
      </w:r>
      <w:r>
        <w:rPr>
          <w:spacing w:val="31"/>
          <w:sz w:val="22"/>
        </w:rPr>
        <w:t> </w:t>
      </w:r>
      <w:r>
        <w:rPr>
          <w:sz w:val="22"/>
        </w:rPr>
        <w:t>or</w:t>
      </w:r>
      <w:r>
        <w:rPr>
          <w:spacing w:val="32"/>
          <w:sz w:val="22"/>
        </w:rPr>
        <w:t> </w:t>
      </w:r>
      <w:r>
        <w:rPr>
          <w:sz w:val="22"/>
        </w:rPr>
        <w:t>research</w:t>
      </w:r>
      <w:r>
        <w:rPr>
          <w:spacing w:val="31"/>
          <w:sz w:val="22"/>
        </w:rPr>
        <w:t> </w:t>
      </w:r>
      <w:r>
        <w:rPr>
          <w:sz w:val="22"/>
        </w:rPr>
        <w:t>(Horizon</w:t>
      </w:r>
      <w:r>
        <w:rPr>
          <w:spacing w:val="29"/>
          <w:sz w:val="22"/>
        </w:rPr>
        <w:t> </w:t>
      </w:r>
      <w:r>
        <w:rPr>
          <w:sz w:val="22"/>
        </w:rPr>
        <w:t>Europe)</w:t>
      </w:r>
      <w:r>
        <w:rPr>
          <w:spacing w:val="30"/>
          <w:sz w:val="22"/>
        </w:rPr>
        <w:t> </w:t>
      </w:r>
      <w:r>
        <w:rPr>
          <w:sz w:val="22"/>
        </w:rPr>
        <w:t>and</w:t>
      </w:r>
      <w:r>
        <w:rPr>
          <w:spacing w:val="32"/>
          <w:sz w:val="22"/>
        </w:rPr>
        <w:t> </w:t>
      </w:r>
      <w:r>
        <w:rPr>
          <w:sz w:val="22"/>
        </w:rPr>
        <w:t>organisation</w:t>
      </w:r>
      <w:r>
        <w:rPr>
          <w:spacing w:val="29"/>
          <w:sz w:val="22"/>
        </w:rPr>
        <w:t> </w:t>
      </w:r>
      <w:r>
        <w:rPr>
          <w:sz w:val="22"/>
        </w:rPr>
        <w:t>of meetings/events with other departments of the Commission and/or stakeholders</w:t>
      </w:r>
    </w:p>
    <w:p>
      <w:pPr>
        <w:pStyle w:val="ListParagraph"/>
        <w:numPr>
          <w:ilvl w:val="1"/>
          <w:numId w:val="4"/>
        </w:numPr>
        <w:tabs>
          <w:tab w:pos="731" w:val="left" w:leader="none"/>
          <w:tab w:pos="732" w:val="left" w:leader="none"/>
        </w:tabs>
        <w:spacing w:line="240" w:lineRule="auto" w:before="121" w:after="0"/>
        <w:ind w:left="732" w:right="107" w:hanging="360"/>
        <w:jc w:val="left"/>
        <w:rPr>
          <w:sz w:val="22"/>
        </w:rPr>
      </w:pPr>
      <w:r>
        <w:rPr>
          <w:sz w:val="22"/>
        </w:rPr>
        <w:t>Preparation</w:t>
      </w:r>
      <w:r>
        <w:rPr>
          <w:spacing w:val="31"/>
          <w:sz w:val="22"/>
        </w:rPr>
        <w:t> </w:t>
      </w:r>
      <w:r>
        <w:rPr>
          <w:sz w:val="22"/>
        </w:rPr>
        <w:t>of</w:t>
      </w:r>
      <w:r>
        <w:rPr>
          <w:spacing w:val="32"/>
          <w:sz w:val="22"/>
        </w:rPr>
        <w:t> </w:t>
      </w:r>
      <w:r>
        <w:rPr>
          <w:sz w:val="22"/>
        </w:rPr>
        <w:t>briefings</w:t>
      </w:r>
      <w:r>
        <w:rPr>
          <w:spacing w:val="31"/>
          <w:sz w:val="22"/>
        </w:rPr>
        <w:t> </w:t>
      </w:r>
      <w:r>
        <w:rPr>
          <w:sz w:val="22"/>
        </w:rPr>
        <w:t>speeches,</w:t>
      </w:r>
      <w:r>
        <w:rPr>
          <w:spacing w:val="31"/>
          <w:sz w:val="22"/>
        </w:rPr>
        <w:t> </w:t>
      </w:r>
      <w:r>
        <w:rPr>
          <w:sz w:val="22"/>
        </w:rPr>
        <w:t>minutes</w:t>
      </w:r>
      <w:r>
        <w:rPr>
          <w:spacing w:val="32"/>
          <w:sz w:val="22"/>
        </w:rPr>
        <w:t> </w:t>
      </w:r>
      <w:r>
        <w:rPr>
          <w:sz w:val="22"/>
        </w:rPr>
        <w:t>and</w:t>
      </w:r>
      <w:r>
        <w:rPr>
          <w:spacing w:val="31"/>
          <w:sz w:val="22"/>
        </w:rPr>
        <w:t> </w:t>
      </w:r>
      <w:r>
        <w:rPr>
          <w:sz w:val="22"/>
        </w:rPr>
        <w:t>information</w:t>
      </w:r>
      <w:r>
        <w:rPr>
          <w:spacing w:val="31"/>
          <w:sz w:val="22"/>
        </w:rPr>
        <w:t> </w:t>
      </w:r>
      <w:r>
        <w:rPr>
          <w:sz w:val="22"/>
        </w:rPr>
        <w:t>notes</w:t>
      </w:r>
      <w:r>
        <w:rPr>
          <w:spacing w:val="31"/>
          <w:sz w:val="22"/>
        </w:rPr>
        <w:t> </w:t>
      </w:r>
      <w:r>
        <w:rPr>
          <w:sz w:val="22"/>
        </w:rPr>
        <w:t>on</w:t>
      </w:r>
      <w:r>
        <w:rPr>
          <w:spacing w:val="31"/>
          <w:sz w:val="22"/>
        </w:rPr>
        <w:t> </w:t>
      </w:r>
      <w:r>
        <w:rPr>
          <w:sz w:val="22"/>
        </w:rPr>
        <w:t>culture/cultural</w:t>
      </w:r>
      <w:r>
        <w:rPr>
          <w:spacing w:val="32"/>
          <w:sz w:val="22"/>
        </w:rPr>
        <w:t> </w:t>
      </w:r>
      <w:r>
        <w:rPr>
          <w:sz w:val="22"/>
        </w:rPr>
        <w:t>heritage</w:t>
      </w:r>
      <w:r>
        <w:rPr>
          <w:spacing w:val="33"/>
          <w:sz w:val="22"/>
        </w:rPr>
        <w:t> </w:t>
      </w:r>
      <w:r>
        <w:rPr>
          <w:sz w:val="22"/>
        </w:rPr>
        <w:t>policy</w:t>
      </w:r>
      <w:r>
        <w:rPr>
          <w:spacing w:val="29"/>
          <w:sz w:val="22"/>
        </w:rPr>
        <w:t> </w:t>
      </w:r>
      <w:r>
        <w:rPr>
          <w:sz w:val="22"/>
        </w:rPr>
        <w:t>for</w:t>
      </w:r>
      <w:r>
        <w:rPr>
          <w:spacing w:val="29"/>
          <w:sz w:val="22"/>
        </w:rPr>
        <w:t> </w:t>
      </w:r>
      <w:r>
        <w:rPr>
          <w:sz w:val="22"/>
        </w:rPr>
        <w:t>the Commissioner, Director-General, Director and Head of Unit,</w:t>
      </w:r>
    </w:p>
    <w:p>
      <w:pPr>
        <w:pStyle w:val="ListParagraph"/>
        <w:numPr>
          <w:ilvl w:val="1"/>
          <w:numId w:val="4"/>
        </w:numPr>
        <w:tabs>
          <w:tab w:pos="731" w:val="left" w:leader="none"/>
          <w:tab w:pos="732" w:val="left" w:leader="none"/>
        </w:tabs>
        <w:spacing w:line="240" w:lineRule="auto" w:before="120" w:after="0"/>
        <w:ind w:left="732" w:right="0" w:hanging="360"/>
        <w:jc w:val="left"/>
        <w:rPr>
          <w:sz w:val="22"/>
        </w:rPr>
      </w:pPr>
      <w:r>
        <w:rPr>
          <w:sz w:val="22"/>
        </w:rPr>
        <w:t>Initiation</w:t>
      </w:r>
      <w:r>
        <w:rPr>
          <w:spacing w:val="-4"/>
          <w:sz w:val="22"/>
        </w:rPr>
        <w:t> </w:t>
      </w:r>
      <w:r>
        <w:rPr>
          <w:sz w:val="22"/>
        </w:rPr>
        <w:t>and</w:t>
      </w:r>
      <w:r>
        <w:rPr>
          <w:spacing w:val="-3"/>
          <w:sz w:val="22"/>
        </w:rPr>
        <w:t> </w:t>
      </w:r>
      <w:r>
        <w:rPr>
          <w:sz w:val="22"/>
        </w:rPr>
        <w:t>follow-up</w:t>
      </w:r>
      <w:r>
        <w:rPr>
          <w:spacing w:val="-3"/>
          <w:sz w:val="22"/>
        </w:rPr>
        <w:t> </w:t>
      </w:r>
      <w:r>
        <w:rPr>
          <w:sz w:val="22"/>
        </w:rPr>
        <w:t>of</w:t>
      </w:r>
      <w:r>
        <w:rPr>
          <w:spacing w:val="-3"/>
          <w:sz w:val="22"/>
        </w:rPr>
        <w:t> </w:t>
      </w:r>
      <w:r>
        <w:rPr>
          <w:sz w:val="22"/>
        </w:rPr>
        <w:t>studies</w:t>
      </w:r>
      <w:r>
        <w:rPr>
          <w:spacing w:val="-4"/>
          <w:sz w:val="22"/>
        </w:rPr>
        <w:t> </w:t>
      </w:r>
      <w:r>
        <w:rPr>
          <w:sz w:val="22"/>
        </w:rPr>
        <w:t>and</w:t>
      </w:r>
      <w:r>
        <w:rPr>
          <w:spacing w:val="-3"/>
          <w:sz w:val="22"/>
        </w:rPr>
        <w:t> </w:t>
      </w:r>
      <w:r>
        <w:rPr>
          <w:spacing w:val="-2"/>
          <w:sz w:val="22"/>
        </w:rPr>
        <w:t>analysis.</w:t>
      </w:r>
    </w:p>
    <w:p>
      <w:pPr>
        <w:pStyle w:val="BodyText"/>
        <w:rPr>
          <w:sz w:val="33"/>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5"/>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4"/>
        <w:rPr>
          <w:b/>
          <w:sz w:val="21"/>
        </w:rPr>
      </w:pPr>
    </w:p>
    <w:p>
      <w:pPr>
        <w:pStyle w:val="BodyText"/>
        <w:ind w:left="799" w:right="104"/>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6"/>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6"/>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6"/>
        </w:numPr>
        <w:tabs>
          <w:tab w:pos="1081" w:val="left" w:leader="none"/>
        </w:tabs>
        <w:spacing w:line="240" w:lineRule="auto" w:before="0" w:after="0"/>
        <w:ind w:left="1080" w:right="110"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4"/>
        <w:rPr>
          <w:sz w:val="24"/>
        </w:rPr>
      </w:pPr>
    </w:p>
    <w:p>
      <w:pPr>
        <w:pStyle w:val="Heading1"/>
        <w:numPr>
          <w:ilvl w:val="0"/>
          <w:numId w:val="5"/>
        </w:numPr>
        <w:tabs>
          <w:tab w:pos="1081" w:val="left" w:leader="none"/>
        </w:tabs>
        <w:spacing w:line="240" w:lineRule="auto" w:before="0" w:after="0"/>
        <w:ind w:left="1080" w:right="0" w:hanging="282"/>
        <w:jc w:val="left"/>
      </w:pPr>
      <w:r>
        <w:rPr>
          <w:u w:val="single"/>
        </w:rPr>
        <w:t>Selection</w:t>
      </w:r>
      <w:r>
        <w:rPr>
          <w:spacing w:val="-5"/>
          <w:u w:val="single"/>
        </w:rPr>
        <w:t> </w:t>
      </w:r>
      <w:r>
        <w:rPr>
          <w:spacing w:val="-2"/>
          <w:u w:val="single"/>
        </w:rPr>
        <w:t>criteria</w:t>
      </w:r>
    </w:p>
    <w:p>
      <w:pPr>
        <w:pStyle w:val="BodyText"/>
        <w:spacing w:before="8"/>
        <w:rPr>
          <w:b/>
          <w:sz w:val="15"/>
        </w:rPr>
      </w:pPr>
    </w:p>
    <w:p>
      <w:pPr>
        <w:pStyle w:val="BodyText"/>
        <w:spacing w:line="252" w:lineRule="exact" w:before="92"/>
        <w:ind w:left="1080"/>
      </w:pPr>
      <w:r>
        <w:rPr>
          <w:spacing w:val="-2"/>
          <w:u w:val="single"/>
        </w:rPr>
        <w:t>Diploma</w:t>
      </w:r>
    </w:p>
    <w:p>
      <w:pPr>
        <w:pStyle w:val="ListParagraph"/>
        <w:numPr>
          <w:ilvl w:val="1"/>
          <w:numId w:val="5"/>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5"/>
        </w:numPr>
        <w:tabs>
          <w:tab w:pos="1206" w:val="left" w:leader="none"/>
        </w:tabs>
        <w:spacing w:line="240" w:lineRule="auto" w:before="1"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10"/>
        <w:rPr>
          <w:sz w:val="21"/>
        </w:rPr>
      </w:pPr>
    </w:p>
    <w:p>
      <w:pPr>
        <w:pStyle w:val="BodyText"/>
        <w:ind w:left="1190"/>
      </w:pPr>
      <w:r>
        <w:rPr/>
        <w:t>in</w:t>
      </w:r>
      <w:r>
        <w:rPr>
          <w:spacing w:val="-6"/>
        </w:rPr>
        <w:t> </w:t>
      </w:r>
      <w:r>
        <w:rPr/>
        <w:t>the</w:t>
      </w:r>
      <w:r>
        <w:rPr>
          <w:spacing w:val="-3"/>
        </w:rPr>
        <w:t> </w:t>
      </w:r>
      <w:r>
        <w:rPr/>
        <w:t>field(s)</w:t>
      </w:r>
      <w:r>
        <w:rPr>
          <w:spacing w:val="-4"/>
        </w:rPr>
        <w:t> </w:t>
      </w:r>
      <w:r>
        <w:rPr>
          <w:spacing w:val="-10"/>
        </w:rPr>
        <w:t>:</w:t>
      </w:r>
    </w:p>
    <w:p>
      <w:pPr>
        <w:pStyle w:val="BodyText"/>
        <w:spacing w:before="2"/>
        <w:ind w:left="1080"/>
      </w:pPr>
      <w:r>
        <w:rPr/>
        <w:t>cultural</w:t>
      </w:r>
      <w:r>
        <w:rPr>
          <w:spacing w:val="-4"/>
        </w:rPr>
        <w:t> </w:t>
      </w:r>
      <w:r>
        <w:rPr/>
        <w:t>policy,</w:t>
      </w:r>
      <w:r>
        <w:rPr>
          <w:spacing w:val="-4"/>
        </w:rPr>
        <w:t> </w:t>
      </w:r>
      <w:r>
        <w:rPr/>
        <w:t>architecture,</w:t>
      </w:r>
      <w:r>
        <w:rPr>
          <w:spacing w:val="-5"/>
        </w:rPr>
        <w:t> </w:t>
      </w:r>
      <w:r>
        <w:rPr/>
        <w:t>cultural</w:t>
      </w:r>
      <w:r>
        <w:rPr>
          <w:spacing w:val="-3"/>
        </w:rPr>
        <w:t> </w:t>
      </w:r>
      <w:r>
        <w:rPr/>
        <w:t>heritage,</w:t>
      </w:r>
      <w:r>
        <w:rPr>
          <w:spacing w:val="-5"/>
        </w:rPr>
        <w:t> </w:t>
      </w:r>
      <w:r>
        <w:rPr/>
        <w:t>human</w:t>
      </w:r>
      <w:r>
        <w:rPr>
          <w:spacing w:val="-4"/>
        </w:rPr>
        <w:t> </w:t>
      </w:r>
      <w:r>
        <w:rPr/>
        <w:t>and</w:t>
      </w:r>
      <w:r>
        <w:rPr>
          <w:spacing w:val="-2"/>
        </w:rPr>
        <w:t> </w:t>
      </w:r>
      <w:r>
        <w:rPr/>
        <w:t>social</w:t>
      </w:r>
      <w:r>
        <w:rPr>
          <w:spacing w:val="-3"/>
        </w:rPr>
        <w:t> </w:t>
      </w:r>
      <w:r>
        <w:rPr/>
        <w:t>sciences,</w:t>
      </w:r>
      <w:r>
        <w:rPr>
          <w:spacing w:val="-7"/>
        </w:rPr>
        <w:t> </w:t>
      </w:r>
      <w:r>
        <w:rPr/>
        <w:t>law,</w:t>
      </w:r>
      <w:r>
        <w:rPr>
          <w:spacing w:val="-7"/>
        </w:rPr>
        <w:t> </w:t>
      </w:r>
      <w:r>
        <w:rPr>
          <w:spacing w:val="-2"/>
        </w:rPr>
        <w:t>economics.</w:t>
      </w:r>
    </w:p>
    <w:p>
      <w:pPr>
        <w:pStyle w:val="BodyText"/>
        <w:rPr>
          <w:sz w:val="24"/>
        </w:rPr>
      </w:pPr>
    </w:p>
    <w:p>
      <w:pPr>
        <w:pStyle w:val="BodyText"/>
        <w:spacing w:before="11"/>
        <w:rPr>
          <w:sz w:val="19"/>
        </w:rPr>
      </w:pPr>
    </w:p>
    <w:p>
      <w:pPr>
        <w:pStyle w:val="BodyText"/>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1"/>
        <w:ind w:left="1080" w:right="175"/>
        <w:jc w:val="both"/>
      </w:pPr>
      <w:r>
        <w:rPr/>
        <w:t>Previous experience in public policy development in the field of culture/cultural heritage in at least one of the areas indicated under point 1 would be a strong asset.</w:t>
      </w:r>
    </w:p>
    <w:p>
      <w:pPr>
        <w:pStyle w:val="BodyText"/>
      </w:pPr>
    </w:p>
    <w:p>
      <w:pPr>
        <w:pStyle w:val="BodyText"/>
        <w:ind w:left="1080" w:right="172"/>
        <w:jc w:val="both"/>
      </w:pPr>
      <w:r>
        <w:rPr/>
        <w:t>We are looking for a highly motivated candidate who could rapidly be operational and who has strong written and oral communication skills. The successful candidate should possess excellent analytical and policy</w:t>
      </w:r>
      <w:r>
        <w:rPr>
          <w:spacing w:val="-2"/>
        </w:rPr>
        <w:t> </w:t>
      </w:r>
      <w:r>
        <w:rPr/>
        <w:t>development skills,</w:t>
      </w:r>
      <w:r>
        <w:rPr>
          <w:spacing w:val="-2"/>
        </w:rPr>
        <w:t> </w:t>
      </w:r>
      <w:r>
        <w:rPr/>
        <w:t>well-developed organisational competences and solid</w:t>
      </w:r>
      <w:r>
        <w:rPr>
          <w:spacing w:val="-2"/>
        </w:rPr>
        <w:t> </w:t>
      </w:r>
      <w:r>
        <w:rPr/>
        <w:t>writing</w:t>
      </w:r>
      <w:r>
        <w:rPr>
          <w:spacing w:val="-3"/>
        </w:rPr>
        <w:t> </w:t>
      </w:r>
      <w:r>
        <w:rPr/>
        <w:t>skills.</w:t>
      </w:r>
      <w:r>
        <w:rPr>
          <w:spacing w:val="-2"/>
        </w:rPr>
        <w:t> </w:t>
      </w:r>
      <w:r>
        <w:rPr/>
        <w:t>Teamwork, initiative taking, proactivity and the respect of deadlines are other assets that would make you the ideal </w:t>
      </w:r>
      <w:r>
        <w:rPr>
          <w:spacing w:val="-2"/>
        </w:rPr>
        <w:t>candidate.</w:t>
      </w:r>
    </w:p>
    <w:p>
      <w:pPr>
        <w:spacing w:after="0"/>
        <w:jc w:val="both"/>
        <w:sectPr>
          <w:pgSz w:w="11910" w:h="16840"/>
          <w:pgMar w:header="0" w:footer="690" w:top="1040" w:bottom="880" w:left="480" w:right="740"/>
        </w:sectPr>
      </w:pPr>
    </w:p>
    <w:p>
      <w:pPr>
        <w:pStyle w:val="BodyText"/>
        <w:spacing w:before="62"/>
        <w:ind w:left="1080"/>
      </w:pPr>
      <w:r>
        <w:rPr/>
        <w:t>The</w:t>
      </w:r>
      <w:r>
        <w:rPr>
          <w:spacing w:val="23"/>
        </w:rPr>
        <w:t> </w:t>
      </w:r>
      <w:r>
        <w:rPr/>
        <w:t>post</w:t>
      </w:r>
      <w:r>
        <w:rPr>
          <w:spacing w:val="23"/>
        </w:rPr>
        <w:t> </w:t>
      </w:r>
      <w:r>
        <w:rPr/>
        <w:t>offers</w:t>
      </w:r>
      <w:r>
        <w:rPr>
          <w:spacing w:val="23"/>
        </w:rPr>
        <w:t> </w:t>
      </w:r>
      <w:r>
        <w:rPr/>
        <w:t>the</w:t>
      </w:r>
      <w:r>
        <w:rPr>
          <w:spacing w:val="23"/>
        </w:rPr>
        <w:t> </w:t>
      </w:r>
      <w:r>
        <w:rPr/>
        <w:t>opportunity</w:t>
      </w:r>
      <w:r>
        <w:rPr>
          <w:spacing w:val="20"/>
        </w:rPr>
        <w:t> </w:t>
      </w:r>
      <w:r>
        <w:rPr/>
        <w:t>to</w:t>
      </w:r>
      <w:r>
        <w:rPr>
          <w:spacing w:val="23"/>
        </w:rPr>
        <w:t> </w:t>
      </w:r>
      <w:r>
        <w:rPr/>
        <w:t>work</w:t>
      </w:r>
      <w:r>
        <w:rPr>
          <w:spacing w:val="20"/>
        </w:rPr>
        <w:t> </w:t>
      </w:r>
      <w:r>
        <w:rPr/>
        <w:t>in</w:t>
      </w:r>
      <w:r>
        <w:rPr>
          <w:spacing w:val="23"/>
        </w:rPr>
        <w:t> </w:t>
      </w:r>
      <w:r>
        <w:rPr/>
        <w:t>a</w:t>
      </w:r>
      <w:r>
        <w:rPr>
          <w:spacing w:val="20"/>
        </w:rPr>
        <w:t> </w:t>
      </w:r>
      <w:r>
        <w:rPr/>
        <w:t>truly</w:t>
      </w:r>
      <w:r>
        <w:rPr>
          <w:spacing w:val="20"/>
        </w:rPr>
        <w:t> </w:t>
      </w:r>
      <w:r>
        <w:rPr/>
        <w:t>European</w:t>
      </w:r>
      <w:r>
        <w:rPr>
          <w:spacing w:val="23"/>
        </w:rPr>
        <w:t> </w:t>
      </w:r>
      <w:r>
        <w:rPr/>
        <w:t>and</w:t>
      </w:r>
      <w:r>
        <w:rPr>
          <w:spacing w:val="23"/>
        </w:rPr>
        <w:t> </w:t>
      </w:r>
      <w:r>
        <w:rPr/>
        <w:t>multicultural</w:t>
      </w:r>
      <w:r>
        <w:rPr>
          <w:spacing w:val="23"/>
        </w:rPr>
        <w:t> </w:t>
      </w:r>
      <w:r>
        <w:rPr/>
        <w:t>environment</w:t>
      </w:r>
      <w:r>
        <w:rPr>
          <w:spacing w:val="24"/>
        </w:rPr>
        <w:t> </w:t>
      </w:r>
      <w:r>
        <w:rPr/>
        <w:t>and</w:t>
      </w:r>
      <w:r>
        <w:rPr>
          <w:spacing w:val="20"/>
        </w:rPr>
        <w:t> </w:t>
      </w:r>
      <w:r>
        <w:rPr/>
        <w:t>to</w:t>
      </w:r>
      <w:r>
        <w:rPr>
          <w:spacing w:val="23"/>
        </w:rPr>
        <w:t> </w:t>
      </w:r>
      <w:r>
        <w:rPr/>
        <w:t>learn about the work of the European Union.</w:t>
      </w:r>
    </w:p>
    <w:p>
      <w:pPr>
        <w:pStyle w:val="BodyText"/>
        <w:rPr>
          <w:sz w:val="24"/>
        </w:rPr>
      </w:pPr>
    </w:p>
    <w:p>
      <w:pPr>
        <w:pStyle w:val="BodyText"/>
        <w:spacing w:before="1"/>
        <w:rPr>
          <w:sz w:val="20"/>
        </w:rPr>
      </w:pPr>
    </w:p>
    <w:p>
      <w:pPr>
        <w:pStyle w:val="BodyText"/>
        <w:spacing w:before="1"/>
        <w:ind w:left="1080"/>
      </w:pPr>
      <w:r>
        <w:rPr>
          <w:u w:val="single"/>
        </w:rPr>
        <w:t>Language(s)</w:t>
      </w:r>
      <w:r>
        <w:rPr>
          <w:spacing w:val="-3"/>
          <w:u w:val="single"/>
        </w:rPr>
        <w:t> </w:t>
      </w:r>
      <w:r>
        <w:rPr>
          <w:u w:val="single"/>
        </w:rPr>
        <w:t>necessary</w:t>
      </w:r>
      <w:r>
        <w:rPr>
          <w:spacing w:val="-6"/>
          <w:u w:val="single"/>
        </w:rPr>
        <w:t> </w:t>
      </w:r>
      <w:r>
        <w:rPr>
          <w:u w:val="single"/>
        </w:rPr>
        <w:t>for</w:t>
      </w:r>
      <w:r>
        <w:rPr>
          <w:spacing w:val="-4"/>
          <w:u w:val="single"/>
        </w:rPr>
        <w:t> </w:t>
      </w:r>
      <w:r>
        <w:rPr>
          <w:u w:val="single"/>
        </w:rPr>
        <w:t>the</w:t>
      </w:r>
      <w:r>
        <w:rPr>
          <w:spacing w:val="-3"/>
          <w:u w:val="single"/>
        </w:rPr>
        <w:t> </w:t>
      </w:r>
      <w:r>
        <w:rPr>
          <w:u w:val="single"/>
        </w:rPr>
        <w:t>performance</w:t>
      </w:r>
      <w:r>
        <w:rPr>
          <w:spacing w:val="-4"/>
          <w:u w:val="single"/>
        </w:rPr>
        <w:t> </w:t>
      </w:r>
      <w:r>
        <w:rPr>
          <w:u w:val="single"/>
        </w:rPr>
        <w:t>of</w:t>
      </w:r>
      <w:r>
        <w:rPr>
          <w:spacing w:val="-2"/>
          <w:u w:val="single"/>
        </w:rPr>
        <w:t> duties</w:t>
      </w:r>
    </w:p>
    <w:p>
      <w:pPr>
        <w:pStyle w:val="BodyText"/>
        <w:spacing w:before="10"/>
        <w:rPr>
          <w:sz w:val="13"/>
        </w:rPr>
      </w:pPr>
    </w:p>
    <w:p>
      <w:pPr>
        <w:pStyle w:val="BodyText"/>
        <w:spacing w:before="91"/>
        <w:ind w:left="1080"/>
      </w:pPr>
      <w:r>
        <w:rPr/>
        <w:t>See</w:t>
      </w:r>
      <w:r>
        <w:rPr>
          <w:spacing w:val="-5"/>
        </w:rPr>
        <w:t> </w:t>
      </w:r>
      <w:r>
        <w:rPr/>
        <w:t>eligibility</w:t>
      </w:r>
      <w:r>
        <w:rPr>
          <w:spacing w:val="-7"/>
        </w:rPr>
        <w:t> </w:t>
      </w:r>
      <w:r>
        <w:rPr>
          <w:spacing w:val="-2"/>
        </w:rPr>
        <w:t>criteria</w:t>
      </w:r>
    </w:p>
    <w:p>
      <w:pPr>
        <w:pStyle w:val="BodyText"/>
        <w:rPr>
          <w:sz w:val="24"/>
        </w:rPr>
      </w:pPr>
    </w:p>
    <w:p>
      <w:pPr>
        <w:pStyle w:val="BodyText"/>
        <w:spacing w:before="7"/>
        <w:rPr>
          <w:sz w:val="20"/>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9"/>
        <w:rPr>
          <w:b/>
          <w:sz w:val="21"/>
        </w:rPr>
      </w:pPr>
    </w:p>
    <w:p>
      <w:pPr>
        <w:pStyle w:val="BodyText"/>
        <w:spacing w:before="1"/>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799"/>
      </w:pPr>
      <w:r>
        <w:rPr/>
        <w:t>Candidates</w:t>
      </w:r>
      <w:r>
        <w:rPr>
          <w:spacing w:val="-2"/>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ListParagraph"/>
        <w:numPr>
          <w:ilvl w:val="0"/>
          <w:numId w:val="3"/>
        </w:numPr>
        <w:tabs>
          <w:tab w:pos="799" w:val="left" w:leader="none"/>
          <w:tab w:pos="800" w:val="left" w:leader="none"/>
        </w:tabs>
        <w:spacing w:line="240" w:lineRule="auto" w:before="7"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6"/>
        <w:rPr>
          <w:b/>
          <w:sz w:val="15"/>
        </w:rPr>
      </w:pPr>
    </w:p>
    <w:p>
      <w:pPr>
        <w:pStyle w:val="BodyText"/>
        <w:spacing w:before="92"/>
        <w:ind w:left="799" w:right="278"/>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hyperlink>
      <w:r>
        <w:rPr/>
        <w:t>.</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79"/>
        <w:jc w:val="both"/>
      </w:pPr>
      <w:r>
        <w:rPr/>
        <w:t>Unless for cost-free SNE, allowances may be granted by the Commission to SNE fulfilling the conditions provided for in Art. 17 of the SNE decision.</w:t>
      </w:r>
    </w:p>
    <w:p>
      <w:pPr>
        <w:pStyle w:val="BodyText"/>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1"/>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2"/>
        </w:rPr>
        <w:t> </w:t>
      </w:r>
      <w:r>
        <w:rPr/>
        <w:t>the</w:t>
      </w:r>
      <w:r>
        <w:rPr>
          <w:spacing w:val="-5"/>
        </w:rPr>
        <w:t> </w:t>
      </w:r>
      <w:r>
        <w:rPr/>
        <w:t>application</w:t>
      </w:r>
      <w:r>
        <w:rPr>
          <w:spacing w:val="-2"/>
        </w:rPr>
        <w:t> </w:t>
      </w:r>
      <w:r>
        <w:rPr/>
        <w:t>may</w:t>
      </w:r>
      <w:r>
        <w:rPr>
          <w:spacing w:val="-5"/>
        </w:rPr>
        <w:t> </w:t>
      </w:r>
      <w:r>
        <w:rPr/>
        <w:t>be</w:t>
      </w:r>
      <w:r>
        <w:rPr>
          <w:spacing w:val="-2"/>
        </w:rPr>
        <w:t> cancelled.</w:t>
      </w:r>
    </w:p>
    <w:p>
      <w:pPr>
        <w:pStyle w:val="BodyText"/>
      </w:pPr>
    </w:p>
    <w:p>
      <w:pPr>
        <w:pStyle w:val="BodyText"/>
        <w:spacing w:before="1"/>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6"/>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2"/>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spacing w:after="0"/>
        <w:jc w:val="both"/>
        <w:sectPr>
          <w:pgSz w:w="11910" w:h="16840"/>
          <w:pgMar w:header="0" w:footer="690" w:top="1300" w:bottom="880" w:left="480" w:right="740"/>
        </w:sectPr>
      </w:pPr>
    </w:p>
    <w:p>
      <w:pPr>
        <w:pStyle w:val="BodyText"/>
        <w:spacing w:before="68"/>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6"/>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7"/>
        </w:numPr>
        <w:tabs>
          <w:tab w:pos="1081" w:val="left" w:leader="none"/>
        </w:tabs>
        <w:spacing w:line="240" w:lineRule="auto"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spacing w:before="33"/>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spacing w:before="6"/>
      </w:pPr>
    </w:p>
    <w:p>
      <w:pPr>
        <w:pStyle w:val="Heading1"/>
        <w:numPr>
          <w:ilvl w:val="0"/>
          <w:numId w:val="7"/>
        </w:numPr>
        <w:tabs>
          <w:tab w:pos="1081" w:val="left" w:leader="none"/>
        </w:tabs>
        <w:spacing w:line="240" w:lineRule="auto" w:before="0" w:after="0"/>
        <w:ind w:left="1080" w:right="0" w:hanging="284"/>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before="32"/>
        <w:ind w:left="1080" w:right="280"/>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6"/>
      </w:pPr>
    </w:p>
    <w:p>
      <w:pPr>
        <w:pStyle w:val="Heading1"/>
        <w:numPr>
          <w:ilvl w:val="0"/>
          <w:numId w:val="7"/>
        </w:numPr>
        <w:tabs>
          <w:tab w:pos="1081" w:val="left" w:leader="none"/>
        </w:tabs>
        <w:spacing w:line="240" w:lineRule="auto" w:before="0" w:after="0"/>
        <w:ind w:left="1080" w:right="0" w:hanging="284"/>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spacing w:before="33"/>
        <w:ind w:left="1080" w:right="286"/>
        <w:jc w:val="both"/>
      </w:pPr>
      <w:r>
        <w:rPr/>
        <w:pict>
          <v:rect style="position:absolute;margin-left:230.330002pt;margin-top:25.719559pt;width:3.72pt;height:.47998pt;mso-position-horizontal-relative:page;mso-position-vertical-relative:paragraph;z-index:-15850496"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51008"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5">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3">
    <w:multiLevelType w:val="hybridMultilevel"/>
    <w:lvl w:ilvl="0">
      <w:start w:val="1"/>
      <w:numFmt w:val="decimal"/>
      <w:lvlText w:val="%1."/>
      <w:lvlJc w:val="left"/>
      <w:pPr>
        <w:ind w:left="732" w:hanging="360"/>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732" w:hanging="360"/>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723" w:hanging="360"/>
      </w:pPr>
      <w:rPr>
        <w:rFonts w:hint="default"/>
        <w:lang w:val="en-US" w:eastAsia="en-US" w:bidi="ar-SA"/>
      </w:rPr>
    </w:lvl>
    <w:lvl w:ilvl="4">
      <w:start w:val="0"/>
      <w:numFmt w:val="bullet"/>
      <w:lvlText w:val="•"/>
      <w:lvlJc w:val="left"/>
      <w:pPr>
        <w:ind w:left="4718" w:hanging="360"/>
      </w:pPr>
      <w:rPr>
        <w:rFonts w:hint="default"/>
        <w:lang w:val="en-US" w:eastAsia="en-US" w:bidi="ar-SA"/>
      </w:rPr>
    </w:lvl>
    <w:lvl w:ilvl="5">
      <w:start w:val="0"/>
      <w:numFmt w:val="bullet"/>
      <w:lvlText w:val="•"/>
      <w:lvlJc w:val="left"/>
      <w:pPr>
        <w:ind w:left="5713" w:hanging="360"/>
      </w:pPr>
      <w:rPr>
        <w:rFonts w:hint="default"/>
        <w:lang w:val="en-US" w:eastAsia="en-US" w:bidi="ar-SA"/>
      </w:rPr>
    </w:lvl>
    <w:lvl w:ilvl="6">
      <w:start w:val="0"/>
      <w:numFmt w:val="bullet"/>
      <w:lvlText w:val="•"/>
      <w:lvlJc w:val="left"/>
      <w:pPr>
        <w:ind w:left="6707"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97" w:hanging="360"/>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135" w:hanging="252"/>
      </w:pPr>
      <w:rPr>
        <w:rFonts w:hint="default" w:ascii="Symbol" w:hAnsi="Symbol" w:eastAsia="Symbol" w:cs="Symbol"/>
        <w:b w:val="0"/>
        <w:bCs w:val="0"/>
        <w:i w:val="0"/>
        <w:iCs w:val="0"/>
        <w:w w:val="99"/>
        <w:sz w:val="20"/>
        <w:szCs w:val="20"/>
        <w:lang w:val="en-US" w:eastAsia="en-US" w:bidi="ar-SA"/>
      </w:rPr>
    </w:lvl>
    <w:lvl w:ilvl="2">
      <w:start w:val="0"/>
      <w:numFmt w:val="bullet"/>
      <w:lvlText w:val="•"/>
      <w:lvlJc w:val="left"/>
      <w:pPr>
        <w:ind w:left="2200" w:hanging="252"/>
      </w:pPr>
      <w:rPr>
        <w:rFonts w:hint="default"/>
        <w:lang w:val="en-US" w:eastAsia="en-US" w:bidi="ar-SA"/>
      </w:rPr>
    </w:lvl>
    <w:lvl w:ilvl="3">
      <w:start w:val="0"/>
      <w:numFmt w:val="bullet"/>
      <w:lvlText w:val="•"/>
      <w:lvlJc w:val="left"/>
      <w:pPr>
        <w:ind w:left="3261" w:hanging="252"/>
      </w:pPr>
      <w:rPr>
        <w:rFonts w:hint="default"/>
        <w:lang w:val="en-US" w:eastAsia="en-US" w:bidi="ar-SA"/>
      </w:rPr>
    </w:lvl>
    <w:lvl w:ilvl="4">
      <w:start w:val="0"/>
      <w:numFmt w:val="bullet"/>
      <w:lvlText w:val="•"/>
      <w:lvlJc w:val="left"/>
      <w:pPr>
        <w:ind w:left="4322" w:hanging="252"/>
      </w:pPr>
      <w:rPr>
        <w:rFonts w:hint="default"/>
        <w:lang w:val="en-US" w:eastAsia="en-US" w:bidi="ar-SA"/>
      </w:rPr>
    </w:lvl>
    <w:lvl w:ilvl="5">
      <w:start w:val="0"/>
      <w:numFmt w:val="bullet"/>
      <w:lvlText w:val="•"/>
      <w:lvlJc w:val="left"/>
      <w:pPr>
        <w:ind w:left="5382" w:hanging="252"/>
      </w:pPr>
      <w:rPr>
        <w:rFonts w:hint="default"/>
        <w:lang w:val="en-US" w:eastAsia="en-US" w:bidi="ar-SA"/>
      </w:rPr>
    </w:lvl>
    <w:lvl w:ilvl="6">
      <w:start w:val="0"/>
      <w:numFmt w:val="bullet"/>
      <w:lvlText w:val="•"/>
      <w:lvlJc w:val="left"/>
      <w:pPr>
        <w:ind w:left="6443" w:hanging="252"/>
      </w:pPr>
      <w:rPr>
        <w:rFonts w:hint="default"/>
        <w:lang w:val="en-US" w:eastAsia="en-US" w:bidi="ar-SA"/>
      </w:rPr>
    </w:lvl>
    <w:lvl w:ilvl="7">
      <w:start w:val="0"/>
      <w:numFmt w:val="bullet"/>
      <w:lvlText w:val="•"/>
      <w:lvlJc w:val="left"/>
      <w:pPr>
        <w:ind w:left="7504" w:hanging="252"/>
      </w:pPr>
      <w:rPr>
        <w:rFonts w:hint="default"/>
        <w:lang w:val="en-US" w:eastAsia="en-US" w:bidi="ar-SA"/>
      </w:rPr>
    </w:lvl>
    <w:lvl w:ilvl="8">
      <w:start w:val="0"/>
      <w:numFmt w:val="bullet"/>
      <w:lvlText w:val="•"/>
      <w:lvlJc w:val="left"/>
      <w:pPr>
        <w:ind w:left="8564" w:hanging="252"/>
      </w:pPr>
      <w:rPr>
        <w:rFonts w:hint="default"/>
        <w:lang w:val="en-US" w:eastAsia="en-US" w:bidi="ar-SA"/>
      </w:rPr>
    </w:lvl>
  </w:abstractNum>
  <w:num w:numId="7">
    <w:abstractNumId w:val="6"/>
  </w: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3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atherine.magnant@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2023-02-16T16:40:39Z</dcterms:created>
  <dcterms:modified xsi:type="dcterms:W3CDTF">2023-02-16T16:40:39Z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