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8"/>
        <w:gridCol w:w="775"/>
        <w:gridCol w:w="2314"/>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gridSpan w:val="3"/>
          </w:tcPr>
          <w:p>
            <w:pPr>
              <w:pStyle w:val="TableParagraph"/>
              <w:spacing w:before="167"/>
              <w:rPr>
                <w:b/>
                <w:sz w:val="24"/>
              </w:rPr>
            </w:pPr>
            <w:r>
              <w:rPr>
                <w:b/>
                <w:spacing w:val="-2"/>
                <w:sz w:val="24"/>
              </w:rPr>
              <w:t>ENV-B-</w:t>
            </w:r>
            <w:r>
              <w:rPr>
                <w:b/>
                <w:spacing w:val="-10"/>
                <w:sz w:val="24"/>
              </w:rPr>
              <w:t>3</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7" w:type="dxa"/>
            <w:gridSpan w:val="3"/>
            <w:tcBorders>
              <w:bottom w:val="nil"/>
            </w:tcBorders>
          </w:tcPr>
          <w:p>
            <w:pPr>
              <w:pStyle w:val="TableParagraph"/>
              <w:spacing w:line="237" w:lineRule="exact"/>
              <w:rPr>
                <w:b/>
                <w:sz w:val="22"/>
              </w:rPr>
            </w:pPr>
            <w:r>
              <w:rPr>
                <w:b/>
                <w:sz w:val="22"/>
              </w:rPr>
              <w:t>Mattia</w:t>
            </w:r>
            <w:r>
              <w:rPr>
                <w:b/>
                <w:spacing w:val="-5"/>
                <w:sz w:val="22"/>
              </w:rPr>
              <w:t> </w:t>
            </w:r>
            <w:r>
              <w:rPr>
                <w:b/>
                <w:spacing w:val="-2"/>
                <w:sz w:val="22"/>
              </w:rPr>
              <w:t>Pellegrini</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7" w:type="dxa"/>
            <w:gridSpan w:val="3"/>
            <w:tcBorders>
              <w:top w:val="nil"/>
              <w:bottom w:val="nil"/>
            </w:tcBorders>
          </w:tcPr>
          <w:p>
            <w:pPr>
              <w:pStyle w:val="TableParagraph"/>
              <w:spacing w:line="233" w:lineRule="exact"/>
              <w:rPr>
                <w:b/>
                <w:sz w:val="22"/>
              </w:rPr>
            </w:pPr>
            <w:hyperlink r:id="rId7">
              <w:r>
                <w:rPr>
                  <w:b/>
                  <w:color w:val="0000FF"/>
                  <w:spacing w:val="-2"/>
                  <w:sz w:val="22"/>
                  <w:u w:val="single" w:color="0000FF"/>
                </w:rPr>
                <w:t>Mattia.pellegrini@ec.europa.eu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7" w:type="dxa"/>
            <w:gridSpan w:val="3"/>
            <w:tcBorders>
              <w:top w:val="nil"/>
              <w:bottom w:val="nil"/>
            </w:tcBorders>
          </w:tcPr>
          <w:p>
            <w:pPr>
              <w:pStyle w:val="TableParagraph"/>
              <w:spacing w:line="233" w:lineRule="exact"/>
              <w:rPr>
                <w:b/>
                <w:sz w:val="22"/>
              </w:rPr>
            </w:pPr>
            <w:r>
              <w:rPr>
                <w:b/>
                <w:sz w:val="22"/>
              </w:rPr>
              <w:t>+</w:t>
            </w:r>
            <w:r>
              <w:rPr>
                <w:b/>
                <w:spacing w:val="-1"/>
                <w:sz w:val="22"/>
              </w:rPr>
              <w:t> </w:t>
            </w:r>
            <w:r>
              <w:rPr>
                <w:b/>
                <w:sz w:val="22"/>
              </w:rPr>
              <w:t>32 229 </w:t>
            </w:r>
            <w:r>
              <w:rPr>
                <w:b/>
                <w:spacing w:val="-2"/>
                <w:sz w:val="22"/>
              </w:rPr>
              <w:t>54138</w:t>
            </w:r>
          </w:p>
        </w:tc>
      </w:tr>
      <w:tr>
        <w:trPr>
          <w:trHeight w:val="264" w:hRule="atLeast"/>
        </w:trPr>
        <w:tc>
          <w:tcPr>
            <w:tcW w:w="4359" w:type="dxa"/>
            <w:tcBorders>
              <w:top w:val="nil"/>
              <w:bottom w:val="nil"/>
            </w:tcBorders>
          </w:tcPr>
          <w:p>
            <w:pPr>
              <w:pStyle w:val="TableParagraph"/>
              <w:spacing w:line="245"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7" w:type="dxa"/>
            <w:gridSpan w:val="3"/>
            <w:tcBorders>
              <w:top w:val="nil"/>
              <w:bottom w:val="nil"/>
            </w:tcBorders>
          </w:tcPr>
          <w:p>
            <w:pPr>
              <w:pStyle w:val="TableParagraph"/>
              <w:spacing w:line="245" w:lineRule="exact"/>
              <w:rPr>
                <w:b/>
                <w:sz w:val="24"/>
              </w:rPr>
            </w:pPr>
            <w:r>
              <w:rPr>
                <w:b/>
                <w:sz w:val="24"/>
              </w:rPr>
              <w:t>1</w:t>
            </w:r>
          </w:p>
        </w:tc>
      </w:tr>
      <w:tr>
        <w:trPr>
          <w:trHeight w:val="252" w:hRule="atLeast"/>
        </w:trPr>
        <w:tc>
          <w:tcPr>
            <w:tcW w:w="4359" w:type="dxa"/>
            <w:tcBorders>
              <w:top w:val="nil"/>
              <w:bottom w:val="nil"/>
            </w:tcBorders>
          </w:tcPr>
          <w:p>
            <w:pPr>
              <w:pStyle w:val="TableParagraph"/>
              <w:spacing w:line="233"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7" w:type="dxa"/>
            <w:gridSpan w:val="3"/>
            <w:tcBorders>
              <w:top w:val="nil"/>
              <w:bottom w:val="nil"/>
            </w:tcBorders>
          </w:tcPr>
          <w:p>
            <w:pPr>
              <w:pStyle w:val="TableParagraph"/>
              <w:spacing w:line="225" w:lineRule="exact" w:before="7"/>
              <w:rPr>
                <w:b/>
                <w:sz w:val="22"/>
              </w:rPr>
            </w:pPr>
            <w:r>
              <w:rPr>
                <w:b/>
                <w:sz w:val="22"/>
              </w:rPr>
              <w:t>1</w:t>
            </w:r>
            <w:r>
              <w:rPr>
                <w:b/>
                <w:sz w:val="22"/>
                <w:vertAlign w:val="superscript"/>
              </w:rPr>
              <w:t>st</w:t>
            </w:r>
            <w:r>
              <w:rPr>
                <w:b/>
                <w:spacing w:val="-3"/>
                <w:sz w:val="22"/>
                <w:vertAlign w:val="baseline"/>
              </w:rPr>
              <w:t> </w:t>
            </w:r>
            <w:r>
              <w:rPr>
                <w:b/>
                <w:sz w:val="22"/>
                <w:vertAlign w:val="baseline"/>
              </w:rPr>
              <w:t>quarter</w:t>
            </w:r>
            <w:r>
              <w:rPr>
                <w:b/>
                <w:spacing w:val="-1"/>
                <w:sz w:val="22"/>
                <w:vertAlign w:val="baseline"/>
              </w:rPr>
              <w:t> </w:t>
            </w:r>
            <w:r>
              <w:rPr>
                <w:b/>
                <w:sz w:val="22"/>
                <w:vertAlign w:val="baseline"/>
              </w:rPr>
              <w:t>2023</w:t>
            </w:r>
            <w:r>
              <w:rPr>
                <w:b/>
                <w:spacing w:val="-6"/>
                <w:sz w:val="22"/>
                <w:vertAlign w:val="baseline"/>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7" w:type="dxa"/>
            <w:gridSpan w:val="3"/>
            <w:tcBorders>
              <w:top w:val="nil"/>
              <w:bottom w:val="nil"/>
            </w:tcBorders>
          </w:tcPr>
          <w:p>
            <w:pPr>
              <w:pStyle w:val="TableParagraph"/>
              <w:spacing w:line="226" w:lineRule="exact" w:before="7"/>
              <w:rPr>
                <w:b/>
                <w:sz w:val="22"/>
              </w:rPr>
            </w:pPr>
            <w:r>
              <w:rPr>
                <w:b/>
                <w:sz w:val="22"/>
              </w:rPr>
              <w:t>2 </w:t>
            </w:r>
            <w:r>
              <w:rPr>
                <w:b/>
                <w:spacing w:val="-2"/>
                <w:sz w:val="22"/>
              </w:rPr>
              <w:t>years</w:t>
            </w:r>
            <w:r>
              <w:rPr>
                <w:b/>
                <w:spacing w:val="-2"/>
                <w:sz w:val="22"/>
                <w:vertAlign w:val="superscript"/>
              </w:rPr>
              <w:t>1</w:t>
            </w:r>
          </w:p>
        </w:tc>
      </w:tr>
      <w:tr>
        <w:trPr>
          <w:trHeight w:val="443" w:hRule="atLeast"/>
        </w:trPr>
        <w:tc>
          <w:tcPr>
            <w:tcW w:w="4359" w:type="dxa"/>
            <w:tcBorders>
              <w:top w:val="nil"/>
              <w:bottom w:val="nil"/>
            </w:tcBorders>
          </w:tcPr>
          <w:p>
            <w:pPr>
              <w:pStyle w:val="TableParagraph"/>
              <w:spacing w:line="237"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7" w:type="dxa"/>
            <w:gridSpan w:val="3"/>
            <w:tcBorders>
              <w:top w:val="nil"/>
            </w:tcBorders>
          </w:tcPr>
          <w:p>
            <w:pPr>
              <w:pStyle w:val="TableParagraph"/>
              <w:spacing w:before="6"/>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8" w:type="dxa"/>
            <w:tcBorders>
              <w:right w:val="nil"/>
            </w:tcBorders>
          </w:tcPr>
          <w:p>
            <w:pPr>
              <w:pStyle w:val="TableParagraph"/>
              <w:numPr>
                <w:ilvl w:val="0"/>
                <w:numId w:val="1"/>
              </w:numPr>
              <w:tabs>
                <w:tab w:pos="523" w:val="left" w:leader="none"/>
                <w:tab w:pos="524" w:val="left" w:leader="none"/>
              </w:tabs>
              <w:spacing w:line="240" w:lineRule="auto" w:before="145" w:after="0"/>
              <w:ind w:left="523" w:right="0" w:hanging="419"/>
              <w:jc w:val="left"/>
              <w:rPr>
                <w:b/>
                <w:sz w:val="22"/>
              </w:rPr>
            </w:pPr>
            <w:r>
              <w:rPr>
                <w:b/>
                <w:sz w:val="22"/>
              </w:rPr>
              <w:t>With</w:t>
            </w:r>
            <w:r>
              <w:rPr>
                <w:b/>
                <w:spacing w:val="-2"/>
                <w:sz w:val="22"/>
              </w:rPr>
              <w:t> allowances</w:t>
            </w:r>
          </w:p>
        </w:tc>
        <w:tc>
          <w:tcPr>
            <w:tcW w:w="775" w:type="dxa"/>
            <w:tcBorders>
              <w:left w:val="nil"/>
              <w:right w:val="nil"/>
            </w:tcBorders>
          </w:tcPr>
          <w:p>
            <w:pPr>
              <w:pStyle w:val="TableParagraph"/>
              <w:spacing w:before="164"/>
              <w:ind w:left="444"/>
              <w:rPr>
                <w:rFonts w:ascii="Wingdings 2" w:hAnsi="Wingdings 2"/>
                <w:b/>
                <w:sz w:val="22"/>
              </w:rPr>
            </w:pPr>
            <w:r>
              <w:rPr>
                <w:rFonts w:ascii="Wingdings 2" w:hAnsi="Wingdings 2"/>
                <w:b/>
                <w:w w:val="100"/>
                <w:sz w:val="22"/>
              </w:rPr>
              <w:t></w:t>
            </w:r>
          </w:p>
        </w:tc>
        <w:tc>
          <w:tcPr>
            <w:tcW w:w="2314" w:type="dxa"/>
            <w:tcBorders>
              <w:left w:val="nil"/>
            </w:tcBorders>
          </w:tcPr>
          <w:p>
            <w:pPr>
              <w:pStyle w:val="TableParagraph"/>
              <w:spacing w:before="145"/>
              <w:ind w:left="145"/>
              <w:rPr>
                <w:b/>
                <w:sz w:val="22"/>
              </w:rPr>
            </w:pPr>
            <w:r>
              <w:rPr>
                <w:b/>
                <w:spacing w:val="-2"/>
                <w:sz w:val="22"/>
              </w:rPr>
              <w:t>Cost-</w:t>
            </w:r>
            <w:r>
              <w:rPr>
                <w:b/>
                <w:spacing w:val="-4"/>
                <w:sz w:val="22"/>
              </w:rPr>
              <w:t>free</w:t>
            </w:r>
          </w:p>
        </w:tc>
      </w:tr>
      <w:tr>
        <w:trPr>
          <w:trHeight w:val="2114" w:hRule="atLeast"/>
        </w:trPr>
        <w:tc>
          <w:tcPr>
            <w:tcW w:w="9956" w:type="dxa"/>
            <w:gridSpan w:val="4"/>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tabs>
                <w:tab w:pos="544" w:val="left" w:leader="none"/>
              </w:tabs>
              <w:rPr>
                <w:b/>
                <w:sz w:val="24"/>
              </w:rPr>
            </w:pPr>
            <w:r>
              <w:rPr>
                <w:rFonts w:ascii="Wingdings 2" w:hAnsi="Wingdings 2"/>
                <w:b/>
                <w:spacing w:val="-10"/>
                <w:sz w:val="22"/>
              </w:rPr>
              <w:t></w:t>
            </w:r>
            <w:r>
              <w:rPr>
                <w:sz w:val="22"/>
              </w:rPr>
              <w:tab/>
            </w:r>
            <w:r>
              <w:rPr>
                <w:b/>
                <w:sz w:val="24"/>
              </w:rPr>
              <w:t>the</w:t>
            </w:r>
            <w:r>
              <w:rPr>
                <w:b/>
                <w:spacing w:val="-10"/>
                <w:sz w:val="24"/>
              </w:rPr>
              <w:t> </w:t>
            </w:r>
            <w:r>
              <w:rPr>
                <w:b/>
                <w:sz w:val="24"/>
              </w:rPr>
              <w:t>following</w:t>
            </w:r>
            <w:r>
              <w:rPr>
                <w:b/>
                <w:spacing w:val="-9"/>
                <w:sz w:val="24"/>
              </w:rPr>
              <w:t> </w:t>
            </w:r>
            <w:r>
              <w:rPr>
                <w:b/>
                <w:sz w:val="24"/>
              </w:rPr>
              <w:t>EFTA</w:t>
            </w:r>
            <w:r>
              <w:rPr>
                <w:b/>
                <w:spacing w:val="-6"/>
                <w:sz w:val="24"/>
              </w:rPr>
              <w:t> </w:t>
            </w:r>
            <w:r>
              <w:rPr>
                <w:b/>
                <w:sz w:val="24"/>
              </w:rPr>
              <w:t>countries</w:t>
            </w:r>
            <w:r>
              <w:rPr>
                <w:b/>
                <w:spacing w:val="-7"/>
                <w:sz w:val="24"/>
              </w:rPr>
              <w:t> </w:t>
            </w:r>
            <w:r>
              <w:rPr>
                <w:b/>
                <w:spacing w:val="-10"/>
                <w:sz w:val="24"/>
              </w:rPr>
              <w:t>:</w:t>
            </w:r>
          </w:p>
          <w:p>
            <w:pPr>
              <w:pStyle w:val="TableParagraph"/>
              <w:numPr>
                <w:ilvl w:val="0"/>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4"/>
                <w:sz w:val="24"/>
              </w:rPr>
              <w:t> </w:t>
            </w:r>
            <w:r>
              <w:rPr>
                <w:rFonts w:ascii="Wingdings 2" w:hAnsi="Wingdings 2"/>
                <w:b/>
                <w:sz w:val="22"/>
              </w:rPr>
              <w:t></w:t>
            </w:r>
            <w:r>
              <w:rPr>
                <w:spacing w:val="3"/>
                <w:sz w:val="22"/>
              </w:rPr>
              <w:t> </w:t>
            </w:r>
            <w:r>
              <w:rPr>
                <w:b/>
                <w:sz w:val="24"/>
              </w:rPr>
              <w:t>Norway</w:t>
            </w:r>
            <w:r>
              <w:rPr>
                <w:b/>
                <w:spacing w:val="49"/>
                <w:sz w:val="24"/>
              </w:rPr>
              <w:t> </w:t>
            </w:r>
            <w:r>
              <w:rPr>
                <w:rFonts w:ascii="Wingdings 2" w:hAnsi="Wingdings 2"/>
                <w:b/>
                <w:sz w:val="24"/>
              </w:rPr>
              <w:t></w:t>
            </w:r>
            <w:r>
              <w:rPr>
                <w:spacing w:val="-2"/>
                <w:sz w:val="24"/>
              </w:rPr>
              <w:t> </w:t>
            </w:r>
            <w:r>
              <w:rPr>
                <w:b/>
                <w:spacing w:val="-2"/>
                <w:sz w:val="24"/>
              </w:rPr>
              <w:t>Switzerland</w:t>
            </w:r>
          </w:p>
          <w:p>
            <w:pPr>
              <w:pStyle w:val="TableParagraph"/>
              <w:numPr>
                <w:ilvl w:val="0"/>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3"/>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3"/>
        <w:rPr>
          <w:b/>
          <w:sz w:val="24"/>
        </w:rPr>
      </w:pPr>
    </w:p>
    <w:p>
      <w:pPr>
        <w:pStyle w:val="ListParagraph"/>
        <w:numPr>
          <w:ilvl w:val="0"/>
          <w:numId w:val="4"/>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799" w:right="103"/>
        <w:jc w:val="both"/>
      </w:pPr>
      <w:r>
        <w:rPr/>
        <w:t>The "From Waste to Resources" Unit in DG Environment unites 30 enthusiastic and friendly colleagues working towards a sustainable, circular and climate-neutral economy in Europe. As a team of dynamic professionals including economists, lawyers and engineers, we are responsible for 12 pieces of waste-related legislation in an area of high public and political interest. Our policies form a key building block of the Green Deal and the Circular Economy Action Plan and have a strong link with other areas of high common interest such as climate, energy, consumer, health and economic policies. We have a busy agenda with a number of revisions of EU legislative acts to be delivered in the coming years, as well as important work to ensure the implementation of the existing acquis.</w:t>
      </w:r>
    </w:p>
    <w:p>
      <w:pPr>
        <w:pStyle w:val="BodyText"/>
        <w:spacing w:before="10"/>
        <w:rPr>
          <w:sz w:val="21"/>
        </w:rPr>
      </w:pPr>
    </w:p>
    <w:p>
      <w:pPr>
        <w:pStyle w:val="BodyText"/>
        <w:ind w:left="799" w:right="106"/>
        <w:jc w:val="both"/>
      </w:pPr>
      <w:r>
        <w:rPr/>
        <w:t>We are looking for a colleague who will work on the implementation and revision of the Directive on Restrictions of Hazardous Substances in Electrical and Electronic Equipment, the RoHS Directive. This Directive is of great practical relevance to achieving circularity in the sector, by triggering the phase-out and substitution of hazardous substances in the electronics sector, and thus supporting (preparation for) reuse and recycling, and avoiding health and environmental risk. Following the evaluation of the RoHS Directive, the Commission is engaged in its review, aiming to propose a revised Directive in 2023.</w:t>
      </w:r>
      <w:r>
        <w:rPr>
          <w:spacing w:val="40"/>
        </w:rPr>
        <w:t> </w:t>
      </w:r>
      <w:r>
        <w:rPr/>
        <w:t>The national expert, working together with a policy officer and the team coordinator, would support to the development of this proposal. This would also involve close contacts with colleagues working on related instruments/ policies, notably the Directive on waste electrical and electronic equipment (WEEE Directive), chemicals legislation, the Directive and legislative proposal on eco-design, and other related policies. The second substantive part of the work consists in dealing with the assessment and preparation of decision-making in the implementation of the Directive, notably in form of an important number of exemption requests by industry.</w:t>
      </w:r>
    </w:p>
    <w:p>
      <w:pPr>
        <w:pStyle w:val="BodyText"/>
        <w:spacing w:before="2"/>
      </w:pPr>
    </w:p>
    <w:p>
      <w:pPr>
        <w:pStyle w:val="BodyText"/>
        <w:ind w:left="799" w:right="112"/>
        <w:jc w:val="both"/>
      </w:pPr>
      <w:r>
        <w:rPr/>
        <w:t>You will be working on the analysis of the economic, environmental and social impacts of the Commission proposal</w:t>
      </w:r>
      <w:r>
        <w:rPr>
          <w:spacing w:val="24"/>
        </w:rPr>
        <w:t> </w:t>
      </w:r>
      <w:r>
        <w:rPr/>
        <w:t>for</w:t>
      </w:r>
      <w:r>
        <w:rPr>
          <w:spacing w:val="23"/>
        </w:rPr>
        <w:t> </w:t>
      </w:r>
      <w:r>
        <w:rPr/>
        <w:t>the</w:t>
      </w:r>
      <w:r>
        <w:rPr>
          <w:spacing w:val="23"/>
        </w:rPr>
        <w:t> </w:t>
      </w:r>
      <w:r>
        <w:rPr/>
        <w:t>review</w:t>
      </w:r>
      <w:r>
        <w:rPr>
          <w:spacing w:val="24"/>
        </w:rPr>
        <w:t> </w:t>
      </w:r>
      <w:r>
        <w:rPr/>
        <w:t>of</w:t>
      </w:r>
      <w:r>
        <w:rPr>
          <w:spacing w:val="23"/>
        </w:rPr>
        <w:t> </w:t>
      </w:r>
      <w:r>
        <w:rPr/>
        <w:t>the</w:t>
      </w:r>
      <w:r>
        <w:rPr>
          <w:spacing w:val="25"/>
        </w:rPr>
        <w:t> </w:t>
      </w:r>
      <w:r>
        <w:rPr/>
        <w:t>RoHS</w:t>
      </w:r>
      <w:r>
        <w:rPr>
          <w:spacing w:val="25"/>
        </w:rPr>
        <w:t> </w:t>
      </w:r>
      <w:r>
        <w:rPr/>
        <w:t>Directive,</w:t>
      </w:r>
      <w:r>
        <w:rPr>
          <w:spacing w:val="25"/>
        </w:rPr>
        <w:t> </w:t>
      </w:r>
      <w:r>
        <w:rPr/>
        <w:t>and</w:t>
      </w:r>
      <w:r>
        <w:rPr>
          <w:spacing w:val="23"/>
        </w:rPr>
        <w:t> </w:t>
      </w:r>
      <w:r>
        <w:rPr/>
        <w:t>will</w:t>
      </w:r>
      <w:r>
        <w:rPr>
          <w:spacing w:val="23"/>
        </w:rPr>
        <w:t> </w:t>
      </w:r>
      <w:r>
        <w:rPr/>
        <w:t>contribute</w:t>
      </w:r>
      <w:r>
        <w:rPr>
          <w:spacing w:val="25"/>
        </w:rPr>
        <w:t> </w:t>
      </w:r>
      <w:r>
        <w:rPr/>
        <w:t>to</w:t>
      </w:r>
      <w:r>
        <w:rPr>
          <w:spacing w:val="25"/>
        </w:rPr>
        <w:t> </w:t>
      </w:r>
      <w:r>
        <w:rPr/>
        <w:t>working</w:t>
      </w:r>
      <w:r>
        <w:rPr>
          <w:spacing w:val="20"/>
        </w:rPr>
        <w:t> </w:t>
      </w:r>
      <w:r>
        <w:rPr/>
        <w:t>out</w:t>
      </w:r>
      <w:r>
        <w:rPr>
          <w:spacing w:val="26"/>
        </w:rPr>
        <w:t> </w:t>
      </w:r>
      <w:r>
        <w:rPr/>
        <w:t>the</w:t>
      </w:r>
      <w:r>
        <w:rPr>
          <w:spacing w:val="25"/>
        </w:rPr>
        <w:t> </w:t>
      </w:r>
      <w:r>
        <w:rPr/>
        <w:t>legislative</w:t>
      </w:r>
      <w:r>
        <w:rPr>
          <w:spacing w:val="25"/>
        </w:rPr>
        <w:t> </w:t>
      </w:r>
      <w:r>
        <w:rPr/>
        <w:t>proposal.</w:t>
      </w:r>
    </w:p>
    <w:p>
      <w:pPr>
        <w:pStyle w:val="BodyText"/>
        <w:rPr>
          <w:sz w:val="20"/>
        </w:rPr>
      </w:pPr>
    </w:p>
    <w:p>
      <w:pPr>
        <w:pStyle w:val="BodyText"/>
        <w:spacing w:before="1"/>
        <w:rPr>
          <w:sz w:val="11"/>
        </w:rPr>
      </w:pPr>
      <w:r>
        <w:rPr/>
        <w:pict>
          <v:rect style="position:absolute;margin-left:42.599998pt;margin-top:7.589755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right="108"/>
        <w:jc w:val="both"/>
      </w:pPr>
      <w:r>
        <w:rPr/>
        <w:t>Such analysis is a key component of the Commission’s preparatory work for new legislative proposals and an essential element to underpin the soundness and quality of such proposals.</w:t>
      </w:r>
    </w:p>
    <w:p>
      <w:pPr>
        <w:pStyle w:val="BodyText"/>
        <w:spacing w:before="2"/>
      </w:pPr>
    </w:p>
    <w:p>
      <w:pPr>
        <w:pStyle w:val="BodyText"/>
        <w:ind w:left="799" w:right="106"/>
        <w:jc w:val="both"/>
      </w:pPr>
      <w:r>
        <w:rPr/>
        <w:t>The work pertaining to the implementation of the Directive will imply overseeing and steering related scientific and technical assessments regarding exemption requests and, possibly, substance restrictions, and in the following assessing it and preparing and consulting the related decision-making (delegated legislation). This goes along with relating with stakeholders, as well as with Member States’ experts.</w:t>
      </w:r>
    </w:p>
    <w:p>
      <w:pPr>
        <w:pStyle w:val="BodyText"/>
        <w:spacing w:before="5"/>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8"/>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0"/>
        <w:rPr>
          <w:sz w:val="21"/>
        </w:rPr>
      </w:pPr>
    </w:p>
    <w:p>
      <w:pPr>
        <w:pStyle w:val="ListParagraph"/>
        <w:numPr>
          <w:ilvl w:val="2"/>
          <w:numId w:val="4"/>
        </w:numPr>
        <w:tabs>
          <w:tab w:pos="1081" w:val="left" w:leader="none"/>
        </w:tabs>
        <w:spacing w:line="240" w:lineRule="auto" w:before="1" w:after="0"/>
        <w:ind w:left="1080" w:right="108"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2"/>
          <w:numId w:val="4"/>
        </w:numPr>
        <w:tabs>
          <w:tab w:pos="1081" w:val="left" w:leader="none"/>
        </w:tabs>
        <w:spacing w:line="240" w:lineRule="auto" w:before="1" w:after="0"/>
        <w:ind w:left="1080" w:right="114"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2"/>
          <w:numId w:val="4"/>
        </w:numPr>
        <w:tabs>
          <w:tab w:pos="1081" w:val="left" w:leader="none"/>
        </w:tabs>
        <w:spacing w:line="240" w:lineRule="auto" w:before="0" w:after="0"/>
        <w:ind w:left="1080" w:right="111"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1"/>
          <w:numId w:val="4"/>
        </w:numPr>
        <w:tabs>
          <w:tab w:pos="1081" w:val="left" w:leader="none"/>
        </w:tabs>
        <w:spacing w:line="240" w:lineRule="auto" w:before="1"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line="252" w:lineRule="exact" w:before="91"/>
        <w:ind w:left="1080"/>
      </w:pPr>
      <w:r>
        <w:rPr>
          <w:spacing w:val="-2"/>
          <w:u w:val="single"/>
        </w:rPr>
        <w:t>Diploma</w:t>
      </w:r>
    </w:p>
    <w:p>
      <w:pPr>
        <w:pStyle w:val="ListParagraph"/>
        <w:numPr>
          <w:ilvl w:val="0"/>
          <w:numId w:val="5"/>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5"/>
        </w:numPr>
        <w:tabs>
          <w:tab w:pos="1206" w:val="left" w:leader="none"/>
        </w:tabs>
        <w:spacing w:line="240" w:lineRule="auto" w:before="2"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ind w:left="1080" w:firstLine="110"/>
      </w:pPr>
      <w:r>
        <w:rPr/>
        <w:t>in the field(s) : environment or legal. Other background will be considered if the candidate has relevant professional experience in the field of waste management.</w:t>
      </w:r>
    </w:p>
    <w:p>
      <w:pPr>
        <w:pStyle w:val="BodyText"/>
        <w:spacing w:before="11"/>
        <w:rPr>
          <w:sz w:val="21"/>
        </w:rPr>
      </w:pPr>
    </w:p>
    <w:p>
      <w:pPr>
        <w:pStyle w:val="BodyText"/>
        <w:ind w:left="1080"/>
      </w:pPr>
      <w:r>
        <w:rPr>
          <w:u w:val="single"/>
        </w:rPr>
        <w:t>Professional</w:t>
      </w:r>
      <w:r>
        <w:rPr>
          <w:spacing w:val="-4"/>
          <w:u w:val="single"/>
        </w:rPr>
        <w:t> </w:t>
      </w:r>
      <w:r>
        <w:rPr>
          <w:spacing w:val="-2"/>
          <w:u w:val="single"/>
        </w:rPr>
        <w:t>experience</w:t>
      </w:r>
    </w:p>
    <w:p>
      <w:pPr>
        <w:pStyle w:val="BodyText"/>
        <w:spacing w:before="2"/>
        <w:rPr>
          <w:sz w:val="14"/>
        </w:rPr>
      </w:pPr>
    </w:p>
    <w:p>
      <w:pPr>
        <w:pStyle w:val="BodyText"/>
        <w:spacing w:before="91"/>
        <w:ind w:left="1080" w:right="166"/>
        <w:jc w:val="both"/>
      </w:pPr>
      <w:r>
        <w:rPr/>
        <w:t>The ideal candidate would have experience in the field of waste management, product policy or chemicals policy. We look</w:t>
      </w:r>
      <w:r>
        <w:rPr>
          <w:spacing w:val="-2"/>
        </w:rPr>
        <w:t> </w:t>
      </w:r>
      <w:r>
        <w:rPr/>
        <w:t>for a well-organised candidate with</w:t>
      </w:r>
      <w:r>
        <w:rPr>
          <w:spacing w:val="-1"/>
        </w:rPr>
        <w:t> </w:t>
      </w:r>
      <w:r>
        <w:rPr/>
        <w:t>sound</w:t>
      </w:r>
      <w:r>
        <w:rPr>
          <w:spacing w:val="-1"/>
        </w:rPr>
        <w:t> </w:t>
      </w:r>
      <w:r>
        <w:rPr/>
        <w:t>judgement, analytical skills,</w:t>
      </w:r>
      <w:r>
        <w:rPr>
          <w:spacing w:val="-1"/>
        </w:rPr>
        <w:t> </w:t>
      </w:r>
      <w:r>
        <w:rPr/>
        <w:t>and</w:t>
      </w:r>
      <w:r>
        <w:rPr>
          <w:spacing w:val="-1"/>
        </w:rPr>
        <w:t> </w:t>
      </w:r>
      <w:r>
        <w:rPr/>
        <w:t>the capacity</w:t>
      </w:r>
      <w:r>
        <w:rPr>
          <w:spacing w:val="-2"/>
        </w:rPr>
        <w:t> </w:t>
      </w:r>
      <w:r>
        <w:rPr/>
        <w:t>to quickly understand and assess input and information from different sources/ stakeholders/ Member States, with excellent written and oral communication skills and ability to work in a team. The ability to draft</w:t>
      </w:r>
      <w:r>
        <w:rPr>
          <w:spacing w:val="40"/>
        </w:rPr>
        <w:t> </w:t>
      </w:r>
      <w:r>
        <w:rPr/>
        <w:t>legal texts and experience with the EU decision-making process would be an advantage.</w:t>
      </w:r>
    </w:p>
    <w:p>
      <w:pPr>
        <w:pStyle w:val="BodyText"/>
        <w:spacing w:before="10"/>
        <w:rPr>
          <w:sz w:val="21"/>
        </w:rPr>
      </w:pPr>
    </w:p>
    <w:p>
      <w:pPr>
        <w:pStyle w:val="BodyText"/>
        <w:spacing w:before="1"/>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t>Excellent</w:t>
      </w:r>
      <w:r>
        <w:rPr>
          <w:spacing w:val="63"/>
        </w:rPr>
        <w:t> </w:t>
      </w:r>
      <w:r>
        <w:rPr/>
        <w:t>knowledge</w:t>
      </w:r>
      <w:r>
        <w:rPr>
          <w:spacing w:val="63"/>
        </w:rPr>
        <w:t> </w:t>
      </w:r>
      <w:r>
        <w:rPr/>
        <w:t>of</w:t>
      </w:r>
      <w:r>
        <w:rPr>
          <w:spacing w:val="40"/>
        </w:rPr>
        <w:t> </w:t>
      </w:r>
      <w:r>
        <w:rPr/>
        <w:t>English</w:t>
      </w:r>
      <w:r>
        <w:rPr>
          <w:spacing w:val="40"/>
        </w:rPr>
        <w:t> </w:t>
      </w:r>
      <w:r>
        <w:rPr/>
        <w:t>is</w:t>
      </w:r>
      <w:r>
        <w:rPr>
          <w:spacing w:val="40"/>
        </w:rPr>
        <w:t> </w:t>
      </w:r>
      <w:r>
        <w:rPr/>
        <w:t>required;</w:t>
      </w:r>
      <w:r>
        <w:rPr>
          <w:spacing w:val="63"/>
        </w:rPr>
        <w:t> </w:t>
      </w:r>
      <w:r>
        <w:rPr/>
        <w:t>good</w:t>
      </w:r>
      <w:r>
        <w:rPr>
          <w:spacing w:val="40"/>
        </w:rPr>
        <w:t> </w:t>
      </w:r>
      <w:r>
        <w:rPr/>
        <w:t>knowledge</w:t>
      </w:r>
      <w:r>
        <w:rPr>
          <w:spacing w:val="63"/>
        </w:rPr>
        <w:t> </w:t>
      </w:r>
      <w:r>
        <w:rPr/>
        <w:t>of</w:t>
      </w:r>
      <w:r>
        <w:rPr>
          <w:spacing w:val="40"/>
        </w:rPr>
        <w:t> </w:t>
      </w:r>
      <w:r>
        <w:rPr/>
        <w:t>other</w:t>
      </w:r>
      <w:r>
        <w:rPr>
          <w:spacing w:val="40"/>
        </w:rPr>
        <w:t> </w:t>
      </w:r>
      <w:r>
        <w:rPr/>
        <w:t>EU</w:t>
      </w:r>
      <w:r>
        <w:rPr>
          <w:spacing w:val="40"/>
        </w:rPr>
        <w:t> </w:t>
      </w:r>
      <w:r>
        <w:rPr/>
        <w:t>languages</w:t>
      </w:r>
      <w:r>
        <w:rPr>
          <w:spacing w:val="63"/>
        </w:rPr>
        <w:t> </w:t>
      </w:r>
      <w:r>
        <w:rPr/>
        <w:t>would</w:t>
      </w:r>
      <w:r>
        <w:rPr>
          <w:spacing w:val="40"/>
        </w:rPr>
        <w:t> </w:t>
      </w:r>
      <w:r>
        <w:rPr/>
        <w:t>be</w:t>
      </w:r>
      <w:r>
        <w:rPr>
          <w:spacing w:val="68"/>
        </w:rPr>
        <w:t> </w:t>
      </w:r>
      <w:r>
        <w:rPr/>
        <w:t>an </w:t>
      </w:r>
      <w:r>
        <w:rPr>
          <w:spacing w:val="-2"/>
        </w:rPr>
        <w:t>advantage.</w:t>
      </w:r>
    </w:p>
    <w:p>
      <w:pPr>
        <w:pStyle w:val="BodyText"/>
        <w:spacing w:before="5"/>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before="91"/>
        <w:ind w:left="799" w:right="278" w:firstLine="0"/>
        <w:jc w:val="both"/>
        <w:rPr>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w:t>
      </w:r>
    </w:p>
    <w:p>
      <w:pPr>
        <w:spacing w:after="0"/>
        <w:jc w:val="both"/>
        <w:rPr>
          <w:sz w:val="22"/>
        </w:rPr>
        <w:sectPr>
          <w:pgSz w:w="11910" w:h="16840"/>
          <w:pgMar w:header="0" w:footer="690" w:top="1040" w:bottom="880" w:left="480" w:right="740"/>
        </w:sectPr>
      </w:pPr>
    </w:p>
    <w:p>
      <w:pPr>
        <w:spacing w:line="247" w:lineRule="auto" w:before="68"/>
        <w:ind w:left="799" w:right="0" w:firstLine="0"/>
        <w:jc w:val="left"/>
        <w:rPr>
          <w:b/>
          <w:sz w:val="22"/>
        </w:rPr>
      </w:pPr>
      <w:r>
        <w:rPr>
          <w:sz w:val="22"/>
        </w:rPr>
        <w:t>date</w:t>
      </w:r>
      <w:r>
        <w:rPr>
          <w:spacing w:val="40"/>
          <w:sz w:val="22"/>
        </w:rPr>
        <w:t> </w:t>
      </w:r>
      <w:r>
        <w:rPr>
          <w:sz w:val="22"/>
        </w:rPr>
        <w:t>of</w:t>
      </w:r>
      <w:r>
        <w:rPr>
          <w:spacing w:val="40"/>
          <w:sz w:val="22"/>
        </w:rPr>
        <w:t> </w:t>
      </w:r>
      <w:r>
        <w:rPr>
          <w:sz w:val="22"/>
        </w:rPr>
        <w:t>birth</w:t>
      </w:r>
      <w:r>
        <w:rPr>
          <w:spacing w:val="40"/>
          <w:sz w:val="22"/>
        </w:rPr>
        <w:t> </w:t>
      </w:r>
      <w:r>
        <w:rPr>
          <w:sz w:val="22"/>
        </w:rPr>
        <w:t>and</w:t>
      </w:r>
      <w:r>
        <w:rPr>
          <w:spacing w:val="40"/>
          <w:sz w:val="22"/>
        </w:rPr>
        <w:t> </w:t>
      </w:r>
      <w:r>
        <w:rPr>
          <w:sz w:val="22"/>
        </w:rPr>
        <w:t>the</w:t>
      </w:r>
      <w:r>
        <w:rPr>
          <w:spacing w:val="40"/>
          <w:sz w:val="22"/>
        </w:rPr>
        <w:t> </w:t>
      </w:r>
      <w:r>
        <w:rPr>
          <w:sz w:val="22"/>
        </w:rPr>
        <w:t>nationality</w:t>
      </w:r>
      <w:r>
        <w:rPr>
          <w:spacing w:val="40"/>
          <w:sz w:val="22"/>
        </w:rPr>
        <w:t> </w:t>
      </w:r>
      <w:r>
        <w:rPr>
          <w:sz w:val="22"/>
        </w:rPr>
        <w:t>of</w:t>
      </w:r>
      <w:r>
        <w:rPr>
          <w:spacing w:val="40"/>
          <w:sz w:val="22"/>
        </w:rPr>
        <w:t> </w:t>
      </w:r>
      <w:r>
        <w:rPr>
          <w:sz w:val="22"/>
        </w:rPr>
        <w:t>the</w:t>
      </w:r>
      <w:r>
        <w:rPr>
          <w:spacing w:val="40"/>
          <w:sz w:val="22"/>
        </w:rPr>
        <w:t> </w:t>
      </w:r>
      <w:r>
        <w:rPr>
          <w:sz w:val="22"/>
        </w:rPr>
        <w:t>candidate.</w:t>
      </w:r>
      <w:r>
        <w:rPr>
          <w:spacing w:val="40"/>
          <w:sz w:val="22"/>
        </w:rPr>
        <w:t> </w:t>
      </w:r>
      <w:r>
        <w:rPr>
          <w:b/>
          <w:sz w:val="22"/>
        </w:rPr>
        <w:t>Not</w:t>
      </w:r>
      <w:r>
        <w:rPr>
          <w:b/>
          <w:spacing w:val="40"/>
          <w:sz w:val="22"/>
        </w:rPr>
        <w:t> </w:t>
      </w:r>
      <w:r>
        <w:rPr>
          <w:b/>
          <w:sz w:val="22"/>
        </w:rPr>
        <w:t>respecting</w:t>
      </w:r>
      <w:r>
        <w:rPr>
          <w:b/>
          <w:spacing w:val="40"/>
          <w:sz w:val="22"/>
        </w:rPr>
        <w:t> </w:t>
      </w:r>
      <w:r>
        <w:rPr>
          <w:b/>
          <w:sz w:val="22"/>
        </w:rPr>
        <w:t>this</w:t>
      </w:r>
      <w:r>
        <w:rPr>
          <w:b/>
          <w:spacing w:val="40"/>
          <w:sz w:val="22"/>
        </w:rPr>
        <w:t> </w:t>
      </w:r>
      <w:r>
        <w:rPr>
          <w:b/>
          <w:sz w:val="22"/>
        </w:rPr>
        <w:t>procedure</w:t>
      </w:r>
      <w:r>
        <w:rPr>
          <w:b/>
          <w:spacing w:val="40"/>
          <w:sz w:val="22"/>
        </w:rPr>
        <w:t> </w:t>
      </w:r>
      <w:r>
        <w:rPr>
          <w:b/>
          <w:sz w:val="22"/>
        </w:rPr>
        <w:t>or</w:t>
      </w:r>
      <w:r>
        <w:rPr>
          <w:b/>
          <w:spacing w:val="40"/>
          <w:sz w:val="22"/>
        </w:rPr>
        <w:t> </w:t>
      </w:r>
      <w:r>
        <w:rPr>
          <w:b/>
          <w:sz w:val="22"/>
        </w:rPr>
        <w:t>deadlines</w:t>
      </w:r>
      <w:r>
        <w:rPr>
          <w:b/>
          <w:spacing w:val="40"/>
          <w:sz w:val="22"/>
        </w:rPr>
        <w:t> </w:t>
      </w:r>
      <w:r>
        <w:rPr>
          <w:b/>
          <w:sz w:val="22"/>
        </w:rPr>
        <w:t>will</w:t>
      </w:r>
      <w:r>
        <w:rPr>
          <w:b/>
          <w:spacing w:val="80"/>
          <w:sz w:val="22"/>
        </w:rPr>
        <w:t> </w:t>
      </w:r>
      <w:r>
        <w:rPr>
          <w:b/>
          <w:sz w:val="22"/>
        </w:rPr>
        <w:t>automatically invalidate the application.</w:t>
      </w:r>
    </w:p>
    <w:p>
      <w:pPr>
        <w:pStyle w:val="BodyText"/>
        <w:spacing w:before="10"/>
        <w:rPr>
          <w:b/>
          <w:sz w:val="20"/>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5"/>
        <w:rPr>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3"/>
          <w:sz w:val="24"/>
          <w:u w:val="single"/>
        </w:rPr>
        <w:t> </w:t>
      </w:r>
      <w:r>
        <w:rPr>
          <w:b/>
          <w:sz w:val="24"/>
          <w:u w:val="single"/>
        </w:rPr>
        <w:t>the</w:t>
      </w:r>
      <w:r>
        <w:rPr>
          <w:b/>
          <w:spacing w:val="-6"/>
          <w:sz w:val="24"/>
          <w:u w:val="single"/>
        </w:rPr>
        <w:t> </w:t>
      </w:r>
      <w:r>
        <w:rPr>
          <w:b/>
          <w:spacing w:val="-2"/>
          <w:sz w:val="24"/>
          <w:u w:val="single"/>
        </w:rPr>
        <w:t>secondment</w:t>
      </w:r>
    </w:p>
    <w:p>
      <w:pPr>
        <w:pStyle w:val="BodyText"/>
        <w:spacing w:before="6"/>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5"/>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1"/>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6"/>
        <w:rPr>
          <w:sz w:val="24"/>
        </w:rPr>
      </w:pPr>
    </w:p>
    <w:p>
      <w:pPr>
        <w:pStyle w:val="ListParagraph"/>
        <w:numPr>
          <w:ilvl w:val="0"/>
          <w:numId w:val="4"/>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1"/>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9"/>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4"/>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pict>
          <v:rect style="position:absolute;margin-left:519.580017pt;margin-top:11.469543pt;width:5.16pt;height:.4799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40" w:lineRule="auto"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spacing w:after="0" w:line="240" w:lineRule="auto"/>
        <w:jc w:val="both"/>
        <w:sectPr>
          <w:pgSz w:w="11910" w:h="16840"/>
          <w:pgMar w:header="0" w:footer="690" w:top="1040" w:bottom="880" w:left="480" w:right="740"/>
        </w:sectPr>
      </w:pPr>
    </w:p>
    <w:p>
      <w:pPr>
        <w:pStyle w:val="BodyText"/>
        <w:spacing w:before="68"/>
        <w:ind w:left="1080" w:right="284"/>
        <w:jc w:val="both"/>
      </w:pPr>
      <w:r>
        <w:rPr/>
        <w:pict>
          <v:rect style="position:absolute;margin-left:230.330002pt;margin-top:27.609539pt;width:3.72pt;height:.48pt;mso-position-horizontal-relative:page;mso-position-vertical-relative:paragraph;z-index:-15839232"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before="2"/>
        <w:ind w:left="1080"/>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025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2">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498" w:hanging="457"/>
      </w:pPr>
      <w:rPr>
        <w:rFonts w:hint="default"/>
        <w:lang w:val="en-US" w:eastAsia="en-US" w:bidi="ar-SA"/>
      </w:rPr>
    </w:lvl>
    <w:lvl w:ilvl="2">
      <w:start w:val="0"/>
      <w:numFmt w:val="bullet"/>
      <w:lvlText w:val="•"/>
      <w:lvlJc w:val="left"/>
      <w:pPr>
        <w:ind w:left="2437" w:hanging="457"/>
      </w:pPr>
      <w:rPr>
        <w:rFonts w:hint="default"/>
        <w:lang w:val="en-US" w:eastAsia="en-US" w:bidi="ar-SA"/>
      </w:rPr>
    </w:lvl>
    <w:lvl w:ilvl="3">
      <w:start w:val="0"/>
      <w:numFmt w:val="bullet"/>
      <w:lvlText w:val="•"/>
      <w:lvlJc w:val="left"/>
      <w:pPr>
        <w:ind w:left="3375" w:hanging="457"/>
      </w:pPr>
      <w:rPr>
        <w:rFonts w:hint="default"/>
        <w:lang w:val="en-US" w:eastAsia="en-US" w:bidi="ar-SA"/>
      </w:rPr>
    </w:lvl>
    <w:lvl w:ilvl="4">
      <w:start w:val="0"/>
      <w:numFmt w:val="bullet"/>
      <w:lvlText w:val="•"/>
      <w:lvlJc w:val="left"/>
      <w:pPr>
        <w:ind w:left="4314" w:hanging="457"/>
      </w:pPr>
      <w:rPr>
        <w:rFonts w:hint="default"/>
        <w:lang w:val="en-US" w:eastAsia="en-US" w:bidi="ar-SA"/>
      </w:rPr>
    </w:lvl>
    <w:lvl w:ilvl="5">
      <w:start w:val="0"/>
      <w:numFmt w:val="bullet"/>
      <w:lvlText w:val="•"/>
      <w:lvlJc w:val="left"/>
      <w:pPr>
        <w:ind w:left="5253" w:hanging="457"/>
      </w:pPr>
      <w:rPr>
        <w:rFonts w:hint="default"/>
        <w:lang w:val="en-US" w:eastAsia="en-US" w:bidi="ar-SA"/>
      </w:rPr>
    </w:lvl>
    <w:lvl w:ilvl="6">
      <w:start w:val="0"/>
      <w:numFmt w:val="bullet"/>
      <w:lvlText w:val="•"/>
      <w:lvlJc w:val="left"/>
      <w:pPr>
        <w:ind w:left="6191" w:hanging="457"/>
      </w:pPr>
      <w:rPr>
        <w:rFonts w:hint="default"/>
        <w:lang w:val="en-US" w:eastAsia="en-US" w:bidi="ar-SA"/>
      </w:rPr>
    </w:lvl>
    <w:lvl w:ilvl="7">
      <w:start w:val="0"/>
      <w:numFmt w:val="bullet"/>
      <w:lvlText w:val="•"/>
      <w:lvlJc w:val="left"/>
      <w:pPr>
        <w:ind w:left="7130" w:hanging="457"/>
      </w:pPr>
      <w:rPr>
        <w:rFonts w:hint="default"/>
        <w:lang w:val="en-US" w:eastAsia="en-US" w:bidi="ar-SA"/>
      </w:rPr>
    </w:lvl>
    <w:lvl w:ilvl="8">
      <w:start w:val="0"/>
      <w:numFmt w:val="bullet"/>
      <w:lvlText w:val="•"/>
      <w:lvlJc w:val="left"/>
      <w:pPr>
        <w:ind w:left="8068" w:hanging="457"/>
      </w:pPr>
      <w:rPr>
        <w:rFonts w:hint="default"/>
        <w:lang w:val="en-US" w:eastAsia="en-US" w:bidi="ar-SA"/>
      </w:rPr>
    </w:lvl>
  </w:abstractNum>
  <w:abstractNum w:abstractNumId="1">
    <w:multiLevelType w:val="hybridMultilevel"/>
    <w:lvl w:ilvl="0">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966" w:hanging="276"/>
      </w:pPr>
      <w:rPr>
        <w:rFonts w:hint="default"/>
        <w:lang w:val="en-US" w:eastAsia="en-US" w:bidi="ar-SA"/>
      </w:rPr>
    </w:lvl>
    <w:lvl w:ilvl="2">
      <w:start w:val="0"/>
      <w:numFmt w:val="bullet"/>
      <w:lvlText w:val="•"/>
      <w:lvlJc w:val="left"/>
      <w:pPr>
        <w:ind w:left="2853" w:hanging="276"/>
      </w:pPr>
      <w:rPr>
        <w:rFonts w:hint="default"/>
        <w:lang w:val="en-US" w:eastAsia="en-US" w:bidi="ar-SA"/>
      </w:rPr>
    </w:lvl>
    <w:lvl w:ilvl="3">
      <w:start w:val="0"/>
      <w:numFmt w:val="bullet"/>
      <w:lvlText w:val="•"/>
      <w:lvlJc w:val="left"/>
      <w:pPr>
        <w:ind w:left="3739" w:hanging="276"/>
      </w:pPr>
      <w:rPr>
        <w:rFonts w:hint="default"/>
        <w:lang w:val="en-US" w:eastAsia="en-US" w:bidi="ar-SA"/>
      </w:rPr>
    </w:lvl>
    <w:lvl w:ilvl="4">
      <w:start w:val="0"/>
      <w:numFmt w:val="bullet"/>
      <w:lvlText w:val="•"/>
      <w:lvlJc w:val="left"/>
      <w:pPr>
        <w:ind w:left="4626" w:hanging="276"/>
      </w:pPr>
      <w:rPr>
        <w:rFonts w:hint="default"/>
        <w:lang w:val="en-US" w:eastAsia="en-US" w:bidi="ar-SA"/>
      </w:rPr>
    </w:lvl>
    <w:lvl w:ilvl="5">
      <w:start w:val="0"/>
      <w:numFmt w:val="bullet"/>
      <w:lvlText w:val="•"/>
      <w:lvlJc w:val="left"/>
      <w:pPr>
        <w:ind w:left="5513" w:hanging="276"/>
      </w:pPr>
      <w:rPr>
        <w:rFonts w:hint="default"/>
        <w:lang w:val="en-US" w:eastAsia="en-US" w:bidi="ar-SA"/>
      </w:rPr>
    </w:lvl>
    <w:lvl w:ilvl="6">
      <w:start w:val="0"/>
      <w:numFmt w:val="bullet"/>
      <w:lvlText w:val="•"/>
      <w:lvlJc w:val="left"/>
      <w:pPr>
        <w:ind w:left="6399" w:hanging="276"/>
      </w:pPr>
      <w:rPr>
        <w:rFonts w:hint="default"/>
        <w:lang w:val="en-US" w:eastAsia="en-US" w:bidi="ar-SA"/>
      </w:rPr>
    </w:lvl>
    <w:lvl w:ilvl="7">
      <w:start w:val="0"/>
      <w:numFmt w:val="bullet"/>
      <w:lvlText w:val="•"/>
      <w:lvlJc w:val="left"/>
      <w:pPr>
        <w:ind w:left="7286" w:hanging="276"/>
      </w:pPr>
      <w:rPr>
        <w:rFonts w:hint="default"/>
        <w:lang w:val="en-US" w:eastAsia="en-US" w:bidi="ar-SA"/>
      </w:rPr>
    </w:lvl>
    <w:lvl w:ilvl="8">
      <w:start w:val="0"/>
      <w:numFmt w:val="bullet"/>
      <w:lvlText w:val="•"/>
      <w:lvlJc w:val="left"/>
      <w:pPr>
        <w:ind w:left="8172" w:hanging="276"/>
      </w:pPr>
      <w:rPr>
        <w:rFonts w:hint="default"/>
        <w:lang w:val="en-US" w:eastAsia="en-US" w:bidi="ar-SA"/>
      </w:rPr>
    </w:lvl>
  </w:abstractNum>
  <w:abstractNum w:abstractNumId="0">
    <w:multiLevelType w:val="hybridMultilevel"/>
    <w:lvl w:ilvl="0">
      <w:start w:val="0"/>
      <w:numFmt w:val="bullet"/>
      <w:lvlText w:val=""/>
      <w:lvlJc w:val="left"/>
      <w:pPr>
        <w:ind w:left="523" w:hanging="418"/>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718" w:hanging="418"/>
      </w:pPr>
      <w:rPr>
        <w:rFonts w:hint="default"/>
        <w:lang w:val="en-US" w:eastAsia="en-US" w:bidi="ar-SA"/>
      </w:rPr>
    </w:lvl>
    <w:lvl w:ilvl="2">
      <w:start w:val="0"/>
      <w:numFmt w:val="bullet"/>
      <w:lvlText w:val="•"/>
      <w:lvlJc w:val="left"/>
      <w:pPr>
        <w:ind w:left="916" w:hanging="418"/>
      </w:pPr>
      <w:rPr>
        <w:rFonts w:hint="default"/>
        <w:lang w:val="en-US" w:eastAsia="en-US" w:bidi="ar-SA"/>
      </w:rPr>
    </w:lvl>
    <w:lvl w:ilvl="3">
      <w:start w:val="0"/>
      <w:numFmt w:val="bullet"/>
      <w:lvlText w:val="•"/>
      <w:lvlJc w:val="left"/>
      <w:pPr>
        <w:ind w:left="1114" w:hanging="418"/>
      </w:pPr>
      <w:rPr>
        <w:rFonts w:hint="default"/>
        <w:lang w:val="en-US" w:eastAsia="en-US" w:bidi="ar-SA"/>
      </w:rPr>
    </w:lvl>
    <w:lvl w:ilvl="4">
      <w:start w:val="0"/>
      <w:numFmt w:val="bullet"/>
      <w:lvlText w:val="•"/>
      <w:lvlJc w:val="left"/>
      <w:pPr>
        <w:ind w:left="1313" w:hanging="418"/>
      </w:pPr>
      <w:rPr>
        <w:rFonts w:hint="default"/>
        <w:lang w:val="en-US" w:eastAsia="en-US" w:bidi="ar-SA"/>
      </w:rPr>
    </w:lvl>
    <w:lvl w:ilvl="5">
      <w:start w:val="0"/>
      <w:numFmt w:val="bullet"/>
      <w:lvlText w:val="•"/>
      <w:lvlJc w:val="left"/>
      <w:pPr>
        <w:ind w:left="1511" w:hanging="418"/>
      </w:pPr>
      <w:rPr>
        <w:rFonts w:hint="default"/>
        <w:lang w:val="en-US" w:eastAsia="en-US" w:bidi="ar-SA"/>
      </w:rPr>
    </w:lvl>
    <w:lvl w:ilvl="6">
      <w:start w:val="0"/>
      <w:numFmt w:val="bullet"/>
      <w:lvlText w:val="•"/>
      <w:lvlJc w:val="left"/>
      <w:pPr>
        <w:ind w:left="1709" w:hanging="418"/>
      </w:pPr>
      <w:rPr>
        <w:rFonts w:hint="default"/>
        <w:lang w:val="en-US" w:eastAsia="en-US" w:bidi="ar-SA"/>
      </w:rPr>
    </w:lvl>
    <w:lvl w:ilvl="7">
      <w:start w:val="0"/>
      <w:numFmt w:val="bullet"/>
      <w:lvlText w:val="•"/>
      <w:lvlJc w:val="left"/>
      <w:pPr>
        <w:ind w:left="1908" w:hanging="418"/>
      </w:pPr>
      <w:rPr>
        <w:rFonts w:hint="default"/>
        <w:lang w:val="en-US" w:eastAsia="en-US" w:bidi="ar-SA"/>
      </w:rPr>
    </w:lvl>
    <w:lvl w:ilvl="8">
      <w:start w:val="0"/>
      <w:numFmt w:val="bullet"/>
      <w:lvlText w:val="•"/>
      <w:lvlJc w:val="left"/>
      <w:pPr>
        <w:ind w:left="2106" w:hanging="418"/>
      </w:pPr>
      <w:rPr>
        <w:rFonts w:hint="default"/>
        <w:lang w:val="en-US" w:eastAsia="en-US" w:bidi="ar-SA"/>
      </w:rPr>
    </w:lvl>
  </w:abstractNum>
  <w:abstractNum w:abstractNumId="3">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6">
    <w:abstractNumId w:val="5"/>
  </w:num>
  <w:num w:numId="5">
    <w:abstractNumId w:val="4"/>
  </w: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attia.pellegrini@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2023-02-16T16:42:57Z</dcterms:created>
  <dcterms:modified xsi:type="dcterms:W3CDTF">2023-02-16T16:42:57Z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