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ESTAT-G-</w:t>
            </w:r>
            <w:r>
              <w:rPr>
                <w:b/>
                <w:spacing w:val="-5"/>
                <w:sz w:val="24"/>
              </w:rPr>
              <w:t>G.2</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Jukka</w:t>
            </w:r>
            <w:r>
              <w:rPr>
                <w:b/>
                <w:spacing w:val="-1"/>
                <w:sz w:val="22"/>
              </w:rPr>
              <w:t> </w:t>
            </w:r>
            <w:r>
              <w:rPr>
                <w:b/>
                <w:spacing w:val="-2"/>
                <w:sz w:val="22"/>
              </w:rPr>
              <w:t>Jalava</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Jukka.jalava@ec.europa.eu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w:t>
            </w:r>
            <w:r>
              <w:rPr>
                <w:b/>
                <w:spacing w:val="-1"/>
                <w:sz w:val="22"/>
              </w:rPr>
              <w:t> </w:t>
            </w:r>
            <w:r>
              <w:rPr>
                <w:b/>
                <w:sz w:val="22"/>
              </w:rPr>
              <w:t>352 4301 </w:t>
            </w:r>
            <w:r>
              <w:rPr>
                <w:b/>
                <w:spacing w:val="-2"/>
                <w:sz w:val="22"/>
              </w:rPr>
              <w:t>38435</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6" w:type="dxa"/>
            <w:gridSpan w:val="2"/>
            <w:tcBorders>
              <w:top w:val="nil"/>
            </w:tcBorders>
          </w:tcPr>
          <w:p>
            <w:pPr>
              <w:pStyle w:val="TableParagraph"/>
              <w:numPr>
                <w:ilvl w:val="0"/>
                <w:numId w:val="1"/>
              </w:numPr>
              <w:tabs>
                <w:tab w:pos="358" w:val="left" w:leader="none"/>
              </w:tabs>
              <w:spacing w:line="249" w:lineRule="exact" w:before="0" w:after="0"/>
              <w:ind w:left="357" w:right="0" w:hanging="253"/>
              <w:jc w:val="left"/>
              <w:rPr>
                <w:b/>
                <w:sz w:val="22"/>
              </w:rPr>
            </w:pPr>
            <w:r>
              <w:rPr>
                <w:b/>
                <w:sz w:val="22"/>
              </w:rPr>
              <w:t>Brussels</w:t>
            </w:r>
            <w:r>
              <w:rPr>
                <w:b/>
                <w:spacing w:val="47"/>
                <w:sz w:val="22"/>
              </w:rPr>
              <w:t> </w:t>
            </w:r>
            <w:r>
              <w:rPr>
                <w:rFonts w:ascii="Wingdings 2" w:hAnsi="Wingdings 2"/>
                <w:b/>
                <w:sz w:val="22"/>
              </w:rPr>
              <w:t></w:t>
            </w:r>
            <w:r>
              <w:rPr>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2"/>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3"/>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4"/>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1080" w:right="105"/>
        <w:jc w:val="both"/>
      </w:pPr>
      <w:r>
        <w:rPr/>
        <w:t>Unit G2 is a dynamic and attractive unit composed of 16 colleagues with 9 different nationalities. It is one of six units in the Directorate for Business and trade statistics. The Unit is responsible for the provision of Structural Business Statistics (SBS), business demography statistics (BD), business innovation (‘Community Innovation Survey’; CIS), and tourism statistics. Our regular work comprises the collection, processing, dissemination and analysis of business statistics data, as well as conceptual and methodological developments. Our aim is to provide the Commission and other stakeholders with high-quality statistical information and analysis on the structure and dynamics of the European business economy, thereby supporting</w:t>
      </w:r>
      <w:r>
        <w:rPr>
          <w:spacing w:val="-2"/>
        </w:rPr>
        <w:t> </w:t>
      </w:r>
      <w:r>
        <w:rPr/>
        <w:t>EU</w:t>
      </w:r>
      <w:r>
        <w:rPr>
          <w:spacing w:val="-1"/>
        </w:rPr>
        <w:t> </w:t>
      </w:r>
      <w:r>
        <w:rPr/>
        <w:t>policies. Our unit co-operates closely</w:t>
      </w:r>
      <w:r>
        <w:rPr>
          <w:spacing w:val="-2"/>
        </w:rPr>
        <w:t> </w:t>
      </w:r>
      <w:r>
        <w:rPr/>
        <w:t>with DG</w:t>
      </w:r>
      <w:r>
        <w:rPr>
          <w:spacing w:val="-1"/>
        </w:rPr>
        <w:t> </w:t>
      </w:r>
      <w:r>
        <w:rPr/>
        <w:t>GROW, DG</w:t>
      </w:r>
      <w:r>
        <w:rPr>
          <w:spacing w:val="-1"/>
        </w:rPr>
        <w:t> </w:t>
      </w:r>
      <w:r>
        <w:rPr/>
        <w:t>R&amp;I, and other policy</w:t>
      </w:r>
      <w:r>
        <w:rPr>
          <w:spacing w:val="-1"/>
        </w:rPr>
        <w:t> </w:t>
      </w:r>
      <w:r>
        <w:rPr/>
        <w:t>DGs. We have regular contacts with Member States, candidate countries as well as with other Eurostat units on</w:t>
      </w:r>
      <w:r>
        <w:rPr>
          <w:spacing w:val="80"/>
        </w:rPr>
        <w:t> </w:t>
      </w:r>
      <w:r>
        <w:rPr/>
        <w:t>cross-cutting themes.</w:t>
      </w:r>
    </w:p>
    <w:p>
      <w:pPr>
        <w:pStyle w:val="BodyText"/>
        <w:spacing w:before="11"/>
        <w:rPr>
          <w:sz w:val="21"/>
        </w:rPr>
      </w:pPr>
    </w:p>
    <w:p>
      <w:pPr>
        <w:pStyle w:val="BodyText"/>
        <w:ind w:left="1080" w:right="107"/>
        <w:jc w:val="both"/>
      </w:pPr>
      <w:r>
        <w:rPr/>
        <w:t>The successful candidate will work in the areas of the CIS, SBS, and BD. In particular, she/he will contribute to several of the following topics:</w:t>
      </w:r>
    </w:p>
    <w:p>
      <w:pPr>
        <w:pStyle w:val="ListParagraph"/>
        <w:numPr>
          <w:ilvl w:val="1"/>
          <w:numId w:val="4"/>
        </w:numPr>
        <w:tabs>
          <w:tab w:pos="1220" w:val="left" w:leader="none"/>
        </w:tabs>
        <w:spacing w:line="240" w:lineRule="auto" w:before="0" w:after="0"/>
        <w:ind w:left="1080" w:right="103" w:firstLine="0"/>
        <w:jc w:val="both"/>
        <w:rPr>
          <w:sz w:val="22"/>
        </w:rPr>
      </w:pPr>
      <w:r>
        <w:rPr>
          <w:sz w:val="22"/>
        </w:rPr>
        <w:t>integration of CIS, SBS and BD within the framework of European business statistics (Regulation (2019) 2152), including work to increase the consistency within European business statistics, and to respond to emerging user needs and policy demands by means of micro-data linking;</w:t>
      </w:r>
    </w:p>
    <w:p>
      <w:pPr>
        <w:pStyle w:val="ListParagraph"/>
        <w:numPr>
          <w:ilvl w:val="1"/>
          <w:numId w:val="4"/>
        </w:numPr>
        <w:tabs>
          <w:tab w:pos="1227" w:val="left" w:leader="none"/>
        </w:tabs>
        <w:spacing w:line="240" w:lineRule="auto" w:before="0" w:after="0"/>
        <w:ind w:left="1080" w:right="111" w:firstLine="0"/>
        <w:jc w:val="both"/>
        <w:rPr>
          <w:sz w:val="22"/>
        </w:rPr>
      </w:pPr>
      <w:r>
        <w:rPr>
          <w:sz w:val="22"/>
        </w:rPr>
        <w:t>methodological advice on European statistics on the structure and dynamic of businesses, particularly in regard to harmonisation and quality of these statistics in the EU;</w:t>
      </w:r>
    </w:p>
    <w:p>
      <w:pPr>
        <w:pStyle w:val="ListParagraph"/>
        <w:numPr>
          <w:ilvl w:val="1"/>
          <w:numId w:val="4"/>
        </w:numPr>
        <w:tabs>
          <w:tab w:pos="1241" w:val="left" w:leader="none"/>
        </w:tabs>
        <w:spacing w:line="240" w:lineRule="auto" w:before="0" w:after="0"/>
        <w:ind w:left="1080" w:right="113" w:firstLine="0"/>
        <w:jc w:val="both"/>
        <w:rPr>
          <w:sz w:val="22"/>
        </w:rPr>
      </w:pPr>
      <w:r>
        <w:rPr>
          <w:sz w:val="22"/>
        </w:rPr>
        <w:t>further development of the CIS, including methodological advice, implementation of the Oslo Manual (4th edition) and the survey programme, as well as the possible linking of CIS data with data from other sources (e.g. the Business Register, SBS and BD);</w:t>
      </w:r>
    </w:p>
    <w:p>
      <w:pPr>
        <w:pStyle w:val="ListParagraph"/>
        <w:numPr>
          <w:ilvl w:val="1"/>
          <w:numId w:val="4"/>
        </w:numPr>
        <w:tabs>
          <w:tab w:pos="1225" w:val="left" w:leader="none"/>
        </w:tabs>
        <w:spacing w:line="240" w:lineRule="auto" w:before="0" w:after="0"/>
        <w:ind w:left="1080" w:right="111" w:firstLine="0"/>
        <w:jc w:val="both"/>
        <w:rPr>
          <w:sz w:val="22"/>
        </w:rPr>
      </w:pPr>
      <w:r>
        <w:rPr>
          <w:sz w:val="22"/>
        </w:rPr>
        <w:t>contributions to documents and methodological guidelines to be presented Task Forces and the Working Groups, as well as contacts with the Commission’s policy Directorate Generals;</w:t>
      </w:r>
    </w:p>
    <w:p>
      <w:pPr>
        <w:pStyle w:val="ListParagraph"/>
        <w:numPr>
          <w:ilvl w:val="1"/>
          <w:numId w:val="4"/>
        </w:numPr>
        <w:tabs>
          <w:tab w:pos="1213" w:val="left" w:leader="none"/>
        </w:tabs>
        <w:spacing w:line="240" w:lineRule="auto" w:before="0" w:after="0"/>
        <w:ind w:left="1212" w:right="0" w:hanging="133"/>
        <w:jc w:val="both"/>
        <w:rPr>
          <w:sz w:val="22"/>
        </w:rPr>
      </w:pPr>
      <w:r>
        <w:rPr>
          <w:sz w:val="22"/>
        </w:rPr>
        <w:t>analysis</w:t>
      </w:r>
      <w:r>
        <w:rPr>
          <w:spacing w:val="-5"/>
          <w:sz w:val="22"/>
        </w:rPr>
        <w:t> </w:t>
      </w:r>
      <w:r>
        <w:rPr>
          <w:sz w:val="22"/>
        </w:rPr>
        <w:t>and</w:t>
      </w:r>
      <w:r>
        <w:rPr>
          <w:spacing w:val="-7"/>
          <w:sz w:val="22"/>
        </w:rPr>
        <w:t> </w:t>
      </w:r>
      <w:r>
        <w:rPr>
          <w:sz w:val="22"/>
        </w:rPr>
        <w:t>dissemination</w:t>
      </w:r>
      <w:r>
        <w:rPr>
          <w:spacing w:val="-4"/>
          <w:sz w:val="22"/>
        </w:rPr>
        <w:t> </w:t>
      </w:r>
      <w:r>
        <w:rPr>
          <w:sz w:val="22"/>
        </w:rPr>
        <w:t>of</w:t>
      </w:r>
      <w:r>
        <w:rPr>
          <w:spacing w:val="-4"/>
          <w:sz w:val="22"/>
        </w:rPr>
        <w:t> </w:t>
      </w:r>
      <w:r>
        <w:rPr>
          <w:spacing w:val="-2"/>
          <w:sz w:val="22"/>
        </w:rPr>
        <w:t>results.</w:t>
      </w:r>
    </w:p>
    <w:p>
      <w:pPr>
        <w:pStyle w:val="BodyText"/>
        <w:rPr>
          <w:sz w:val="20"/>
        </w:rPr>
      </w:pPr>
    </w:p>
    <w:p>
      <w:pPr>
        <w:pStyle w:val="BodyText"/>
        <w:spacing w:before="2"/>
        <w:rPr>
          <w:sz w:val="11"/>
        </w:rPr>
      </w:pPr>
      <w:r>
        <w:rPr/>
        <w:pict>
          <v:rect style="position:absolute;margin-left:42.599998pt;margin-top:7.639755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1080" w:right="110"/>
        <w:jc w:val="both"/>
      </w:pPr>
      <w:r>
        <w:rPr/>
        <w:t>The</w:t>
      </w:r>
      <w:r>
        <w:rPr>
          <w:spacing w:val="-3"/>
        </w:rPr>
        <w:t> </w:t>
      </w:r>
      <w:r>
        <w:rPr/>
        <w:t>jobholder will have to</w:t>
      </w:r>
      <w:r>
        <w:rPr>
          <w:spacing w:val="-1"/>
        </w:rPr>
        <w:t> </w:t>
      </w:r>
      <w:r>
        <w:rPr/>
        <w:t>work</w:t>
      </w:r>
      <w:r>
        <w:rPr>
          <w:spacing w:val="-2"/>
        </w:rPr>
        <w:t> </w:t>
      </w:r>
      <w:r>
        <w:rPr/>
        <w:t>closely</w:t>
      </w:r>
      <w:r>
        <w:rPr>
          <w:spacing w:val="-2"/>
        </w:rPr>
        <w:t> </w:t>
      </w:r>
      <w:r>
        <w:rPr/>
        <w:t>together with</w:t>
      </w:r>
      <w:r>
        <w:rPr>
          <w:spacing w:val="-4"/>
        </w:rPr>
        <w:t> </w:t>
      </w:r>
      <w:r>
        <w:rPr/>
        <w:t>other members of</w:t>
      </w:r>
      <w:r>
        <w:rPr>
          <w:spacing w:val="-1"/>
        </w:rPr>
        <w:t> </w:t>
      </w:r>
      <w:r>
        <w:rPr/>
        <w:t>the SBS,</w:t>
      </w:r>
      <w:r>
        <w:rPr>
          <w:spacing w:val="-1"/>
        </w:rPr>
        <w:t> </w:t>
      </w:r>
      <w:r>
        <w:rPr/>
        <w:t>BD and CIS team</w:t>
      </w:r>
      <w:r>
        <w:rPr>
          <w:spacing w:val="-3"/>
        </w:rPr>
        <w:t> </w:t>
      </w:r>
      <w:r>
        <w:rPr/>
        <w:t>in Unit G2 as well as with the other units of Directorate G. The position will require close cooperation with Member States, policy DGs, and with other organisations.</w:t>
      </w:r>
    </w:p>
    <w:p>
      <w:pPr>
        <w:pStyle w:val="BodyText"/>
        <w:spacing w:before="1"/>
      </w:pPr>
    </w:p>
    <w:p>
      <w:pPr>
        <w:pStyle w:val="BodyText"/>
        <w:ind w:left="1080" w:right="104"/>
        <w:jc w:val="both"/>
      </w:pPr>
      <w:r>
        <w:rPr/>
        <w:t>We are looking for a motivated and service-oriented colleague with a strong sense of responsibility and good organisational skills. The successful candidate should have a positive approach to new challenges, be able to support on-going developments and to work autonomously in a team context. The candidate should have an interest in data treatment / working with numbers (numerical literacy). Previous experience or relevant background in one of the following topics would be an advantage: treatment of statistical data, preparing statistical publications, or basic knowledge of business statistics. The working language is </w:t>
      </w:r>
      <w:r>
        <w:rPr>
          <w:spacing w:val="-2"/>
        </w:rPr>
        <w:t>English.</w:t>
      </w:r>
    </w:p>
    <w:p>
      <w:pPr>
        <w:pStyle w:val="BodyText"/>
        <w:rPr>
          <w:sz w:val="24"/>
        </w:rPr>
      </w:pPr>
    </w:p>
    <w:p>
      <w:pPr>
        <w:pStyle w:val="BodyText"/>
        <w:spacing w:before="6"/>
        <w:rPr>
          <w:sz w:val="20"/>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0"/>
          <w:numId w:val="5"/>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spacing w:before="1"/>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9"/>
        <w:rPr>
          <w:sz w:val="21"/>
        </w:rPr>
      </w:pPr>
    </w:p>
    <w:p>
      <w:pPr>
        <w:pStyle w:val="ListParagraph"/>
        <w:numPr>
          <w:ilvl w:val="1"/>
          <w:numId w:val="4"/>
        </w:numPr>
        <w:tabs>
          <w:tab w:pos="1081" w:val="left" w:leader="none"/>
        </w:tabs>
        <w:spacing w:line="240" w:lineRule="auto" w:before="1" w:after="0"/>
        <w:ind w:left="1080" w:right="108"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1"/>
          <w:numId w:val="4"/>
        </w:numPr>
        <w:tabs>
          <w:tab w:pos="1081" w:val="left" w:leader="none"/>
        </w:tabs>
        <w:spacing w:line="240" w:lineRule="auto" w:before="1" w:after="0"/>
        <w:ind w:left="1080" w:right="117"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1"/>
          <w:numId w:val="4"/>
        </w:numPr>
        <w:tabs>
          <w:tab w:pos="1081" w:val="left" w:leader="none"/>
        </w:tabs>
        <w:spacing w:line="240" w:lineRule="auto" w:before="0" w:after="0"/>
        <w:ind w:left="1080" w:right="113"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5"/>
        <w:rPr>
          <w:sz w:val="24"/>
        </w:rPr>
      </w:pPr>
    </w:p>
    <w:p>
      <w:pPr>
        <w:pStyle w:val="Heading1"/>
        <w:numPr>
          <w:ilvl w:val="0"/>
          <w:numId w:val="5"/>
        </w:numPr>
        <w:tabs>
          <w:tab w:pos="1081" w:val="left" w:leader="none"/>
        </w:tabs>
        <w:spacing w:line="240" w:lineRule="auto" w:before="1"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1"/>
        <w:ind w:left="1080"/>
      </w:pPr>
      <w:r>
        <w:rPr>
          <w:spacing w:val="-2"/>
          <w:u w:val="single"/>
        </w:rPr>
        <w:t>Diploma</w:t>
      </w:r>
    </w:p>
    <w:p>
      <w:pPr>
        <w:pStyle w:val="ListParagraph"/>
        <w:numPr>
          <w:ilvl w:val="1"/>
          <w:numId w:val="5"/>
        </w:numPr>
        <w:tabs>
          <w:tab w:pos="1206" w:val="left" w:leader="none"/>
        </w:tabs>
        <w:spacing w:line="252" w:lineRule="exact" w:before="2"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5"/>
        </w:numPr>
        <w:tabs>
          <w:tab w:pos="1206" w:val="left" w:leader="none"/>
        </w:tabs>
        <w:spacing w:line="480" w:lineRule="auto" w:before="0" w:after="0"/>
        <w:ind w:left="1080" w:right="3332" w:firstLine="0"/>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5"/>
          <w:sz w:val="22"/>
        </w:rPr>
        <w:t> </w:t>
      </w:r>
      <w:r>
        <w:rPr>
          <w:sz w:val="22"/>
        </w:rPr>
        <w:t>of</w:t>
      </w:r>
      <w:r>
        <w:rPr>
          <w:spacing w:val="-5"/>
          <w:sz w:val="22"/>
        </w:rPr>
        <w:t> </w:t>
      </w:r>
      <w:r>
        <w:rPr>
          <w:sz w:val="22"/>
        </w:rPr>
        <w:t>an</w:t>
      </w:r>
      <w:r>
        <w:rPr>
          <w:spacing w:val="-5"/>
          <w:sz w:val="22"/>
        </w:rPr>
        <w:t> </w:t>
      </w:r>
      <w:r>
        <w:rPr>
          <w:sz w:val="22"/>
        </w:rPr>
        <w:t>equivalent</w:t>
      </w:r>
      <w:r>
        <w:rPr>
          <w:spacing w:val="-5"/>
          <w:sz w:val="22"/>
        </w:rPr>
        <w:t> </w:t>
      </w:r>
      <w:r>
        <w:rPr>
          <w:sz w:val="22"/>
        </w:rPr>
        <w:t>level in the field(s): economics, statistics, or social sciences.</w:t>
      </w:r>
    </w:p>
    <w:p>
      <w:pPr>
        <w:pStyle w:val="BodyText"/>
        <w:spacing w:before="1"/>
        <w:ind w:left="1080"/>
      </w:pPr>
      <w:r>
        <w:rPr>
          <w:u w:val="single"/>
        </w:rPr>
        <w:t>Professional</w:t>
      </w:r>
      <w:r>
        <w:rPr>
          <w:spacing w:val="-4"/>
          <w:u w:val="single"/>
        </w:rPr>
        <w:t> </w:t>
      </w:r>
      <w:r>
        <w:rPr>
          <w:spacing w:val="-2"/>
          <w:u w:val="single"/>
        </w:rPr>
        <w:t>experience</w:t>
      </w:r>
    </w:p>
    <w:p>
      <w:pPr>
        <w:pStyle w:val="BodyText"/>
        <w:spacing w:before="10"/>
        <w:rPr>
          <w:sz w:val="13"/>
        </w:rPr>
      </w:pPr>
    </w:p>
    <w:p>
      <w:pPr>
        <w:pStyle w:val="BodyText"/>
        <w:spacing w:before="91"/>
        <w:ind w:left="1080"/>
      </w:pPr>
      <w:r>
        <w:rPr/>
        <w:t>Good</w:t>
      </w:r>
      <w:r>
        <w:rPr>
          <w:spacing w:val="80"/>
        </w:rPr>
        <w:t> </w:t>
      </w:r>
      <w:r>
        <w:rPr/>
        <w:t>knowledge</w:t>
      </w:r>
      <w:r>
        <w:rPr>
          <w:spacing w:val="80"/>
        </w:rPr>
        <w:t> </w:t>
      </w:r>
      <w:r>
        <w:rPr/>
        <w:t>of</w:t>
      </w:r>
      <w:r>
        <w:rPr>
          <w:spacing w:val="80"/>
        </w:rPr>
        <w:t> </w:t>
      </w:r>
      <w:r>
        <w:rPr/>
        <w:t>surveys,</w:t>
      </w:r>
      <w:r>
        <w:rPr>
          <w:spacing w:val="80"/>
        </w:rPr>
        <w:t> </w:t>
      </w:r>
      <w:r>
        <w:rPr/>
        <w:t>statistical</w:t>
      </w:r>
      <w:r>
        <w:rPr>
          <w:spacing w:val="80"/>
        </w:rPr>
        <w:t> </w:t>
      </w:r>
      <w:r>
        <w:rPr/>
        <w:t>production</w:t>
      </w:r>
      <w:r>
        <w:rPr>
          <w:spacing w:val="80"/>
        </w:rPr>
        <w:t> </w:t>
      </w:r>
      <w:r>
        <w:rPr/>
        <w:t>processes,</w:t>
      </w:r>
      <w:r>
        <w:rPr>
          <w:spacing w:val="80"/>
        </w:rPr>
        <w:t> </w:t>
      </w:r>
      <w:r>
        <w:rPr/>
        <w:t>and</w:t>
      </w:r>
      <w:r>
        <w:rPr>
          <w:spacing w:val="80"/>
        </w:rPr>
        <w:t> </w:t>
      </w:r>
      <w:r>
        <w:rPr/>
        <w:t>statistical</w:t>
      </w:r>
      <w:r>
        <w:rPr>
          <w:spacing w:val="80"/>
        </w:rPr>
        <w:t> </w:t>
      </w:r>
      <w:r>
        <w:rPr/>
        <w:t>methodology/quality, primarily in the field of European business statistics.</w:t>
      </w:r>
    </w:p>
    <w:p>
      <w:pPr>
        <w:pStyle w:val="BodyText"/>
        <w:spacing w:before="2"/>
      </w:pPr>
    </w:p>
    <w:p>
      <w:pPr>
        <w:pStyle w:val="BodyText"/>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0"/>
        <w:rPr>
          <w:sz w:val="13"/>
        </w:rPr>
      </w:pPr>
    </w:p>
    <w:p>
      <w:pPr>
        <w:pStyle w:val="BodyText"/>
        <w:spacing w:before="92"/>
        <w:ind w:left="1080"/>
      </w:pPr>
      <w:r>
        <w:rPr/>
        <w:t>Good</w:t>
      </w:r>
      <w:r>
        <w:rPr>
          <w:spacing w:val="-3"/>
        </w:rPr>
        <w:t> </w:t>
      </w:r>
      <w:r>
        <w:rPr/>
        <w:t>knowledge</w:t>
      </w:r>
      <w:r>
        <w:rPr>
          <w:spacing w:val="-3"/>
        </w:rPr>
        <w:t> </w:t>
      </w:r>
      <w:r>
        <w:rPr/>
        <w:t>of</w:t>
      </w:r>
      <w:r>
        <w:rPr>
          <w:spacing w:val="-2"/>
        </w:rPr>
        <w:t> English.</w:t>
      </w:r>
    </w:p>
    <w:p>
      <w:pPr>
        <w:pStyle w:val="BodyText"/>
        <w:spacing w:before="5"/>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before="92"/>
        <w:ind w:left="799" w:right="278"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w:t>
      </w:r>
    </w:p>
    <w:p>
      <w:pPr>
        <w:spacing w:after="0"/>
        <w:jc w:val="both"/>
        <w:rPr>
          <w:sz w:val="22"/>
        </w:rPr>
        <w:sectPr>
          <w:pgSz w:w="11910" w:h="16840"/>
          <w:pgMar w:header="0" w:footer="690" w:top="1040" w:bottom="880" w:left="480" w:right="740"/>
        </w:sectPr>
      </w:pPr>
    </w:p>
    <w:p>
      <w:pPr>
        <w:spacing w:line="247" w:lineRule="auto" w:before="68"/>
        <w:ind w:left="799" w:right="0" w:firstLine="0"/>
        <w:jc w:val="left"/>
        <w:rPr>
          <w:b/>
          <w:sz w:val="22"/>
        </w:rPr>
      </w:pPr>
      <w:r>
        <w:rPr>
          <w:sz w:val="22"/>
        </w:rPr>
        <w:t>date</w:t>
      </w:r>
      <w:r>
        <w:rPr>
          <w:spacing w:val="40"/>
          <w:sz w:val="22"/>
        </w:rPr>
        <w:t> </w:t>
      </w:r>
      <w:r>
        <w:rPr>
          <w:sz w:val="22"/>
        </w:rPr>
        <w:t>of</w:t>
      </w:r>
      <w:r>
        <w:rPr>
          <w:spacing w:val="40"/>
          <w:sz w:val="22"/>
        </w:rPr>
        <w:t> </w:t>
      </w:r>
      <w:r>
        <w:rPr>
          <w:sz w:val="22"/>
        </w:rPr>
        <w:t>birth</w:t>
      </w:r>
      <w:r>
        <w:rPr>
          <w:spacing w:val="40"/>
          <w:sz w:val="22"/>
        </w:rPr>
        <w:t> </w:t>
      </w:r>
      <w:r>
        <w:rPr>
          <w:sz w:val="22"/>
        </w:rPr>
        <w:t>and</w:t>
      </w:r>
      <w:r>
        <w:rPr>
          <w:spacing w:val="40"/>
          <w:sz w:val="22"/>
        </w:rPr>
        <w:t> </w:t>
      </w:r>
      <w:r>
        <w:rPr>
          <w:sz w:val="22"/>
        </w:rPr>
        <w:t>the</w:t>
      </w:r>
      <w:r>
        <w:rPr>
          <w:spacing w:val="40"/>
          <w:sz w:val="22"/>
        </w:rPr>
        <w:t> </w:t>
      </w:r>
      <w:r>
        <w:rPr>
          <w:sz w:val="22"/>
        </w:rPr>
        <w:t>nationality</w:t>
      </w:r>
      <w:r>
        <w:rPr>
          <w:spacing w:val="40"/>
          <w:sz w:val="22"/>
        </w:rPr>
        <w:t> </w:t>
      </w:r>
      <w:r>
        <w:rPr>
          <w:sz w:val="22"/>
        </w:rPr>
        <w:t>of</w:t>
      </w:r>
      <w:r>
        <w:rPr>
          <w:spacing w:val="40"/>
          <w:sz w:val="22"/>
        </w:rPr>
        <w:t> </w:t>
      </w:r>
      <w:r>
        <w:rPr>
          <w:sz w:val="22"/>
        </w:rPr>
        <w:t>the</w:t>
      </w:r>
      <w:r>
        <w:rPr>
          <w:spacing w:val="40"/>
          <w:sz w:val="22"/>
        </w:rPr>
        <w:t> </w:t>
      </w:r>
      <w:r>
        <w:rPr>
          <w:sz w:val="22"/>
        </w:rPr>
        <w:t>candidate.</w:t>
      </w:r>
      <w:r>
        <w:rPr>
          <w:spacing w:val="40"/>
          <w:sz w:val="22"/>
        </w:rPr>
        <w:t> </w:t>
      </w:r>
      <w:r>
        <w:rPr>
          <w:b/>
          <w:sz w:val="22"/>
        </w:rPr>
        <w:t>Not</w:t>
      </w:r>
      <w:r>
        <w:rPr>
          <w:b/>
          <w:spacing w:val="40"/>
          <w:sz w:val="22"/>
        </w:rPr>
        <w:t> </w:t>
      </w:r>
      <w:r>
        <w:rPr>
          <w:b/>
          <w:sz w:val="22"/>
        </w:rPr>
        <w:t>respecting</w:t>
      </w:r>
      <w:r>
        <w:rPr>
          <w:b/>
          <w:spacing w:val="40"/>
          <w:sz w:val="22"/>
        </w:rPr>
        <w:t> </w:t>
      </w:r>
      <w:r>
        <w:rPr>
          <w:b/>
          <w:sz w:val="22"/>
        </w:rPr>
        <w:t>this</w:t>
      </w:r>
      <w:r>
        <w:rPr>
          <w:b/>
          <w:spacing w:val="40"/>
          <w:sz w:val="22"/>
        </w:rPr>
        <w:t> </w:t>
      </w:r>
      <w:r>
        <w:rPr>
          <w:b/>
          <w:sz w:val="22"/>
        </w:rPr>
        <w:t>procedure</w:t>
      </w:r>
      <w:r>
        <w:rPr>
          <w:b/>
          <w:spacing w:val="40"/>
          <w:sz w:val="22"/>
        </w:rPr>
        <w:t> </w:t>
      </w:r>
      <w:r>
        <w:rPr>
          <w:b/>
          <w:sz w:val="22"/>
        </w:rPr>
        <w:t>or</w:t>
      </w:r>
      <w:r>
        <w:rPr>
          <w:b/>
          <w:spacing w:val="40"/>
          <w:sz w:val="22"/>
        </w:rPr>
        <w:t> </w:t>
      </w:r>
      <w:r>
        <w:rPr>
          <w:b/>
          <w:sz w:val="22"/>
        </w:rPr>
        <w:t>deadlines</w:t>
      </w:r>
      <w:r>
        <w:rPr>
          <w:b/>
          <w:spacing w:val="40"/>
          <w:sz w:val="22"/>
        </w:rPr>
        <w:t> </w:t>
      </w:r>
      <w:r>
        <w:rPr>
          <w:b/>
          <w:sz w:val="22"/>
        </w:rPr>
        <w:t>will</w:t>
      </w:r>
      <w:r>
        <w:rPr>
          <w:b/>
          <w:spacing w:val="80"/>
          <w:sz w:val="22"/>
        </w:rPr>
        <w:t> </w:t>
      </w:r>
      <w:r>
        <w:rPr>
          <w:b/>
          <w:sz w:val="22"/>
        </w:rPr>
        <w:t>automatically invalidate the application.</w:t>
      </w:r>
    </w:p>
    <w:p>
      <w:pPr>
        <w:pStyle w:val="BodyText"/>
        <w:spacing w:before="10"/>
        <w:rPr>
          <w:b/>
          <w:sz w:val="20"/>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5"/>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43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40" w:lineRule="auto"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spacing w:after="0" w:line="240" w:lineRule="auto"/>
        <w:jc w:val="both"/>
        <w:sectPr>
          <w:pgSz w:w="11910" w:h="16840"/>
          <w:pgMar w:header="0" w:footer="690" w:top="1040" w:bottom="880" w:left="480" w:right="740"/>
        </w:sectPr>
      </w:pPr>
    </w:p>
    <w:p>
      <w:pPr>
        <w:pStyle w:val="BodyText"/>
        <w:spacing w:before="68"/>
        <w:ind w:left="1080" w:right="283"/>
        <w:jc w:val="both"/>
      </w:pPr>
      <w:r>
        <w:rPr/>
        <w:pict>
          <v:rect style="position:absolute;margin-left:230.330002pt;margin-top:27.609539pt;width:3.72pt;height:.48pt;mso-position-horizontal-relative:page;mso-position-vertical-relative:paragraph;z-index:-15838208"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2"/>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923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08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125"/>
      </w:pPr>
      <w:rPr>
        <w:rFonts w:hint="default"/>
        <w:lang w:val="en-US" w:eastAsia="en-US" w:bidi="ar-SA"/>
      </w:rPr>
    </w:lvl>
    <w:lvl w:ilvl="3">
      <w:start w:val="0"/>
      <w:numFmt w:val="bullet"/>
      <w:lvlText w:val="•"/>
      <w:lvlJc w:val="left"/>
      <w:pPr>
        <w:ind w:left="3214" w:hanging="125"/>
      </w:pPr>
      <w:rPr>
        <w:rFonts w:hint="default"/>
        <w:lang w:val="en-US" w:eastAsia="en-US" w:bidi="ar-SA"/>
      </w:rPr>
    </w:lvl>
    <w:lvl w:ilvl="4">
      <w:start w:val="0"/>
      <w:numFmt w:val="bullet"/>
      <w:lvlText w:val="•"/>
      <w:lvlJc w:val="left"/>
      <w:pPr>
        <w:ind w:left="4282" w:hanging="125"/>
      </w:pPr>
      <w:rPr>
        <w:rFonts w:hint="default"/>
        <w:lang w:val="en-US" w:eastAsia="en-US" w:bidi="ar-SA"/>
      </w:rPr>
    </w:lvl>
    <w:lvl w:ilvl="5">
      <w:start w:val="0"/>
      <w:numFmt w:val="bullet"/>
      <w:lvlText w:val="•"/>
      <w:lvlJc w:val="left"/>
      <w:pPr>
        <w:ind w:left="5349" w:hanging="125"/>
      </w:pPr>
      <w:rPr>
        <w:rFonts w:hint="default"/>
        <w:lang w:val="en-US" w:eastAsia="en-US" w:bidi="ar-SA"/>
      </w:rPr>
    </w:lvl>
    <w:lvl w:ilvl="6">
      <w:start w:val="0"/>
      <w:numFmt w:val="bullet"/>
      <w:lvlText w:val="•"/>
      <w:lvlJc w:val="left"/>
      <w:pPr>
        <w:ind w:left="6416" w:hanging="125"/>
      </w:pPr>
      <w:rPr>
        <w:rFonts w:hint="default"/>
        <w:lang w:val="en-US" w:eastAsia="en-US" w:bidi="ar-SA"/>
      </w:rPr>
    </w:lvl>
    <w:lvl w:ilvl="7">
      <w:start w:val="0"/>
      <w:numFmt w:val="bullet"/>
      <w:lvlText w:val="•"/>
      <w:lvlJc w:val="left"/>
      <w:pPr>
        <w:ind w:left="7484" w:hanging="125"/>
      </w:pPr>
      <w:rPr>
        <w:rFonts w:hint="default"/>
        <w:lang w:val="en-US" w:eastAsia="en-US" w:bidi="ar-SA"/>
      </w:rPr>
    </w:lvl>
    <w:lvl w:ilvl="8">
      <w:start w:val="0"/>
      <w:numFmt w:val="bullet"/>
      <w:lvlText w:val="•"/>
      <w:lvlJc w:val="left"/>
      <w:pPr>
        <w:ind w:left="8551" w:hanging="125"/>
      </w:pPr>
      <w:rPr>
        <w:rFonts w:hint="default"/>
        <w:lang w:val="en-US" w:eastAsia="en-US" w:bidi="ar-SA"/>
      </w:rPr>
    </w:lvl>
  </w:abstractNum>
  <w:abstractNum w:abstractNumId="2">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0">
    <w:multiLevelType w:val="hybridMultilevel"/>
    <w:lvl w:ilvl="0">
      <w:start w:val="0"/>
      <w:numFmt w:val="bullet"/>
      <w:lvlText w:val=""/>
      <w:lvlJc w:val="left"/>
      <w:pPr>
        <w:ind w:left="357" w:hanging="252"/>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882" w:hanging="252"/>
      </w:pPr>
      <w:rPr>
        <w:rFonts w:hint="default"/>
        <w:lang w:val="en-US" w:eastAsia="en-US" w:bidi="ar-SA"/>
      </w:rPr>
    </w:lvl>
    <w:lvl w:ilvl="2">
      <w:start w:val="0"/>
      <w:numFmt w:val="bullet"/>
      <w:lvlText w:val="•"/>
      <w:lvlJc w:val="left"/>
      <w:pPr>
        <w:ind w:left="1405" w:hanging="252"/>
      </w:pPr>
      <w:rPr>
        <w:rFonts w:hint="default"/>
        <w:lang w:val="en-US" w:eastAsia="en-US" w:bidi="ar-SA"/>
      </w:rPr>
    </w:lvl>
    <w:lvl w:ilvl="3">
      <w:start w:val="0"/>
      <w:numFmt w:val="bullet"/>
      <w:lvlText w:val="•"/>
      <w:lvlJc w:val="left"/>
      <w:pPr>
        <w:ind w:left="1927" w:hanging="252"/>
      </w:pPr>
      <w:rPr>
        <w:rFonts w:hint="default"/>
        <w:lang w:val="en-US" w:eastAsia="en-US" w:bidi="ar-SA"/>
      </w:rPr>
    </w:lvl>
    <w:lvl w:ilvl="4">
      <w:start w:val="0"/>
      <w:numFmt w:val="bullet"/>
      <w:lvlText w:val="•"/>
      <w:lvlJc w:val="left"/>
      <w:pPr>
        <w:ind w:left="2450" w:hanging="252"/>
      </w:pPr>
      <w:rPr>
        <w:rFonts w:hint="default"/>
        <w:lang w:val="en-US" w:eastAsia="en-US" w:bidi="ar-SA"/>
      </w:rPr>
    </w:lvl>
    <w:lvl w:ilvl="5">
      <w:start w:val="0"/>
      <w:numFmt w:val="bullet"/>
      <w:lvlText w:val="•"/>
      <w:lvlJc w:val="left"/>
      <w:pPr>
        <w:ind w:left="2973" w:hanging="252"/>
      </w:pPr>
      <w:rPr>
        <w:rFonts w:hint="default"/>
        <w:lang w:val="en-US" w:eastAsia="en-US" w:bidi="ar-SA"/>
      </w:rPr>
    </w:lvl>
    <w:lvl w:ilvl="6">
      <w:start w:val="0"/>
      <w:numFmt w:val="bullet"/>
      <w:lvlText w:val="•"/>
      <w:lvlJc w:val="left"/>
      <w:pPr>
        <w:ind w:left="3495" w:hanging="252"/>
      </w:pPr>
      <w:rPr>
        <w:rFonts w:hint="default"/>
        <w:lang w:val="en-US" w:eastAsia="en-US" w:bidi="ar-SA"/>
      </w:rPr>
    </w:lvl>
    <w:lvl w:ilvl="7">
      <w:start w:val="0"/>
      <w:numFmt w:val="bullet"/>
      <w:lvlText w:val="•"/>
      <w:lvlJc w:val="left"/>
      <w:pPr>
        <w:ind w:left="4018" w:hanging="252"/>
      </w:pPr>
      <w:rPr>
        <w:rFonts w:hint="default"/>
        <w:lang w:val="en-US" w:eastAsia="en-US" w:bidi="ar-SA"/>
      </w:rPr>
    </w:lvl>
    <w:lvl w:ilvl="8">
      <w:start w:val="0"/>
      <w:numFmt w:val="bullet"/>
      <w:lvlText w:val="•"/>
      <w:lvlJc w:val="left"/>
      <w:pPr>
        <w:ind w:left="4540" w:hanging="252"/>
      </w:pPr>
      <w:rPr>
        <w:rFonts w:hint="default"/>
        <w:lang w:val="en-US" w:eastAsia="en-US" w:bidi="ar-SA"/>
      </w:rPr>
    </w:lvl>
  </w:abstractNum>
  <w:abstractNum w:abstractNumId="3">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0" w:hanging="139"/>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139"/>
      </w:pPr>
      <w:rPr>
        <w:rFonts w:hint="default"/>
        <w:lang w:val="en-US" w:eastAsia="en-US" w:bidi="ar-SA"/>
      </w:rPr>
    </w:lvl>
    <w:lvl w:ilvl="3">
      <w:start w:val="0"/>
      <w:numFmt w:val="bullet"/>
      <w:lvlText w:val="•"/>
      <w:lvlJc w:val="left"/>
      <w:pPr>
        <w:ind w:left="3214" w:hanging="139"/>
      </w:pPr>
      <w:rPr>
        <w:rFonts w:hint="default"/>
        <w:lang w:val="en-US" w:eastAsia="en-US" w:bidi="ar-SA"/>
      </w:rPr>
    </w:lvl>
    <w:lvl w:ilvl="4">
      <w:start w:val="0"/>
      <w:numFmt w:val="bullet"/>
      <w:lvlText w:val="•"/>
      <w:lvlJc w:val="left"/>
      <w:pPr>
        <w:ind w:left="4282" w:hanging="139"/>
      </w:pPr>
      <w:rPr>
        <w:rFonts w:hint="default"/>
        <w:lang w:val="en-US" w:eastAsia="en-US" w:bidi="ar-SA"/>
      </w:rPr>
    </w:lvl>
    <w:lvl w:ilvl="5">
      <w:start w:val="0"/>
      <w:numFmt w:val="bullet"/>
      <w:lvlText w:val="•"/>
      <w:lvlJc w:val="left"/>
      <w:pPr>
        <w:ind w:left="5349" w:hanging="139"/>
      </w:pPr>
      <w:rPr>
        <w:rFonts w:hint="default"/>
        <w:lang w:val="en-US" w:eastAsia="en-US" w:bidi="ar-SA"/>
      </w:rPr>
    </w:lvl>
    <w:lvl w:ilvl="6">
      <w:start w:val="0"/>
      <w:numFmt w:val="bullet"/>
      <w:lvlText w:val="•"/>
      <w:lvlJc w:val="left"/>
      <w:pPr>
        <w:ind w:left="6416" w:hanging="139"/>
      </w:pPr>
      <w:rPr>
        <w:rFonts w:hint="default"/>
        <w:lang w:val="en-US" w:eastAsia="en-US" w:bidi="ar-SA"/>
      </w:rPr>
    </w:lvl>
    <w:lvl w:ilvl="7">
      <w:start w:val="0"/>
      <w:numFmt w:val="bullet"/>
      <w:lvlText w:val="•"/>
      <w:lvlJc w:val="left"/>
      <w:pPr>
        <w:ind w:left="7484" w:hanging="139"/>
      </w:pPr>
      <w:rPr>
        <w:rFonts w:hint="default"/>
        <w:lang w:val="en-US" w:eastAsia="en-US" w:bidi="ar-SA"/>
      </w:rPr>
    </w:lvl>
    <w:lvl w:ilvl="8">
      <w:start w:val="0"/>
      <w:numFmt w:val="bullet"/>
      <w:lvlText w:val="•"/>
      <w:lvlJc w:val="left"/>
      <w:pPr>
        <w:ind w:left="8551" w:hanging="139"/>
      </w:pPr>
      <w:rPr>
        <w:rFonts w:hint="default"/>
        <w:lang w:val="en-US" w:eastAsia="en-US" w:bidi="ar-SA"/>
      </w:rPr>
    </w:lvl>
  </w:abstractNum>
  <w:num w:numId="6">
    <w:abstractNumId w:val="5"/>
  </w: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Jukka.jalava@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2023-02-16T16:44:56Z</dcterms:created>
  <dcterms:modified xsi:type="dcterms:W3CDTF">2023-02-16T16:44:56Z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