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7" w:firstLine="0"/>
        <w:jc w:val="center"/>
        <w:rPr>
          <w:b/>
          <w:sz w:val="24"/>
        </w:rPr>
      </w:pPr>
      <w:r>
        <w:rPr>
          <w:b/>
          <w:spacing w:val="-2"/>
          <w:sz w:val="24"/>
        </w:rPr>
        <w:t>VACANCY</w:t>
      </w:r>
      <w:r>
        <w:rPr>
          <w:b/>
          <w:spacing w:val="-3"/>
          <w:sz w:val="24"/>
        </w:rPr>
        <w:t> </w:t>
      </w:r>
      <w:r>
        <w:rPr>
          <w:b/>
          <w:spacing w:val="-2"/>
          <w:sz w:val="24"/>
        </w:rPr>
        <w:t>NOTICE</w:t>
      </w:r>
    </w:p>
    <w:p>
      <w:pPr>
        <w:pStyle w:val="BodyText"/>
        <w:spacing w:before="11"/>
        <w:rPr>
          <w:b/>
          <w:sz w:val="23"/>
        </w:rPr>
      </w:pPr>
    </w:p>
    <w:p>
      <w:pPr>
        <w:spacing w:before="0"/>
        <w:ind w:left="1296" w:right="1632"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8"/>
          <w:sz w:val="24"/>
        </w:rPr>
        <w:t> </w:t>
      </w:r>
      <w:r>
        <w:rPr>
          <w:b/>
          <w:sz w:val="24"/>
        </w:rPr>
        <w:t>THE</w:t>
      </w:r>
      <w:r>
        <w:rPr>
          <w:b/>
          <w:spacing w:val="-9"/>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pacing w:val="-2"/>
                <w:sz w:val="24"/>
              </w:rPr>
              <w:t>FISMA.C.1</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3"/>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545"/>
              <w:rPr>
                <w:sz w:val="24"/>
              </w:rPr>
            </w:pPr>
            <w:r>
              <w:rPr>
                <w:sz w:val="24"/>
              </w:rPr>
              <w:t>Sven Gentner </w:t>
            </w:r>
            <w:hyperlink r:id="rId7">
              <w:r>
                <w:rPr>
                  <w:spacing w:val="-2"/>
                  <w:sz w:val="24"/>
                </w:rPr>
                <w:t>Sven.gentner@ec.europa.eu</w:t>
              </w:r>
            </w:hyperlink>
          </w:p>
          <w:p>
            <w:pPr>
              <w:pStyle w:val="TableParagraph"/>
              <w:rPr>
                <w:sz w:val="24"/>
              </w:rPr>
            </w:pPr>
            <w:r>
              <w:rPr>
                <w:sz w:val="24"/>
              </w:rPr>
              <w:t>+32</w:t>
            </w:r>
            <w:r>
              <w:rPr>
                <w:spacing w:val="-2"/>
                <w:sz w:val="24"/>
              </w:rPr>
              <w:t> </w:t>
            </w:r>
            <w:r>
              <w:rPr>
                <w:sz w:val="24"/>
              </w:rPr>
              <w:t>229-</w:t>
            </w:r>
            <w:r>
              <w:rPr>
                <w:spacing w:val="-2"/>
                <w:sz w:val="24"/>
              </w:rPr>
              <w:t>85365</w:t>
            </w:r>
          </w:p>
          <w:p>
            <w:pPr>
              <w:pStyle w:val="TableParagraph"/>
              <w:rPr>
                <w:b/>
                <w:sz w:val="22"/>
              </w:rPr>
            </w:pPr>
            <w:r>
              <w:rPr>
                <w:b/>
                <w:w w:val="100"/>
                <w:sz w:val="22"/>
              </w:rPr>
              <w:t>1</w:t>
            </w:r>
          </w:p>
          <w:p>
            <w:pPr>
              <w:pStyle w:val="TableParagraph"/>
              <w:spacing w:line="252" w:lineRule="exact"/>
              <w:rPr>
                <w:b/>
                <w:sz w:val="22"/>
              </w:rPr>
            </w:pPr>
            <w:r>
              <w:rPr>
                <w:b/>
                <w:sz w:val="22"/>
              </w:rPr>
              <w:t>3rd</w:t>
            </w:r>
            <w:r>
              <w:rPr>
                <w:b/>
                <w:spacing w:val="-3"/>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p>
            <w:pPr>
              <w:pStyle w:val="TableParagraph"/>
              <w:spacing w:line="251" w:lineRule="exact"/>
              <w:rPr>
                <w:b/>
                <w:sz w:val="22"/>
              </w:rPr>
            </w:pPr>
            <w:r>
              <w:rPr>
                <w:b/>
                <w:sz w:val="22"/>
              </w:rPr>
              <w:t>2 </w:t>
            </w:r>
            <w:r>
              <w:rPr>
                <w:b/>
                <w:spacing w:val="-2"/>
                <w:sz w:val="22"/>
              </w:rPr>
              <w:t>year(s</w:t>
            </w:r>
            <w:r>
              <w:rPr>
                <w:b/>
                <w:spacing w:val="-2"/>
                <w:sz w:val="22"/>
                <w:vertAlign w:val="superscript"/>
              </w:rPr>
              <w:t>)1</w:t>
            </w:r>
          </w:p>
          <w:p>
            <w:pPr>
              <w:pStyle w:val="TableParagraph"/>
              <w:spacing w:line="251" w:lineRule="exact"/>
              <w:rPr>
                <w:b/>
                <w:sz w:val="22"/>
              </w:rPr>
            </w:pPr>
            <w:r>
              <w:rPr>
                <w:sz w:val="22"/>
              </w:rPr>
              <w:t>X</w:t>
            </w:r>
            <w:r>
              <w:rPr>
                <w:spacing w:val="-3"/>
                <w:sz w:val="22"/>
              </w:rPr>
              <w:t> </w:t>
            </w:r>
            <w:r>
              <w:rPr>
                <w:b/>
                <w:sz w:val="22"/>
              </w:rPr>
              <w:t>Brussels</w:t>
            </w:r>
            <w:r>
              <w:rPr>
                <w:b/>
                <w:spacing w:val="52"/>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2"/>
                <w:sz w:val="22"/>
              </w:rPr>
              <w:t> ……………..</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487" w:val="left" w:leader="none"/>
                <w:tab w:pos="2911" w:val="left" w:leader="none"/>
                <w:tab w:pos="3384" w:val="left" w:leader="none"/>
              </w:tabs>
              <w:spacing w:before="140"/>
              <w:rPr>
                <w:b/>
                <w:sz w:val="22"/>
              </w:rPr>
            </w:pPr>
            <w:r>
              <w:rPr>
                <w:spacing w:val="-10"/>
                <w:sz w:val="22"/>
              </w:rPr>
              <w:t>X</w:t>
            </w:r>
            <w:r>
              <w:rPr>
                <w:sz w:val="22"/>
              </w:rPr>
              <w:tab/>
            </w:r>
            <w:r>
              <w:rPr>
                <w:b/>
                <w:sz w:val="22"/>
              </w:rPr>
              <w:t>With</w:t>
            </w:r>
            <w:r>
              <w:rPr>
                <w:b/>
                <w:spacing w:val="-8"/>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1"/>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rPr>
          <w:b/>
          <w:sz w:val="20"/>
        </w:rPr>
      </w:pPr>
    </w:p>
    <w:p>
      <w:pPr>
        <w:pStyle w:val="BodyText"/>
        <w:rPr>
          <w:b/>
          <w:sz w:val="20"/>
        </w:rPr>
      </w:pPr>
    </w:p>
    <w:p>
      <w:pPr>
        <w:spacing w:before="90"/>
        <w:ind w:left="372" w:right="102" w:firstLine="0"/>
        <w:jc w:val="both"/>
        <w:rPr>
          <w:sz w:val="24"/>
        </w:rPr>
      </w:pPr>
      <w:r>
        <w:rPr>
          <w:sz w:val="24"/>
        </w:rPr>
        <w:t>Unit</w:t>
      </w:r>
      <w:r>
        <w:rPr>
          <w:sz w:val="24"/>
        </w:rPr>
        <w:t> FISMA.C1 is responsible for policy-making and legislative/regulatory work to ensure</w:t>
      </w:r>
      <w:r>
        <w:rPr>
          <w:sz w:val="24"/>
        </w:rPr>
        <w:t> the transparency, integrity and efficiency of the EU’s capital markets in relation to corporate reporting, audit and credit rating agencies. We deal with issues that you’ll see on the front page of the Financial Times, such as the development of a new corporate sustainability reporting framework, ESG ratings and reforms of the EU framework for statutory audit. We also work on more technical issues such as (international) accounting standards and on governance and transparency requirements for credit rating agencies. The most dynamic areas of policy-making these days are everything linked to sustainability (reporting and ESG ratings and the development of the European Single Access Point for regulated information.</w:t>
      </w:r>
    </w:p>
    <w:p>
      <w:pPr>
        <w:pStyle w:val="BodyText"/>
        <w:spacing w:before="5"/>
        <w:rPr>
          <w:sz w:val="24"/>
        </w:rPr>
      </w:pPr>
    </w:p>
    <w:p>
      <w:pPr>
        <w:spacing w:before="0"/>
        <w:ind w:left="372" w:right="111" w:firstLine="0"/>
        <w:jc w:val="both"/>
        <w:rPr>
          <w:sz w:val="24"/>
        </w:rPr>
      </w:pPr>
      <w:r>
        <w:rPr>
          <w:sz w:val="24"/>
        </w:rPr>
        <w:t>Therefore, our unit contributes to the implementation of some of the Commission’s key political</w:t>
      </w:r>
      <w:r>
        <w:rPr>
          <w:spacing w:val="40"/>
          <w:sz w:val="24"/>
        </w:rPr>
        <w:t> </w:t>
      </w:r>
      <w:r>
        <w:rPr>
          <w:sz w:val="24"/>
        </w:rPr>
        <w:t>priorities, including the European Green Deal, the European data strategy and the creation of Capital Markets Union. Our work has an important international dimension, including liaising with counterparts from other major jurisdictions such as the US Securities and Exchange Commission, as well as European and international bodies such as the European Securities and Markets Authority and the International Organization of Securities Commissions, the International Accounting Standards Board and the International Sustainability Standards Board. We have extensive contacts with industry and civil society. We also manage a significant budget through which the EU provides funding to several European and international</w:t>
      </w:r>
      <w:r>
        <w:rPr>
          <w:spacing w:val="-3"/>
          <w:sz w:val="24"/>
        </w:rPr>
        <w:t> </w:t>
      </w:r>
      <w:r>
        <w:rPr>
          <w:sz w:val="24"/>
        </w:rPr>
        <w:t>bodies</w:t>
      </w:r>
      <w:r>
        <w:rPr>
          <w:spacing w:val="-3"/>
          <w:sz w:val="24"/>
        </w:rPr>
        <w:t> </w:t>
      </w:r>
      <w:r>
        <w:rPr>
          <w:sz w:val="24"/>
        </w:rPr>
        <w:t>such</w:t>
      </w:r>
      <w:r>
        <w:rPr>
          <w:spacing w:val="-1"/>
          <w:sz w:val="24"/>
        </w:rPr>
        <w:t> </w:t>
      </w:r>
      <w:r>
        <w:rPr>
          <w:sz w:val="24"/>
        </w:rPr>
        <w:t>as</w:t>
      </w:r>
      <w:r>
        <w:rPr>
          <w:spacing w:val="-3"/>
          <w:sz w:val="24"/>
        </w:rPr>
        <w:t> </w:t>
      </w:r>
      <w:r>
        <w:rPr>
          <w:sz w:val="24"/>
        </w:rPr>
        <w:t>the International</w:t>
      </w:r>
      <w:r>
        <w:rPr>
          <w:spacing w:val="-1"/>
          <w:sz w:val="24"/>
        </w:rPr>
        <w:t> </w:t>
      </w:r>
      <w:r>
        <w:rPr>
          <w:sz w:val="24"/>
        </w:rPr>
        <w:t>Financial</w:t>
      </w:r>
      <w:r>
        <w:rPr>
          <w:spacing w:val="-3"/>
          <w:sz w:val="24"/>
        </w:rPr>
        <w:t> </w:t>
      </w:r>
      <w:r>
        <w:rPr>
          <w:sz w:val="24"/>
        </w:rPr>
        <w:t>Reporting</w:t>
      </w:r>
      <w:r>
        <w:rPr>
          <w:spacing w:val="-5"/>
          <w:sz w:val="24"/>
        </w:rPr>
        <w:t> </w:t>
      </w:r>
      <w:r>
        <w:rPr>
          <w:sz w:val="24"/>
        </w:rPr>
        <w:t>Standards</w:t>
      </w:r>
      <w:r>
        <w:rPr>
          <w:spacing w:val="-3"/>
          <w:sz w:val="24"/>
        </w:rPr>
        <w:t> </w:t>
      </w:r>
      <w:r>
        <w:rPr>
          <w:sz w:val="24"/>
        </w:rPr>
        <w:t>Foundation.</w:t>
      </w:r>
      <w:r>
        <w:rPr>
          <w:spacing w:val="-3"/>
          <w:sz w:val="24"/>
        </w:rPr>
        <w:t> </w:t>
      </w:r>
      <w:r>
        <w:rPr>
          <w:sz w:val="24"/>
        </w:rPr>
        <w:t>We</w:t>
      </w:r>
      <w:r>
        <w:rPr>
          <w:spacing w:val="-2"/>
          <w:sz w:val="24"/>
        </w:rPr>
        <w:t> </w:t>
      </w:r>
      <w:r>
        <w:rPr>
          <w:sz w:val="24"/>
        </w:rPr>
        <w:t>are</w:t>
      </w:r>
      <w:r>
        <w:rPr>
          <w:spacing w:val="-4"/>
          <w:sz w:val="24"/>
        </w:rPr>
        <w:t> </w:t>
      </w:r>
      <w:r>
        <w:rPr>
          <w:sz w:val="24"/>
        </w:rPr>
        <w:t>a</w:t>
      </w:r>
      <w:r>
        <w:rPr>
          <w:spacing w:val="-2"/>
          <w:sz w:val="24"/>
        </w:rPr>
        <w:t> </w:t>
      </w:r>
      <w:r>
        <w:rPr>
          <w:sz w:val="24"/>
        </w:rPr>
        <w:t>team</w:t>
      </w:r>
      <w:r>
        <w:rPr>
          <w:spacing w:val="-3"/>
          <w:sz w:val="24"/>
        </w:rPr>
        <w:t> </w:t>
      </w:r>
      <w:r>
        <w:rPr>
          <w:sz w:val="24"/>
        </w:rPr>
        <w:t>of about 20 people, including economists, lawyers, accountants and generalists, with a good balance of younger and more experienced colleagues.</w:t>
      </w:r>
    </w:p>
    <w:p>
      <w:pPr>
        <w:pStyle w:val="BodyText"/>
        <w:rPr>
          <w:sz w:val="20"/>
        </w:rPr>
      </w:pPr>
    </w:p>
    <w:p>
      <w:pPr>
        <w:pStyle w:val="BodyText"/>
        <w:rPr>
          <w:sz w:val="20"/>
        </w:rPr>
      </w:pPr>
    </w:p>
    <w:p>
      <w:pPr>
        <w:pStyle w:val="BodyText"/>
        <w:rPr>
          <w:sz w:val="14"/>
        </w:rPr>
      </w:pPr>
      <w:r>
        <w:rPr/>
        <w:pict>
          <v:rect style="position:absolute;margin-left:42.599998pt;margin-top:9.275713pt;width:144.020pt;height:.599980pt;mso-position-horizontal-relative:page;mso-position-vertical-relative:paragraph;z-index:-15728640;mso-wrap-distance-left:0;mso-wrap-distance-right:0" id="docshape2" filled="true" fillcolor="#000000" stroked="false">
            <v:fill type="solid"/>
            <w10:wrap type="topAndBottom"/>
          </v:rect>
        </w:pict>
      </w:r>
    </w:p>
    <w:p>
      <w:pPr>
        <w:spacing w:before="101"/>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spacing w:before="66"/>
        <w:ind w:left="372" w:right="103" w:firstLine="0"/>
        <w:jc w:val="both"/>
        <w:rPr>
          <w:sz w:val="24"/>
        </w:rPr>
      </w:pPr>
      <w:r>
        <w:rPr>
          <w:sz w:val="24"/>
        </w:rPr>
        <w:t>We are looking for a dynamic seconded national expert to work on policy analysis and development, advice in relation to the legislative and other tasks on the above areas of activity.</w:t>
      </w:r>
    </w:p>
    <w:p>
      <w:pPr>
        <w:pStyle w:val="BodyText"/>
        <w:spacing w:before="4"/>
        <w:rPr>
          <w:sz w:val="24"/>
        </w:rPr>
      </w:pPr>
    </w:p>
    <w:p>
      <w:pPr>
        <w:spacing w:before="1"/>
        <w:ind w:left="372" w:right="106" w:firstLine="0"/>
        <w:jc w:val="both"/>
        <w:rPr>
          <w:sz w:val="24"/>
        </w:rPr>
      </w:pPr>
      <w:r>
        <w:rPr>
          <w:sz w:val="24"/>
        </w:rPr>
        <w:t>The seconded national expert will contribute to the preparation of possible future reviews of EU legislation and the development of new legislative initiatives. The candidate could also be called upon to provide input to ex-ante evaluation, impact assessments and ex-post evaluation of EU action taken in those areas. Where appropriate, she or he will contribute to the implementation and enforcement of regulatory requirements.</w:t>
      </w:r>
    </w:p>
    <w:p>
      <w:pPr>
        <w:pStyle w:val="BodyText"/>
        <w:spacing w:before="2"/>
        <w:rPr>
          <w:sz w:val="24"/>
        </w:rPr>
      </w:pPr>
    </w:p>
    <w:p>
      <w:pPr>
        <w:spacing w:before="0"/>
        <w:ind w:left="372" w:right="108" w:firstLine="0"/>
        <w:jc w:val="both"/>
        <w:rPr>
          <w:sz w:val="24"/>
        </w:rPr>
      </w:pPr>
      <w:r>
        <w:rPr>
          <w:sz w:val="24"/>
        </w:rPr>
        <w:t>The successful candidate should ideally be a pro-active expert and display excellent communication and drafting skills, as well as sound judgement, a strong team spirit, and good organizational, communication and problem-solving skills. Knowledge and/or experience of corporate transparency and reporting and/or issues regarding sustainable finance and corporate social responsibility would be an additional asset.</w:t>
      </w:r>
    </w:p>
    <w:p>
      <w:pPr>
        <w:pStyle w:val="BodyText"/>
        <w:rPr>
          <w:sz w:val="26"/>
        </w:rPr>
      </w:pPr>
    </w:p>
    <w:p>
      <w:pPr>
        <w:pStyle w:val="BodyText"/>
        <w:spacing w:before="10"/>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2"/>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2"/>
          <w:numId w:val="2"/>
        </w:numPr>
        <w:tabs>
          <w:tab w:pos="1081" w:val="left" w:leader="none"/>
        </w:tabs>
        <w:spacing w:line="240" w:lineRule="auto" w:before="0" w:after="0"/>
        <w:ind w:left="1080" w:right="108"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2"/>
          <w:numId w:val="2"/>
        </w:numPr>
        <w:tabs>
          <w:tab w:pos="1081" w:val="left" w:leader="none"/>
        </w:tabs>
        <w:spacing w:line="240" w:lineRule="auto" w:before="0" w:after="0"/>
        <w:ind w:left="1080" w:right="117"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2"/>
          <w:numId w:val="2"/>
        </w:numPr>
        <w:tabs>
          <w:tab w:pos="1081" w:val="left" w:leader="none"/>
        </w:tabs>
        <w:spacing w:line="240" w:lineRule="auto" w:before="0" w:after="0"/>
        <w:ind w:left="1080" w:right="113"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6"/>
        <w:rPr>
          <w:sz w:val="24"/>
        </w:rPr>
      </w:pPr>
    </w:p>
    <w:p>
      <w:pPr>
        <w:pStyle w:val="Heading1"/>
        <w:numPr>
          <w:ilvl w:val="1"/>
          <w:numId w:val="2"/>
        </w:numPr>
        <w:tabs>
          <w:tab w:pos="1081" w:val="left" w:leader="none"/>
        </w:tabs>
        <w:spacing w:line="240" w:lineRule="auto" w:before="0" w:after="0"/>
        <w:ind w:left="1080" w:right="0" w:hanging="282"/>
        <w:jc w:val="left"/>
      </w:pPr>
      <w:r>
        <w:rPr>
          <w:u w:val="single"/>
        </w:rPr>
        <w:t>Selection</w:t>
      </w:r>
      <w:r>
        <w:rPr>
          <w:spacing w:val="-5"/>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0"/>
          <w:numId w:val="3"/>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3"/>
        </w:numPr>
        <w:tabs>
          <w:tab w:pos="1206" w:val="left" w:leader="none"/>
        </w:tabs>
        <w:spacing w:line="480" w:lineRule="auto" w:before="0"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w:t>
      </w:r>
    </w:p>
    <w:p>
      <w:pPr>
        <w:spacing w:line="209" w:lineRule="exact" w:before="0"/>
        <w:ind w:left="1080" w:right="0" w:firstLine="0"/>
        <w:jc w:val="left"/>
        <w:rPr>
          <w:sz w:val="20"/>
        </w:rPr>
      </w:pPr>
      <w:r>
        <w:rPr>
          <w:sz w:val="20"/>
        </w:rPr>
        <w:t>University</w:t>
      </w:r>
      <w:r>
        <w:rPr>
          <w:spacing w:val="-5"/>
          <w:sz w:val="20"/>
        </w:rPr>
        <w:t> </w:t>
      </w:r>
      <w:r>
        <w:rPr>
          <w:sz w:val="20"/>
        </w:rPr>
        <w:t>level</w:t>
      </w:r>
      <w:r>
        <w:rPr>
          <w:spacing w:val="-5"/>
          <w:sz w:val="20"/>
        </w:rPr>
        <w:t> </w:t>
      </w:r>
      <w:r>
        <w:rPr>
          <w:sz w:val="20"/>
        </w:rPr>
        <w:t>education</w:t>
      </w:r>
      <w:r>
        <w:rPr>
          <w:spacing w:val="-5"/>
          <w:sz w:val="20"/>
        </w:rPr>
        <w:t> </w:t>
      </w:r>
      <w:r>
        <w:rPr>
          <w:sz w:val="20"/>
        </w:rPr>
        <w:t>of</w:t>
      </w:r>
      <w:r>
        <w:rPr>
          <w:spacing w:val="-3"/>
          <w:sz w:val="20"/>
        </w:rPr>
        <w:t> </w:t>
      </w:r>
      <w:r>
        <w:rPr>
          <w:sz w:val="20"/>
        </w:rPr>
        <w:t>at</w:t>
      </w:r>
      <w:r>
        <w:rPr>
          <w:spacing w:val="-4"/>
          <w:sz w:val="20"/>
        </w:rPr>
        <w:t> </w:t>
      </w:r>
      <w:r>
        <w:rPr>
          <w:sz w:val="20"/>
        </w:rPr>
        <w:t>least</w:t>
      </w:r>
      <w:r>
        <w:rPr>
          <w:spacing w:val="-5"/>
          <w:sz w:val="20"/>
        </w:rPr>
        <w:t> </w:t>
      </w:r>
      <w:r>
        <w:rPr>
          <w:sz w:val="20"/>
        </w:rPr>
        <w:t>4</w:t>
      </w:r>
      <w:r>
        <w:rPr>
          <w:spacing w:val="-2"/>
          <w:sz w:val="20"/>
        </w:rPr>
        <w:t> </w:t>
      </w:r>
      <w:r>
        <w:rPr>
          <w:sz w:val="20"/>
        </w:rPr>
        <w:t>years</w:t>
      </w:r>
      <w:r>
        <w:rPr>
          <w:spacing w:val="-4"/>
          <w:sz w:val="20"/>
        </w:rPr>
        <w:t> </w:t>
      </w:r>
      <w:r>
        <w:rPr>
          <w:sz w:val="20"/>
        </w:rPr>
        <w:t>in</w:t>
      </w:r>
      <w:r>
        <w:rPr>
          <w:spacing w:val="-5"/>
          <w:sz w:val="20"/>
        </w:rPr>
        <w:t> </w:t>
      </w:r>
      <w:r>
        <w:rPr>
          <w:sz w:val="20"/>
        </w:rPr>
        <w:t>economics,</w:t>
      </w:r>
      <w:r>
        <w:rPr>
          <w:spacing w:val="-4"/>
          <w:sz w:val="20"/>
        </w:rPr>
        <w:t> </w:t>
      </w:r>
      <w:r>
        <w:rPr>
          <w:sz w:val="20"/>
        </w:rPr>
        <w:t>finance,</w:t>
      </w:r>
      <w:r>
        <w:rPr>
          <w:spacing w:val="-3"/>
          <w:sz w:val="20"/>
        </w:rPr>
        <w:t> </w:t>
      </w:r>
      <w:r>
        <w:rPr>
          <w:sz w:val="20"/>
        </w:rPr>
        <w:t>law,</w:t>
      </w:r>
      <w:r>
        <w:rPr>
          <w:spacing w:val="-4"/>
          <w:sz w:val="20"/>
        </w:rPr>
        <w:t> </w:t>
      </w:r>
      <w:r>
        <w:rPr>
          <w:sz w:val="20"/>
        </w:rPr>
        <w:t>politics</w:t>
      </w:r>
      <w:r>
        <w:rPr>
          <w:spacing w:val="-5"/>
          <w:sz w:val="20"/>
        </w:rPr>
        <w:t> </w:t>
      </w:r>
      <w:r>
        <w:rPr>
          <w:sz w:val="20"/>
        </w:rPr>
        <w:t>or</w:t>
      </w:r>
      <w:r>
        <w:rPr>
          <w:spacing w:val="-4"/>
          <w:sz w:val="20"/>
        </w:rPr>
        <w:t> </w:t>
      </w:r>
      <w:r>
        <w:rPr>
          <w:spacing w:val="-2"/>
          <w:sz w:val="20"/>
        </w:rPr>
        <w:t>society</w:t>
      </w:r>
    </w:p>
    <w:p>
      <w:pPr>
        <w:pStyle w:val="BodyText"/>
        <w:spacing w:before="10"/>
        <w:rPr>
          <w:sz w:val="19"/>
        </w:rPr>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spacing w:before="91"/>
        <w:ind w:left="1080" w:right="0" w:firstLine="0"/>
        <w:jc w:val="left"/>
        <w:rPr>
          <w:sz w:val="20"/>
        </w:rPr>
      </w:pPr>
      <w:r>
        <w:rPr>
          <w:sz w:val="20"/>
        </w:rPr>
        <w:t>Minimum</w:t>
      </w:r>
      <w:r>
        <w:rPr>
          <w:spacing w:val="-9"/>
          <w:sz w:val="20"/>
        </w:rPr>
        <w:t> </w:t>
      </w:r>
      <w:r>
        <w:rPr>
          <w:sz w:val="20"/>
        </w:rPr>
        <w:t>3</w:t>
      </w:r>
      <w:r>
        <w:rPr>
          <w:spacing w:val="-2"/>
          <w:sz w:val="20"/>
        </w:rPr>
        <w:t> </w:t>
      </w:r>
      <w:r>
        <w:rPr>
          <w:spacing w:val="-4"/>
          <w:sz w:val="20"/>
        </w:rPr>
        <w:t>years</w:t>
      </w:r>
    </w:p>
    <w:p>
      <w:pPr>
        <w:pStyle w:val="BodyText"/>
      </w:pPr>
    </w:p>
    <w:p>
      <w:pPr>
        <w:pStyle w:val="BodyText"/>
        <w:ind w:left="1080"/>
      </w:pPr>
      <w:r>
        <w:rPr>
          <w:u w:val="single"/>
        </w:rPr>
        <w:t>Language(s)</w:t>
      </w:r>
      <w:r>
        <w:rPr>
          <w:spacing w:val="-3"/>
          <w:u w:val="single"/>
        </w:rPr>
        <w:t> </w:t>
      </w:r>
      <w:r>
        <w:rPr>
          <w:u w:val="single"/>
        </w:rPr>
        <w:t>necessary</w:t>
      </w:r>
      <w:r>
        <w:rPr>
          <w:spacing w:val="-6"/>
          <w:u w:val="single"/>
        </w:rPr>
        <w:t> </w:t>
      </w:r>
      <w:r>
        <w:rPr>
          <w:u w:val="single"/>
        </w:rPr>
        <w:t>for</w:t>
      </w:r>
      <w:r>
        <w:rPr>
          <w:spacing w:val="-4"/>
          <w:u w:val="single"/>
        </w:rPr>
        <w:t> </w:t>
      </w:r>
      <w:r>
        <w:rPr>
          <w:u w:val="single"/>
        </w:rPr>
        <w:t>the</w:t>
      </w:r>
      <w:r>
        <w:rPr>
          <w:spacing w:val="-3"/>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spacing w:val="-2"/>
        </w:rPr>
        <w:t>English</w:t>
      </w:r>
    </w:p>
    <w:p>
      <w:pPr>
        <w:spacing w:after="0"/>
        <w:sectPr>
          <w:pgSz w:w="11910" w:h="16840"/>
          <w:pgMar w:header="0" w:footer="690" w:top="1600" w:bottom="880" w:left="480" w:right="740"/>
        </w:sectPr>
      </w:pPr>
    </w:p>
    <w:p>
      <w:pPr>
        <w:pStyle w:val="ListParagraph"/>
        <w:numPr>
          <w:ilvl w:val="0"/>
          <w:numId w:val="2"/>
        </w:numPr>
        <w:tabs>
          <w:tab w:pos="799" w:val="left" w:leader="none"/>
          <w:tab w:pos="800" w:val="left" w:leader="none"/>
        </w:tabs>
        <w:spacing w:line="240" w:lineRule="auto" w:before="73"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2"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8"/>
        <w:rPr>
          <w:b/>
          <w:sz w:val="20"/>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pStyle w:val="BodyText"/>
        <w:spacing w:before="91"/>
        <w:ind w:left="799" w:right="278"/>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hyperlink>
      <w:r>
        <w:rPr/>
        <w:t>.</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79"/>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4"/>
        </w:rPr>
        <w:t> </w:t>
      </w:r>
      <w:r>
        <w:rPr/>
        <w:t>inexact,</w:t>
      </w:r>
      <w:r>
        <w:rPr>
          <w:spacing w:val="-4"/>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16"/>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spacing w:before="2"/>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4"/>
        </w:numPr>
        <w:tabs>
          <w:tab w:pos="1081" w:val="left" w:leader="none"/>
        </w:tabs>
        <w:spacing w:line="240" w:lineRule="auto"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spacing w:before="33"/>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spacing w:after="0"/>
        <w:jc w:val="both"/>
        <w:sectPr>
          <w:pgSz w:w="11910" w:h="16840"/>
          <w:pgMar w:header="0" w:footer="690" w:top="1040" w:bottom="880" w:left="480" w:right="740"/>
        </w:sectPr>
      </w:pPr>
    </w:p>
    <w:p>
      <w:pPr>
        <w:pStyle w:val="Heading1"/>
        <w:numPr>
          <w:ilvl w:val="0"/>
          <w:numId w:val="4"/>
        </w:numPr>
        <w:tabs>
          <w:tab w:pos="1081" w:val="left" w:leader="none"/>
        </w:tabs>
        <w:spacing w:line="240" w:lineRule="auto" w:before="74" w:after="0"/>
        <w:ind w:left="1080" w:right="0" w:hanging="284"/>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before="32"/>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8"/>
      </w:pPr>
    </w:p>
    <w:p>
      <w:pPr>
        <w:pStyle w:val="Heading1"/>
        <w:numPr>
          <w:ilvl w:val="0"/>
          <w:numId w:val="4"/>
        </w:numPr>
        <w:tabs>
          <w:tab w:pos="1081" w:val="left" w:leader="none"/>
        </w:tabs>
        <w:spacing w:line="240" w:lineRule="auto" w:before="0" w:after="0"/>
        <w:ind w:left="1080" w:right="0" w:hanging="284"/>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spacing w:before="31"/>
        <w:ind w:left="1080" w:right="283"/>
        <w:jc w:val="both"/>
      </w:pPr>
      <w:r>
        <w:rPr/>
        <w:pict>
          <v:rect style="position:absolute;margin-left:230.330002pt;margin-top:25.739504pt;width:3.72pt;height:.48pt;mso-position-horizontal-relative:page;mso-position-vertical-relative:paragraph;z-index:-15818240"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1"/>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1875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ven.gentne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2023-02-16T16:45:17Z</dcterms:created>
  <dcterms:modified xsi:type="dcterms:W3CDTF">2023-02-16T16:45:17Z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