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A4" w:rsidRDefault="00CE3862">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AF36A4" w:rsidRDefault="00CE3862">
      <w:pPr>
        <w:spacing w:before="81"/>
        <w:ind w:left="1296" w:right="1627"/>
        <w:jc w:val="center"/>
        <w:rPr>
          <w:b/>
          <w:sz w:val="24"/>
        </w:rPr>
      </w:pPr>
      <w:r>
        <w:rPr>
          <w:b/>
          <w:spacing w:val="-2"/>
          <w:sz w:val="24"/>
        </w:rPr>
        <w:t>VACANCY</w:t>
      </w:r>
      <w:r>
        <w:rPr>
          <w:b/>
          <w:spacing w:val="-3"/>
          <w:sz w:val="24"/>
        </w:rPr>
        <w:t xml:space="preserve"> </w:t>
      </w:r>
      <w:r>
        <w:rPr>
          <w:b/>
          <w:spacing w:val="-2"/>
          <w:sz w:val="24"/>
        </w:rPr>
        <w:t>NOTICE</w:t>
      </w:r>
    </w:p>
    <w:p w:rsidR="00AF36A4" w:rsidRDefault="00AF36A4">
      <w:pPr>
        <w:pStyle w:val="BodyText"/>
        <w:spacing w:before="11"/>
        <w:rPr>
          <w:b/>
          <w:sz w:val="23"/>
        </w:rPr>
      </w:pPr>
    </w:p>
    <w:p w:rsidR="00AF36A4" w:rsidRDefault="00CE3862">
      <w:pPr>
        <w:ind w:left="1296" w:right="1632"/>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rsidR="00AF36A4" w:rsidRDefault="00AF36A4">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AF36A4">
        <w:trPr>
          <w:trHeight w:val="830"/>
        </w:trPr>
        <w:tc>
          <w:tcPr>
            <w:tcW w:w="4359" w:type="dxa"/>
          </w:tcPr>
          <w:p w:rsidR="00AF36A4" w:rsidRPr="00CE3862" w:rsidRDefault="00CE3862">
            <w:pPr>
              <w:pStyle w:val="TableParagraph"/>
              <w:spacing w:before="1" w:line="274" w:lineRule="exact"/>
              <w:rPr>
                <w:b/>
                <w:sz w:val="24"/>
                <w:lang w:val="fr-BE"/>
              </w:rPr>
            </w:pPr>
            <w:r w:rsidRPr="00CE3862">
              <w:rPr>
                <w:b/>
                <w:sz w:val="24"/>
                <w:lang w:val="fr-BE"/>
              </w:rPr>
              <w:t>Post</w:t>
            </w:r>
            <w:r w:rsidRPr="00CE3862">
              <w:rPr>
                <w:b/>
                <w:spacing w:val="-6"/>
                <w:sz w:val="24"/>
                <w:lang w:val="fr-BE"/>
              </w:rPr>
              <w:t xml:space="preserve"> </w:t>
            </w:r>
            <w:r w:rsidRPr="00CE3862">
              <w:rPr>
                <w:b/>
                <w:spacing w:val="-2"/>
                <w:sz w:val="24"/>
                <w:lang w:val="fr-BE"/>
              </w:rPr>
              <w:t>identification:</w:t>
            </w:r>
          </w:p>
          <w:p w:rsidR="00AF36A4" w:rsidRPr="00CE3862" w:rsidRDefault="00CE3862">
            <w:pPr>
              <w:pStyle w:val="TableParagraph"/>
              <w:spacing w:line="274" w:lineRule="exact"/>
              <w:rPr>
                <w:sz w:val="24"/>
                <w:lang w:val="fr-BE"/>
              </w:rPr>
            </w:pPr>
            <w:r w:rsidRPr="00CE3862">
              <w:rPr>
                <w:spacing w:val="-2"/>
                <w:sz w:val="24"/>
                <w:lang w:val="fr-BE"/>
              </w:rPr>
              <w:t>(DG-DIR-</w:t>
            </w:r>
            <w:r w:rsidRPr="00CE3862">
              <w:rPr>
                <w:spacing w:val="-4"/>
                <w:sz w:val="24"/>
                <w:lang w:val="fr-BE"/>
              </w:rPr>
              <w:t>UNIT)</w:t>
            </w:r>
          </w:p>
        </w:tc>
        <w:tc>
          <w:tcPr>
            <w:tcW w:w="5597" w:type="dxa"/>
          </w:tcPr>
          <w:p w:rsidR="00AF36A4" w:rsidRDefault="00CE3862">
            <w:pPr>
              <w:pStyle w:val="TableParagraph"/>
              <w:spacing w:line="276" w:lineRule="exact"/>
              <w:rPr>
                <w:sz w:val="24"/>
              </w:rPr>
            </w:pPr>
            <w:r>
              <w:rPr>
                <w:sz w:val="24"/>
              </w:rPr>
              <w:t>European Commission, Service for Foreign Policy Instruments,</w:t>
            </w:r>
            <w:r>
              <w:rPr>
                <w:spacing w:val="-7"/>
                <w:sz w:val="24"/>
              </w:rPr>
              <w:t xml:space="preserve"> </w:t>
            </w:r>
            <w:r>
              <w:rPr>
                <w:sz w:val="24"/>
              </w:rPr>
              <w:t>Unit</w:t>
            </w:r>
            <w:r>
              <w:rPr>
                <w:spacing w:val="-7"/>
                <w:sz w:val="24"/>
              </w:rPr>
              <w:t xml:space="preserve"> </w:t>
            </w:r>
            <w:r>
              <w:rPr>
                <w:sz w:val="24"/>
              </w:rPr>
              <w:t>FPI.5,</w:t>
            </w:r>
            <w:r>
              <w:rPr>
                <w:spacing w:val="-5"/>
                <w:sz w:val="24"/>
              </w:rPr>
              <w:t xml:space="preserve"> </w:t>
            </w:r>
            <w:r>
              <w:rPr>
                <w:sz w:val="24"/>
              </w:rPr>
              <w:t>Foreign</w:t>
            </w:r>
            <w:r>
              <w:rPr>
                <w:spacing w:val="-8"/>
                <w:sz w:val="24"/>
              </w:rPr>
              <w:t xml:space="preserve"> </w:t>
            </w:r>
            <w:r>
              <w:rPr>
                <w:sz w:val="24"/>
              </w:rPr>
              <w:t>Policy</w:t>
            </w:r>
            <w:r>
              <w:rPr>
                <w:spacing w:val="-12"/>
                <w:sz w:val="24"/>
              </w:rPr>
              <w:t xml:space="preserve"> </w:t>
            </w:r>
            <w:r>
              <w:rPr>
                <w:sz w:val="24"/>
              </w:rPr>
              <w:t>Regulatory Instruments and Co-ordination</w:t>
            </w:r>
          </w:p>
        </w:tc>
      </w:tr>
      <w:tr w:rsidR="00AF36A4">
        <w:trPr>
          <w:trHeight w:val="1975"/>
        </w:trPr>
        <w:tc>
          <w:tcPr>
            <w:tcW w:w="4359" w:type="dxa"/>
            <w:vMerge w:val="restart"/>
          </w:tcPr>
          <w:p w:rsidR="00AF36A4" w:rsidRDefault="00CE3862">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AF36A4" w:rsidRDefault="00CE3862">
            <w:pPr>
              <w:pStyle w:val="TableParagraph"/>
              <w:ind w:right="2826"/>
              <w:rPr>
                <w:b/>
              </w:rPr>
            </w:pPr>
            <w:r>
              <w:rPr>
                <w:b/>
              </w:rPr>
              <w:t>Email</w:t>
            </w:r>
            <w:r>
              <w:rPr>
                <w:b/>
                <w:spacing w:val="-14"/>
              </w:rPr>
              <w:t xml:space="preserve"> </w:t>
            </w:r>
            <w:r>
              <w:rPr>
                <w:b/>
              </w:rPr>
              <w:t xml:space="preserve">address: </w:t>
            </w:r>
            <w:r>
              <w:rPr>
                <w:b/>
                <w:spacing w:val="-2"/>
              </w:rPr>
              <w:t>Telephone:</w:t>
            </w:r>
          </w:p>
          <w:p w:rsidR="00AF36A4" w:rsidRDefault="00CE3862">
            <w:pPr>
              <w:pStyle w:val="TableParagraph"/>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AF36A4" w:rsidRDefault="00CE3862">
            <w:pPr>
              <w:pStyle w:val="TableParagraph"/>
              <w:ind w:right="1776"/>
              <w:rPr>
                <w:sz w:val="24"/>
              </w:rPr>
            </w:pPr>
            <w:r>
              <w:rPr>
                <w:sz w:val="24"/>
              </w:rPr>
              <w:t xml:space="preserve">Marika </w:t>
            </w:r>
            <w:proofErr w:type="spellStart"/>
            <w:r>
              <w:rPr>
                <w:sz w:val="24"/>
              </w:rPr>
              <w:t>Lautso-Mousnier</w:t>
            </w:r>
            <w:proofErr w:type="spellEnd"/>
            <w:r>
              <w:rPr>
                <w:sz w:val="24"/>
              </w:rPr>
              <w:t xml:space="preserve"> </w:t>
            </w:r>
            <w:hyperlink r:id="rId8">
              <w:r>
                <w:rPr>
                  <w:spacing w:val="-2"/>
                  <w:sz w:val="24"/>
                </w:rPr>
                <w:t>marika.lautso-mousnier@ec.europa.eu</w:t>
              </w:r>
            </w:hyperlink>
          </w:p>
          <w:p w:rsidR="00AF36A4" w:rsidRDefault="00CE3862">
            <w:pPr>
              <w:pStyle w:val="TableParagraph"/>
              <w:rPr>
                <w:sz w:val="24"/>
              </w:rPr>
            </w:pPr>
            <w:r>
              <w:rPr>
                <w:spacing w:val="-2"/>
                <w:sz w:val="24"/>
              </w:rPr>
              <w:t>+3222988298</w:t>
            </w:r>
          </w:p>
          <w:p w:rsidR="00AF36A4" w:rsidRDefault="00CE3862">
            <w:pPr>
              <w:pStyle w:val="TableParagraph"/>
              <w:rPr>
                <w:sz w:val="24"/>
              </w:rPr>
            </w:pPr>
            <w:r>
              <w:rPr>
                <w:sz w:val="24"/>
              </w:rPr>
              <w:t>1</w:t>
            </w:r>
          </w:p>
          <w:p w:rsidR="00AF36A4" w:rsidRDefault="00CE3862">
            <w:pPr>
              <w:pStyle w:val="TableParagraph"/>
              <w:spacing w:line="252" w:lineRule="exact"/>
              <w:rPr>
                <w:b/>
              </w:rPr>
            </w:pPr>
            <w:r>
              <w:rPr>
                <w:b/>
              </w:rPr>
              <w:t>3rd…</w:t>
            </w:r>
            <w:r>
              <w:rPr>
                <w:b/>
                <w:spacing w:val="-2"/>
              </w:rPr>
              <w:t xml:space="preserve"> </w:t>
            </w:r>
            <w:r>
              <w:rPr>
                <w:b/>
              </w:rPr>
              <w:t>quarter</w:t>
            </w:r>
            <w:r>
              <w:rPr>
                <w:b/>
                <w:spacing w:val="-3"/>
              </w:rPr>
              <w:t xml:space="preserve"> </w:t>
            </w:r>
            <w:r>
              <w:rPr>
                <w:b/>
              </w:rPr>
              <w:t>2023</w:t>
            </w:r>
            <w:r>
              <w:rPr>
                <w:b/>
                <w:spacing w:val="-3"/>
              </w:rPr>
              <w:t xml:space="preserve"> </w:t>
            </w:r>
            <w:r>
              <w:rPr>
                <w:b/>
                <w:spacing w:val="-10"/>
                <w:vertAlign w:val="superscript"/>
              </w:rPr>
              <w:t>1</w:t>
            </w:r>
          </w:p>
          <w:p w:rsidR="00AF36A4" w:rsidRDefault="00CE3862">
            <w:pPr>
              <w:pStyle w:val="TableParagraph"/>
              <w:spacing w:line="251" w:lineRule="exact"/>
              <w:rPr>
                <w:b/>
              </w:rPr>
            </w:pPr>
            <w:r>
              <w:rPr>
                <w:b/>
              </w:rPr>
              <w:t xml:space="preserve">2 </w:t>
            </w:r>
            <w:r>
              <w:rPr>
                <w:b/>
                <w:spacing w:val="-2"/>
              </w:rPr>
              <w:t>year(s</w:t>
            </w:r>
            <w:r>
              <w:rPr>
                <w:b/>
                <w:spacing w:val="-2"/>
                <w:vertAlign w:val="superscript"/>
              </w:rPr>
              <w:t>)1</w:t>
            </w:r>
          </w:p>
          <w:p w:rsidR="00AF36A4" w:rsidRDefault="00CE3862">
            <w:pPr>
              <w:pStyle w:val="TableParagraph"/>
              <w:spacing w:line="251" w:lineRule="exact"/>
              <w:rPr>
                <w:b/>
              </w:rPr>
            </w:pPr>
            <w:r>
              <w:t>X</w:t>
            </w:r>
            <w:r>
              <w:rPr>
                <w:spacing w:val="-6"/>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AF36A4">
        <w:trPr>
          <w:trHeight w:val="546"/>
        </w:trPr>
        <w:tc>
          <w:tcPr>
            <w:tcW w:w="4359" w:type="dxa"/>
            <w:vMerge/>
            <w:tcBorders>
              <w:top w:val="nil"/>
            </w:tcBorders>
          </w:tcPr>
          <w:p w:rsidR="00AF36A4" w:rsidRDefault="00AF36A4">
            <w:pPr>
              <w:rPr>
                <w:sz w:val="2"/>
                <w:szCs w:val="2"/>
              </w:rPr>
            </w:pPr>
          </w:p>
        </w:tc>
        <w:tc>
          <w:tcPr>
            <w:tcW w:w="5597" w:type="dxa"/>
          </w:tcPr>
          <w:p w:rsidR="00AF36A4" w:rsidRDefault="00CE3862">
            <w:pPr>
              <w:pStyle w:val="TableParagraph"/>
              <w:numPr>
                <w:ilvl w:val="0"/>
                <w:numId w:val="5"/>
              </w:numPr>
              <w:tabs>
                <w:tab w:val="left" w:pos="523"/>
                <w:tab w:val="left" w:pos="524"/>
                <w:tab w:val="left" w:pos="2950"/>
                <w:tab w:val="left" w:pos="3384"/>
              </w:tabs>
              <w:spacing w:before="147"/>
              <w:ind w:hanging="419"/>
              <w:rPr>
                <w:b/>
              </w:rPr>
            </w:pPr>
            <w:r>
              <w:rPr>
                <w:b/>
              </w:rPr>
              <w:t>With</w:t>
            </w:r>
            <w:r>
              <w:rPr>
                <w:b/>
                <w:spacing w:val="-2"/>
              </w:rPr>
              <w:t xml:space="preserve"> allowances</w:t>
            </w:r>
            <w:r>
              <w:rPr>
                <w:b/>
              </w:rPr>
              <w:tab/>
            </w:r>
            <w:r>
              <w:rPr>
                <w:b/>
                <w:spacing w:val="-10"/>
              </w:rPr>
              <w:t>X</w:t>
            </w:r>
            <w:r>
              <w:rPr>
                <w:b/>
              </w:rPr>
              <w:tab/>
            </w:r>
            <w:r>
              <w:rPr>
                <w:b/>
                <w:spacing w:val="-2"/>
              </w:rPr>
              <w:t>Cost-</w:t>
            </w:r>
            <w:r>
              <w:rPr>
                <w:b/>
                <w:spacing w:val="-4"/>
              </w:rPr>
              <w:t>free</w:t>
            </w:r>
          </w:p>
        </w:tc>
      </w:tr>
      <w:tr w:rsidR="00AF36A4">
        <w:trPr>
          <w:trHeight w:val="2112"/>
        </w:trPr>
        <w:tc>
          <w:tcPr>
            <w:tcW w:w="9956" w:type="dxa"/>
            <w:gridSpan w:val="2"/>
          </w:tcPr>
          <w:p w:rsidR="00AF36A4" w:rsidRDefault="00CE3862">
            <w:pPr>
              <w:pStyle w:val="TableParagraph"/>
              <w:spacing w:before="111"/>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AF36A4" w:rsidRDefault="00AF36A4">
            <w:pPr>
              <w:pStyle w:val="TableParagraph"/>
              <w:spacing w:before="1"/>
              <w:ind w:left="0"/>
              <w:rPr>
                <w:b/>
              </w:rPr>
            </w:pPr>
          </w:p>
          <w:p w:rsidR="00AF36A4" w:rsidRDefault="00CE3862">
            <w:pPr>
              <w:pStyle w:val="TableParagraph"/>
              <w:tabs>
                <w:tab w:val="left" w:pos="518"/>
              </w:tabs>
              <w:rPr>
                <w:b/>
                <w:sz w:val="24"/>
              </w:rPr>
            </w:pPr>
            <w:r>
              <w:rPr>
                <w:b/>
                <w:spacing w:val="-10"/>
                <w:sz w:val="24"/>
              </w:rPr>
              <w:t>X</w:t>
            </w:r>
            <w:r>
              <w:rPr>
                <w:b/>
                <w:sz w:val="24"/>
              </w:rPr>
              <w:tab/>
              <w:t>the</w:t>
            </w:r>
            <w:r>
              <w:rPr>
                <w:b/>
                <w:spacing w:val="-7"/>
                <w:sz w:val="24"/>
              </w:rPr>
              <w:t xml:space="preserve"> </w:t>
            </w:r>
            <w:r>
              <w:rPr>
                <w:b/>
                <w:sz w:val="24"/>
              </w:rPr>
              <w:t>following</w:t>
            </w:r>
            <w:r>
              <w:rPr>
                <w:b/>
                <w:spacing w:val="-7"/>
                <w:sz w:val="24"/>
              </w:rPr>
              <w:t xml:space="preserve"> </w:t>
            </w:r>
            <w:r>
              <w:rPr>
                <w:b/>
                <w:sz w:val="24"/>
              </w:rPr>
              <w:t>EFTA</w:t>
            </w:r>
            <w:r>
              <w:rPr>
                <w:b/>
                <w:spacing w:val="-6"/>
                <w:sz w:val="24"/>
              </w:rPr>
              <w:t xml:space="preserve"> </w:t>
            </w:r>
            <w:r>
              <w:rPr>
                <w:b/>
                <w:sz w:val="24"/>
              </w:rPr>
              <w:t>countries</w:t>
            </w:r>
            <w:r>
              <w:rPr>
                <w:b/>
                <w:spacing w:val="-6"/>
                <w:sz w:val="24"/>
              </w:rPr>
              <w:t xml:space="preserve"> </w:t>
            </w:r>
            <w:r>
              <w:rPr>
                <w:b/>
                <w:spacing w:val="-10"/>
                <w:sz w:val="24"/>
              </w:rPr>
              <w:t>:</w:t>
            </w:r>
          </w:p>
          <w:p w:rsidR="00AF36A4" w:rsidRPr="00CE3862" w:rsidRDefault="00CE3862">
            <w:pPr>
              <w:pStyle w:val="TableParagraph"/>
              <w:ind w:left="813"/>
              <w:rPr>
                <w:b/>
                <w:sz w:val="24"/>
                <w:lang w:val="de-DE"/>
              </w:rPr>
            </w:pPr>
            <w:r w:rsidRPr="00CE3862">
              <w:rPr>
                <w:b/>
                <w:sz w:val="24"/>
                <w:lang w:val="de-DE"/>
              </w:rPr>
              <w:t>X</w:t>
            </w:r>
            <w:r w:rsidRPr="00CE3862">
              <w:rPr>
                <w:b/>
                <w:spacing w:val="-5"/>
                <w:sz w:val="24"/>
                <w:lang w:val="de-DE"/>
              </w:rPr>
              <w:t xml:space="preserve"> </w:t>
            </w:r>
            <w:proofErr w:type="spellStart"/>
            <w:r w:rsidRPr="00CE3862">
              <w:rPr>
                <w:b/>
                <w:sz w:val="24"/>
                <w:lang w:val="de-DE"/>
              </w:rPr>
              <w:t>Iceland</w:t>
            </w:r>
            <w:proofErr w:type="spellEnd"/>
            <w:r w:rsidRPr="00CE3862">
              <w:rPr>
                <w:b/>
                <w:spacing w:val="54"/>
                <w:sz w:val="24"/>
                <w:lang w:val="de-DE"/>
              </w:rPr>
              <w:t xml:space="preserve"> </w:t>
            </w:r>
            <w:r w:rsidRPr="00CE3862">
              <w:rPr>
                <w:b/>
                <w:sz w:val="24"/>
                <w:lang w:val="de-DE"/>
              </w:rPr>
              <w:t>X</w:t>
            </w:r>
            <w:r w:rsidRPr="00CE3862">
              <w:rPr>
                <w:b/>
                <w:spacing w:val="-4"/>
                <w:sz w:val="24"/>
                <w:lang w:val="de-DE"/>
              </w:rPr>
              <w:t xml:space="preserve"> </w:t>
            </w:r>
            <w:r w:rsidRPr="00CE3862">
              <w:rPr>
                <w:b/>
                <w:sz w:val="24"/>
                <w:lang w:val="de-DE"/>
              </w:rPr>
              <w:t>Liechtenstein</w:t>
            </w:r>
            <w:r w:rsidRPr="00CE3862">
              <w:rPr>
                <w:b/>
                <w:spacing w:val="56"/>
                <w:sz w:val="24"/>
                <w:lang w:val="de-DE"/>
              </w:rPr>
              <w:t xml:space="preserve"> </w:t>
            </w:r>
            <w:r w:rsidRPr="00CE3862">
              <w:rPr>
                <w:b/>
                <w:sz w:val="24"/>
                <w:lang w:val="de-DE"/>
              </w:rPr>
              <w:t>X</w:t>
            </w:r>
            <w:r w:rsidRPr="00CE3862">
              <w:rPr>
                <w:b/>
                <w:spacing w:val="-4"/>
                <w:sz w:val="24"/>
                <w:lang w:val="de-DE"/>
              </w:rPr>
              <w:t xml:space="preserve"> </w:t>
            </w:r>
            <w:proofErr w:type="spellStart"/>
            <w:r w:rsidRPr="00CE3862">
              <w:rPr>
                <w:b/>
                <w:sz w:val="24"/>
                <w:lang w:val="de-DE"/>
              </w:rPr>
              <w:t>Norway</w:t>
            </w:r>
            <w:proofErr w:type="spellEnd"/>
            <w:r w:rsidRPr="00CE3862">
              <w:rPr>
                <w:b/>
                <w:spacing w:val="53"/>
                <w:sz w:val="24"/>
                <w:lang w:val="de-DE"/>
              </w:rPr>
              <w:t xml:space="preserve"> </w:t>
            </w:r>
            <w:r>
              <w:rPr>
                <w:rFonts w:ascii="Wingdings 2" w:hAnsi="Wingdings 2"/>
                <w:b/>
                <w:sz w:val="24"/>
              </w:rPr>
              <w:t></w:t>
            </w:r>
            <w:r w:rsidRPr="00CE3862">
              <w:rPr>
                <w:spacing w:val="-1"/>
                <w:sz w:val="24"/>
                <w:lang w:val="de-DE"/>
              </w:rPr>
              <w:t xml:space="preserve"> </w:t>
            </w:r>
            <w:proofErr w:type="spellStart"/>
            <w:r w:rsidRPr="00CE3862">
              <w:rPr>
                <w:b/>
                <w:spacing w:val="-2"/>
                <w:sz w:val="24"/>
                <w:lang w:val="de-DE"/>
              </w:rPr>
              <w:t>Switzerland</w:t>
            </w:r>
            <w:proofErr w:type="spellEnd"/>
          </w:p>
          <w:p w:rsidR="00AF36A4" w:rsidRDefault="00CE3862">
            <w:pPr>
              <w:pStyle w:val="TableParagraph"/>
              <w:numPr>
                <w:ilvl w:val="0"/>
                <w:numId w:val="1"/>
              </w:numPr>
              <w:tabs>
                <w:tab w:val="left" w:pos="1090"/>
              </w:tabs>
              <w:ind w:hanging="277"/>
              <w:rPr>
                <w:b/>
                <w:sz w:val="24"/>
              </w:rPr>
            </w:pPr>
            <w:r>
              <w:rPr>
                <w:b/>
                <w:sz w:val="24"/>
              </w:rPr>
              <w:t>EFTA-EEA</w:t>
            </w:r>
            <w:r>
              <w:rPr>
                <w:b/>
                <w:spacing w:val="-10"/>
                <w:sz w:val="24"/>
              </w:rPr>
              <w:t xml:space="preserve"> </w:t>
            </w:r>
            <w:r>
              <w:rPr>
                <w:b/>
                <w:sz w:val="24"/>
              </w:rPr>
              <w:t>In-Kind</w:t>
            </w:r>
            <w:r>
              <w:rPr>
                <w:b/>
                <w:spacing w:val="-11"/>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AF36A4" w:rsidRDefault="00CE3862">
            <w:pPr>
              <w:pStyle w:val="TableParagraph"/>
              <w:numPr>
                <w:ilvl w:val="0"/>
                <w:numId w:val="4"/>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AF36A4" w:rsidRDefault="00CE3862">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AF36A4" w:rsidRDefault="00AF36A4">
      <w:pPr>
        <w:pStyle w:val="BodyText"/>
        <w:spacing w:before="11"/>
        <w:rPr>
          <w:b/>
          <w:sz w:val="23"/>
        </w:rPr>
      </w:pPr>
    </w:p>
    <w:p w:rsidR="00AF36A4" w:rsidRDefault="00CE3862">
      <w:pPr>
        <w:pStyle w:val="ListParagraph"/>
        <w:numPr>
          <w:ilvl w:val="0"/>
          <w:numId w:val="6"/>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AF36A4" w:rsidRDefault="00AF36A4">
      <w:pPr>
        <w:pStyle w:val="BodyText"/>
        <w:rPr>
          <w:b/>
          <w:sz w:val="20"/>
        </w:rPr>
      </w:pPr>
    </w:p>
    <w:p w:rsidR="00AF36A4" w:rsidRDefault="00AF36A4">
      <w:pPr>
        <w:pStyle w:val="BodyText"/>
        <w:spacing w:before="6"/>
        <w:rPr>
          <w:b/>
          <w:sz w:val="17"/>
        </w:rPr>
      </w:pPr>
    </w:p>
    <w:p w:rsidR="00AF36A4" w:rsidRDefault="00CE3862">
      <w:pPr>
        <w:pStyle w:val="BodyText"/>
        <w:spacing w:before="91"/>
        <w:ind w:left="372" w:right="105"/>
      </w:pPr>
      <w:r>
        <w:t xml:space="preserve">The selected candidate would be part of a unique </w:t>
      </w:r>
      <w:proofErr w:type="spellStart"/>
      <w:r>
        <w:t>interinstitutional</w:t>
      </w:r>
      <w:proofErr w:type="spellEnd"/>
      <w:r>
        <w:t xml:space="preserve"> team managing</w:t>
      </w:r>
      <w:r>
        <w:rPr>
          <w:spacing w:val="40"/>
        </w:rPr>
        <w:t xml:space="preserve"> </w:t>
      </w:r>
      <w:r>
        <w:t xml:space="preserve">the European Visitors </w:t>
      </w:r>
      <w:proofErr w:type="spellStart"/>
      <w:r>
        <w:t>Programme</w:t>
      </w:r>
      <w:proofErr w:type="spellEnd"/>
      <w:r>
        <w:t xml:space="preserve"> (EUVP),</w:t>
      </w:r>
      <w:r>
        <w:t xml:space="preserve"> which is a people-to-people diplomacy instrument focusing on creating personal, long-term, mutually</w:t>
      </w:r>
      <w:r>
        <w:rPr>
          <w:spacing w:val="-3"/>
        </w:rPr>
        <w:t xml:space="preserve"> </w:t>
      </w:r>
      <w:r>
        <w:t>beneficial bonds between</w:t>
      </w:r>
      <w:r>
        <w:rPr>
          <w:spacing w:val="-3"/>
        </w:rPr>
        <w:t xml:space="preserve"> </w:t>
      </w:r>
      <w:r>
        <w:t>political</w:t>
      </w:r>
      <w:r>
        <w:rPr>
          <w:spacing w:val="-2"/>
        </w:rPr>
        <w:t xml:space="preserve"> </w:t>
      </w:r>
      <w:r>
        <w:t>leaders, experts and opinion</w:t>
      </w:r>
      <w:r>
        <w:rPr>
          <w:spacing w:val="-3"/>
        </w:rPr>
        <w:t xml:space="preserve"> </w:t>
      </w:r>
      <w:r>
        <w:t>formers from</w:t>
      </w:r>
      <w:r>
        <w:rPr>
          <w:spacing w:val="-4"/>
        </w:rPr>
        <w:t xml:space="preserve"> </w:t>
      </w:r>
      <w:r>
        <w:t>all over</w:t>
      </w:r>
      <w:r>
        <w:rPr>
          <w:spacing w:val="-2"/>
        </w:rPr>
        <w:t xml:space="preserve"> </w:t>
      </w:r>
      <w:r>
        <w:t>the world,</w:t>
      </w:r>
      <w:r>
        <w:rPr>
          <w:spacing w:val="-3"/>
        </w:rPr>
        <w:t xml:space="preserve"> </w:t>
      </w:r>
      <w:r>
        <w:t>and</w:t>
      </w:r>
      <w:r>
        <w:rPr>
          <w:spacing w:val="-2"/>
        </w:rPr>
        <w:t xml:space="preserve"> </w:t>
      </w:r>
      <w:r>
        <w:t xml:space="preserve">their European counterparts. The </w:t>
      </w:r>
      <w:proofErr w:type="spellStart"/>
      <w:proofErr w:type="gramStart"/>
      <w:r>
        <w:t>programme</w:t>
      </w:r>
      <w:proofErr w:type="spellEnd"/>
      <w:r>
        <w:t xml:space="preserve"> is jointly financed by the European Parliament and the European Commission</w:t>
      </w:r>
      <w:proofErr w:type="gramEnd"/>
      <w:r>
        <w:t xml:space="preserve"> and the day to day management is ensured by a Head of Unit from the European Parliament. The EUVP provides tailor-made study visits to mee</w:t>
      </w:r>
      <w:r>
        <w:t>t Members of the European Parliament, officials from the EU Institutions, and other EU stakeholders. The visits comprise both individual and joint meetings and activities with fellow</w:t>
      </w:r>
      <w:r>
        <w:rPr>
          <w:spacing w:val="-3"/>
        </w:rPr>
        <w:t xml:space="preserve"> </w:t>
      </w:r>
      <w:r>
        <w:t>EUVP</w:t>
      </w:r>
      <w:r>
        <w:rPr>
          <w:spacing w:val="-4"/>
        </w:rPr>
        <w:t xml:space="preserve"> </w:t>
      </w:r>
      <w:r>
        <w:t>participants.</w:t>
      </w:r>
      <w:r>
        <w:rPr>
          <w:spacing w:val="-4"/>
        </w:rPr>
        <w:t xml:space="preserve"> </w:t>
      </w:r>
      <w:r>
        <w:t>Joint</w:t>
      </w:r>
      <w:r>
        <w:rPr>
          <w:spacing w:val="-1"/>
        </w:rPr>
        <w:t xml:space="preserve"> </w:t>
      </w:r>
      <w:r>
        <w:t>meetings</w:t>
      </w:r>
      <w:r>
        <w:rPr>
          <w:spacing w:val="-2"/>
        </w:rPr>
        <w:t xml:space="preserve"> </w:t>
      </w:r>
      <w:r>
        <w:t>and</w:t>
      </w:r>
      <w:r>
        <w:rPr>
          <w:spacing w:val="-2"/>
        </w:rPr>
        <w:t xml:space="preserve"> </w:t>
      </w:r>
      <w:r>
        <w:t>activities</w:t>
      </w:r>
      <w:r>
        <w:rPr>
          <w:spacing w:val="-2"/>
        </w:rPr>
        <w:t xml:space="preserve"> </w:t>
      </w:r>
      <w:r>
        <w:t>are</w:t>
      </w:r>
      <w:r>
        <w:rPr>
          <w:spacing w:val="-4"/>
        </w:rPr>
        <w:t xml:space="preserve"> </w:t>
      </w:r>
      <w:r>
        <w:t>organised</w:t>
      </w:r>
      <w:r>
        <w:rPr>
          <w:spacing w:val="-2"/>
        </w:rPr>
        <w:t xml:space="preserve"> </w:t>
      </w:r>
      <w:proofErr w:type="gramStart"/>
      <w:r>
        <w:t>on</w:t>
      </w:r>
      <w:r>
        <w:rPr>
          <w:spacing w:val="-2"/>
        </w:rPr>
        <w:t xml:space="preserve"> </w:t>
      </w:r>
      <w:r>
        <w:t>the</w:t>
      </w:r>
      <w:r>
        <w:rPr>
          <w:spacing w:val="-2"/>
        </w:rPr>
        <w:t xml:space="preserve"> </w:t>
      </w:r>
      <w:r>
        <w:t>bas</w:t>
      </w:r>
      <w:r>
        <w:t>is</w:t>
      </w:r>
      <w:r>
        <w:rPr>
          <w:spacing w:val="-4"/>
        </w:rPr>
        <w:t xml:space="preserve"> </w:t>
      </w:r>
      <w:r>
        <w:t>of</w:t>
      </w:r>
      <w:proofErr w:type="gramEnd"/>
      <w:r>
        <w:rPr>
          <w:spacing w:val="-2"/>
        </w:rPr>
        <w:t xml:space="preserve"> </w:t>
      </w:r>
      <w:r>
        <w:t>visitors’</w:t>
      </w:r>
      <w:r>
        <w:rPr>
          <w:spacing w:val="-4"/>
        </w:rPr>
        <w:t xml:space="preserve"> </w:t>
      </w:r>
      <w:r>
        <w:t>thematic</w:t>
      </w:r>
      <w:r>
        <w:rPr>
          <w:spacing w:val="-2"/>
        </w:rPr>
        <w:t xml:space="preserve"> </w:t>
      </w:r>
      <w:r>
        <w:t>interests,</w:t>
      </w:r>
      <w:r>
        <w:rPr>
          <w:spacing w:val="-4"/>
        </w:rPr>
        <w:t xml:space="preserve"> </w:t>
      </w:r>
      <w:r>
        <w:t xml:space="preserve">or by bringing together visitors from </w:t>
      </w:r>
      <w:proofErr w:type="spellStart"/>
      <w:r>
        <w:t>neighbouring</w:t>
      </w:r>
      <w:proofErr w:type="spellEnd"/>
      <w:r>
        <w:t xml:space="preserve"> countries or regions.</w:t>
      </w:r>
    </w:p>
    <w:p w:rsidR="00AF36A4" w:rsidRDefault="00AF36A4">
      <w:pPr>
        <w:pStyle w:val="BodyText"/>
        <w:spacing w:before="3"/>
      </w:pPr>
    </w:p>
    <w:p w:rsidR="00AF36A4" w:rsidRDefault="00CE3862">
      <w:pPr>
        <w:pStyle w:val="BodyText"/>
        <w:ind w:left="372" w:right="127"/>
      </w:pPr>
      <w:r>
        <w:t>Working as an SNE in the EUVP team will provide a unique opportunity to contribute to further development of</w:t>
      </w:r>
      <w:r>
        <w:rPr>
          <w:spacing w:val="40"/>
        </w:rPr>
        <w:t xml:space="preserve"> </w:t>
      </w:r>
      <w:r>
        <w:t xml:space="preserve">the </w:t>
      </w:r>
      <w:proofErr w:type="spellStart"/>
      <w:r>
        <w:t>programme</w:t>
      </w:r>
      <w:proofErr w:type="spellEnd"/>
      <w:r>
        <w:t>, get a unique insight t</w:t>
      </w:r>
      <w:r>
        <w:t>o the functioning of EU Institutions and the EEAS and to the concrete work undertaken</w:t>
      </w:r>
      <w:r>
        <w:rPr>
          <w:spacing w:val="-1"/>
        </w:rPr>
        <w:t xml:space="preserve"> </w:t>
      </w:r>
      <w:r>
        <w:t>by</w:t>
      </w:r>
      <w:r>
        <w:rPr>
          <w:spacing w:val="-3"/>
        </w:rPr>
        <w:t xml:space="preserve"> </w:t>
      </w:r>
      <w:r>
        <w:t>the</w:t>
      </w:r>
      <w:r>
        <w:rPr>
          <w:spacing w:val="-1"/>
        </w:rPr>
        <w:t xml:space="preserve"> </w:t>
      </w:r>
      <w:r>
        <w:t>EU</w:t>
      </w:r>
      <w:r>
        <w:rPr>
          <w:spacing w:val="-5"/>
        </w:rPr>
        <w:t xml:space="preserve"> </w:t>
      </w:r>
      <w:r>
        <w:t>in</w:t>
      </w:r>
      <w:r>
        <w:rPr>
          <w:spacing w:val="-4"/>
        </w:rPr>
        <w:t xml:space="preserve"> </w:t>
      </w:r>
      <w:r>
        <w:t>the</w:t>
      </w:r>
      <w:r>
        <w:rPr>
          <w:spacing w:val="-1"/>
        </w:rPr>
        <w:t xml:space="preserve"> </w:t>
      </w:r>
      <w:r>
        <w:t>field</w:t>
      </w:r>
      <w:r>
        <w:rPr>
          <w:spacing w:val="-4"/>
        </w:rPr>
        <w:t xml:space="preserve"> </w:t>
      </w:r>
      <w:r>
        <w:t>of</w:t>
      </w:r>
      <w:r>
        <w:rPr>
          <w:spacing w:val="-1"/>
        </w:rPr>
        <w:t xml:space="preserve"> </w:t>
      </w:r>
      <w:r>
        <w:t>Public</w:t>
      </w:r>
      <w:r>
        <w:rPr>
          <w:spacing w:val="-1"/>
        </w:rPr>
        <w:t xml:space="preserve"> </w:t>
      </w:r>
      <w:r>
        <w:t>Diplomacy. EUVP</w:t>
      </w:r>
      <w:r>
        <w:rPr>
          <w:spacing w:val="-1"/>
        </w:rPr>
        <w:t xml:space="preserve"> </w:t>
      </w:r>
      <w:r>
        <w:t>will</w:t>
      </w:r>
      <w:r>
        <w:rPr>
          <w:spacing w:val="-2"/>
        </w:rPr>
        <w:t xml:space="preserve"> </w:t>
      </w:r>
      <w:r>
        <w:t>celebrate</w:t>
      </w:r>
      <w:r>
        <w:rPr>
          <w:spacing w:val="-1"/>
        </w:rPr>
        <w:t xml:space="preserve"> </w:t>
      </w:r>
      <w:r>
        <w:t>its</w:t>
      </w:r>
      <w:r>
        <w:rPr>
          <w:spacing w:val="-1"/>
        </w:rPr>
        <w:t xml:space="preserve"> </w:t>
      </w:r>
      <w:r>
        <w:t>50</w:t>
      </w:r>
      <w:r>
        <w:rPr>
          <w:vertAlign w:val="superscript"/>
        </w:rPr>
        <w:t>th</w:t>
      </w:r>
      <w:r>
        <w:rPr>
          <w:spacing w:val="-4"/>
        </w:rPr>
        <w:t xml:space="preserve"> </w:t>
      </w:r>
      <w:r>
        <w:t>anniversary</w:t>
      </w:r>
      <w:r>
        <w:rPr>
          <w:spacing w:val="-2"/>
        </w:rPr>
        <w:t xml:space="preserve"> </w:t>
      </w:r>
      <w:r>
        <w:t>in</w:t>
      </w:r>
      <w:r>
        <w:rPr>
          <w:spacing w:val="40"/>
        </w:rPr>
        <w:t xml:space="preserve"> </w:t>
      </w:r>
      <w:r>
        <w:t>2024.</w:t>
      </w:r>
      <w:r>
        <w:rPr>
          <w:spacing w:val="-4"/>
        </w:rPr>
        <w:t xml:space="preserve"> </w:t>
      </w:r>
      <w:r>
        <w:t>The</w:t>
      </w:r>
      <w:r>
        <w:rPr>
          <w:spacing w:val="-1"/>
        </w:rPr>
        <w:t xml:space="preserve"> </w:t>
      </w:r>
      <w:r>
        <w:t>tasks would entail, for example:</w:t>
      </w:r>
    </w:p>
    <w:p w:rsidR="00AF36A4" w:rsidRDefault="00AF36A4">
      <w:pPr>
        <w:pStyle w:val="BodyText"/>
        <w:rPr>
          <w:sz w:val="24"/>
        </w:rPr>
      </w:pPr>
    </w:p>
    <w:p w:rsidR="00AF36A4" w:rsidRDefault="00AF36A4">
      <w:pPr>
        <w:pStyle w:val="BodyText"/>
        <w:spacing w:before="10"/>
        <w:rPr>
          <w:sz w:val="19"/>
        </w:rPr>
      </w:pPr>
    </w:p>
    <w:p w:rsidR="00AF36A4" w:rsidRDefault="00CE3862">
      <w:pPr>
        <w:pStyle w:val="BodyText"/>
        <w:spacing w:before="1" w:line="252" w:lineRule="exact"/>
        <w:ind w:left="372"/>
      </w:pPr>
      <w:r>
        <w:rPr>
          <w:spacing w:val="-2"/>
        </w:rPr>
        <w:t>INTER-INSTITUTIONAL</w:t>
      </w:r>
      <w:r>
        <w:rPr>
          <w:spacing w:val="19"/>
        </w:rPr>
        <w:t xml:space="preserve"> </w:t>
      </w:r>
      <w:r>
        <w:rPr>
          <w:spacing w:val="-2"/>
        </w:rPr>
        <w:t>RELATIONS</w:t>
      </w:r>
    </w:p>
    <w:p w:rsidR="00AF36A4" w:rsidRDefault="00CE3862">
      <w:pPr>
        <w:pStyle w:val="ListParagraph"/>
        <w:numPr>
          <w:ilvl w:val="1"/>
          <w:numId w:val="6"/>
        </w:numPr>
        <w:tabs>
          <w:tab w:val="left" w:pos="505"/>
        </w:tabs>
        <w:ind w:right="2053" w:firstLine="0"/>
      </w:pPr>
      <w:r>
        <w:t>Plan</w:t>
      </w:r>
      <w:r>
        <w:rPr>
          <w:spacing w:val="-3"/>
        </w:rPr>
        <w:t xml:space="preserve"> </w:t>
      </w:r>
      <w:r>
        <w:t>and</w:t>
      </w:r>
      <w:r>
        <w:rPr>
          <w:spacing w:val="-3"/>
        </w:rPr>
        <w:t xml:space="preserve"> </w:t>
      </w:r>
      <w:r>
        <w:t>prepare</w:t>
      </w:r>
      <w:r>
        <w:rPr>
          <w:spacing w:val="-5"/>
        </w:rPr>
        <w:t xml:space="preserve"> </w:t>
      </w:r>
      <w:proofErr w:type="gramStart"/>
      <w:r>
        <w:t>individually-tailored</w:t>
      </w:r>
      <w:proofErr w:type="gramEnd"/>
      <w:r>
        <w:rPr>
          <w:spacing w:val="-3"/>
        </w:rPr>
        <w:t xml:space="preserve"> </w:t>
      </w:r>
      <w:proofErr w:type="spellStart"/>
      <w:r>
        <w:t>programmes</w:t>
      </w:r>
      <w:proofErr w:type="spellEnd"/>
      <w:r>
        <w:rPr>
          <w:spacing w:val="-3"/>
        </w:rPr>
        <w:t xml:space="preserve"> </w:t>
      </w:r>
      <w:r>
        <w:t>for</w:t>
      </w:r>
      <w:r>
        <w:rPr>
          <w:spacing w:val="-3"/>
        </w:rPr>
        <w:t xml:space="preserve"> </w:t>
      </w:r>
      <w:r>
        <w:t>EUVP</w:t>
      </w:r>
      <w:r>
        <w:rPr>
          <w:spacing w:val="-6"/>
        </w:rPr>
        <w:t xml:space="preserve"> </w:t>
      </w:r>
      <w:r>
        <w:t>participants</w:t>
      </w:r>
      <w:r>
        <w:rPr>
          <w:spacing w:val="-3"/>
        </w:rPr>
        <w:t xml:space="preserve"> </w:t>
      </w:r>
      <w:r>
        <w:t>according</w:t>
      </w:r>
      <w:r>
        <w:rPr>
          <w:spacing w:val="-6"/>
        </w:rPr>
        <w:t xml:space="preserve"> </w:t>
      </w:r>
      <w:r>
        <w:t>to</w:t>
      </w:r>
      <w:r>
        <w:rPr>
          <w:spacing w:val="-3"/>
        </w:rPr>
        <w:t xml:space="preserve"> </w:t>
      </w:r>
      <w:r>
        <w:t>their specific professional interests.</w:t>
      </w:r>
    </w:p>
    <w:p w:rsidR="00AF36A4" w:rsidRDefault="00CE3862">
      <w:pPr>
        <w:pStyle w:val="ListParagraph"/>
        <w:numPr>
          <w:ilvl w:val="1"/>
          <w:numId w:val="6"/>
        </w:numPr>
        <w:tabs>
          <w:tab w:val="left" w:pos="507"/>
        </w:tabs>
        <w:ind w:right="1416" w:firstLine="0"/>
      </w:pPr>
      <w:r>
        <w:t>Identification</w:t>
      </w:r>
      <w:r>
        <w:rPr>
          <w:spacing w:val="-5"/>
        </w:rPr>
        <w:t xml:space="preserve"> </w:t>
      </w:r>
      <w:r>
        <w:t>and</w:t>
      </w:r>
      <w:r>
        <w:rPr>
          <w:spacing w:val="-2"/>
        </w:rPr>
        <w:t xml:space="preserve"> </w:t>
      </w:r>
      <w:r>
        <w:t>follow-up</w:t>
      </w:r>
      <w:r>
        <w:rPr>
          <w:spacing w:val="-2"/>
        </w:rPr>
        <w:t xml:space="preserve"> </w:t>
      </w:r>
      <w:r>
        <w:t>with</w:t>
      </w:r>
      <w:r>
        <w:rPr>
          <w:spacing w:val="-4"/>
        </w:rPr>
        <w:t xml:space="preserve"> </w:t>
      </w:r>
      <w:r>
        <w:t>appropriate</w:t>
      </w:r>
      <w:r>
        <w:rPr>
          <w:spacing w:val="-4"/>
        </w:rPr>
        <w:t xml:space="preserve"> </w:t>
      </w:r>
      <w:r>
        <w:t>interlocutors</w:t>
      </w:r>
      <w:r>
        <w:rPr>
          <w:spacing w:val="-2"/>
        </w:rPr>
        <w:t xml:space="preserve"> </w:t>
      </w:r>
      <w:r>
        <w:t>in</w:t>
      </w:r>
      <w:r>
        <w:rPr>
          <w:spacing w:val="-5"/>
        </w:rPr>
        <w:t xml:space="preserve"> </w:t>
      </w:r>
      <w:r>
        <w:t>all</w:t>
      </w:r>
      <w:r>
        <w:rPr>
          <w:spacing w:val="-1"/>
        </w:rPr>
        <w:t xml:space="preserve"> </w:t>
      </w:r>
      <w:r>
        <w:t>Institutions,</w:t>
      </w:r>
      <w:r>
        <w:rPr>
          <w:spacing w:val="-4"/>
        </w:rPr>
        <w:t xml:space="preserve"> </w:t>
      </w:r>
      <w:r>
        <w:t>including</w:t>
      </w:r>
      <w:r>
        <w:rPr>
          <w:spacing w:val="-5"/>
        </w:rPr>
        <w:t xml:space="preserve"> </w:t>
      </w:r>
      <w:r>
        <w:t>Members</w:t>
      </w:r>
      <w:r>
        <w:rPr>
          <w:spacing w:val="-2"/>
        </w:rPr>
        <w:t xml:space="preserve"> </w:t>
      </w:r>
      <w:r>
        <w:t xml:space="preserve">of Parliament and </w:t>
      </w:r>
      <w:proofErr w:type="spellStart"/>
      <w:r>
        <w:t>organise</w:t>
      </w:r>
      <w:proofErr w:type="spellEnd"/>
      <w:r>
        <w:t xml:space="preserve"> meetings wi</w:t>
      </w:r>
      <w:r>
        <w:t>th the visitors.</w:t>
      </w:r>
    </w:p>
    <w:p w:rsidR="00AF36A4" w:rsidRDefault="00CE3862">
      <w:pPr>
        <w:pStyle w:val="BodyText"/>
        <w:ind w:left="372"/>
      </w:pPr>
      <w:r>
        <w:t>+</w:t>
      </w:r>
      <w:r>
        <w:rPr>
          <w:spacing w:val="-9"/>
        </w:rPr>
        <w:t xml:space="preserve"> </w:t>
      </w:r>
      <w:r>
        <w:t>EXTERNAL</w:t>
      </w:r>
      <w:r>
        <w:rPr>
          <w:spacing w:val="-8"/>
        </w:rPr>
        <w:t xml:space="preserve"> </w:t>
      </w:r>
      <w:r>
        <w:t>COMMUNICATION</w:t>
      </w:r>
      <w:r>
        <w:rPr>
          <w:spacing w:val="-9"/>
        </w:rPr>
        <w:t xml:space="preserve"> </w:t>
      </w:r>
      <w:r>
        <w:rPr>
          <w:spacing w:val="-2"/>
        </w:rPr>
        <w:t>(general)</w:t>
      </w:r>
    </w:p>
    <w:p w:rsidR="00AF36A4" w:rsidRDefault="00AF36A4">
      <w:pPr>
        <w:pStyle w:val="BodyText"/>
        <w:rPr>
          <w:sz w:val="20"/>
        </w:rPr>
      </w:pPr>
    </w:p>
    <w:p w:rsidR="00AF36A4" w:rsidRDefault="00CE3862">
      <w:pPr>
        <w:pStyle w:val="BodyText"/>
        <w:spacing w:before="10"/>
        <w:rPr>
          <w:sz w:val="13"/>
        </w:rPr>
      </w:pPr>
      <w:r>
        <w:pict>
          <v:rect id="docshape2" o:spid="_x0000_s1027" style="position:absolute;margin-left:42.6pt;margin-top:9.2pt;width:2in;height:.6pt;z-index:-15728640;mso-wrap-distance-left:0;mso-wrap-distance-right:0;mso-position-horizontal-relative:page" fillcolor="black" stroked="f">
            <w10:wrap type="topAndBottom" anchorx="page"/>
          </v:rect>
        </w:pict>
      </w:r>
    </w:p>
    <w:p w:rsidR="00AF36A4" w:rsidRDefault="00CE3862">
      <w:pPr>
        <w:spacing w:before="101"/>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AF36A4" w:rsidRDefault="00AF36A4">
      <w:pPr>
        <w:rPr>
          <w:sz w:val="20"/>
        </w:rPr>
        <w:sectPr w:rsidR="00AF36A4">
          <w:footerReference w:type="default" r:id="rId9"/>
          <w:type w:val="continuous"/>
          <w:pgSz w:w="11910" w:h="16840"/>
          <w:pgMar w:top="520" w:right="740" w:bottom="880" w:left="480" w:header="0" w:footer="690" w:gutter="0"/>
          <w:pgNumType w:start="1"/>
          <w:cols w:space="720"/>
        </w:sectPr>
      </w:pPr>
    </w:p>
    <w:p w:rsidR="00AF36A4" w:rsidRDefault="00CE3862">
      <w:pPr>
        <w:pStyle w:val="ListParagraph"/>
        <w:numPr>
          <w:ilvl w:val="1"/>
          <w:numId w:val="6"/>
        </w:numPr>
        <w:tabs>
          <w:tab w:val="left" w:pos="505"/>
        </w:tabs>
        <w:spacing w:before="68"/>
        <w:ind w:right="2418" w:firstLine="0"/>
      </w:pPr>
      <w:r>
        <w:lastRenderedPageBreak/>
        <w:t>Communicate</w:t>
      </w:r>
      <w:r>
        <w:rPr>
          <w:spacing w:val="-3"/>
        </w:rPr>
        <w:t xml:space="preserve"> </w:t>
      </w:r>
      <w:r>
        <w:t>general</w:t>
      </w:r>
      <w:r>
        <w:rPr>
          <w:spacing w:val="-2"/>
        </w:rPr>
        <w:t xml:space="preserve"> </w:t>
      </w:r>
      <w:r>
        <w:t>EU</w:t>
      </w:r>
      <w:r>
        <w:rPr>
          <w:spacing w:val="-7"/>
        </w:rPr>
        <w:t xml:space="preserve"> </w:t>
      </w:r>
      <w:r>
        <w:t>policy</w:t>
      </w:r>
      <w:r>
        <w:rPr>
          <w:spacing w:val="-5"/>
        </w:rPr>
        <w:t xml:space="preserve"> </w:t>
      </w:r>
      <w:r>
        <w:t>to</w:t>
      </w:r>
      <w:r>
        <w:rPr>
          <w:spacing w:val="-3"/>
        </w:rPr>
        <w:t xml:space="preserve"> </w:t>
      </w:r>
      <w:r>
        <w:t>visitors</w:t>
      </w:r>
      <w:r>
        <w:rPr>
          <w:spacing w:val="-3"/>
        </w:rPr>
        <w:t xml:space="preserve"> </w:t>
      </w:r>
      <w:r>
        <w:t>in</w:t>
      </w:r>
      <w:r>
        <w:rPr>
          <w:spacing w:val="-3"/>
        </w:rPr>
        <w:t xml:space="preserve"> </w:t>
      </w:r>
      <w:r>
        <w:t>line</w:t>
      </w:r>
      <w:r>
        <w:rPr>
          <w:spacing w:val="-3"/>
        </w:rPr>
        <w:t xml:space="preserve"> </w:t>
      </w:r>
      <w:r>
        <w:t>with</w:t>
      </w:r>
      <w:r>
        <w:rPr>
          <w:spacing w:val="-3"/>
        </w:rPr>
        <w:t xml:space="preserve"> </w:t>
      </w:r>
      <w:r>
        <w:t>official</w:t>
      </w:r>
      <w:r>
        <w:rPr>
          <w:spacing w:val="-2"/>
        </w:rPr>
        <w:t xml:space="preserve"> </w:t>
      </w:r>
      <w:r>
        <w:t>communication</w:t>
      </w:r>
      <w:r>
        <w:rPr>
          <w:spacing w:val="-6"/>
        </w:rPr>
        <w:t xml:space="preserve"> </w:t>
      </w:r>
      <w:r>
        <w:t>material prepared by the Institutions</w:t>
      </w:r>
    </w:p>
    <w:p w:rsidR="00AF36A4" w:rsidRDefault="00CE3862">
      <w:pPr>
        <w:pStyle w:val="BodyText"/>
        <w:spacing w:before="1"/>
        <w:ind w:left="372"/>
      </w:pPr>
      <w:r>
        <w:t>+</w:t>
      </w:r>
      <w:r>
        <w:rPr>
          <w:spacing w:val="-7"/>
        </w:rPr>
        <w:t xml:space="preserve"> </w:t>
      </w:r>
      <w:r>
        <w:t>OPERATIONAL</w:t>
      </w:r>
      <w:r>
        <w:rPr>
          <w:spacing w:val="-6"/>
        </w:rPr>
        <w:t xml:space="preserve"> </w:t>
      </w:r>
      <w:r>
        <w:rPr>
          <w:spacing w:val="-2"/>
        </w:rPr>
        <w:t>SUPPORT</w:t>
      </w:r>
    </w:p>
    <w:p w:rsidR="00AF36A4" w:rsidRDefault="00CE3862">
      <w:pPr>
        <w:pStyle w:val="ListParagraph"/>
        <w:numPr>
          <w:ilvl w:val="1"/>
          <w:numId w:val="6"/>
        </w:numPr>
        <w:tabs>
          <w:tab w:val="left" w:pos="505"/>
        </w:tabs>
        <w:spacing w:before="1" w:line="252" w:lineRule="exact"/>
        <w:ind w:left="504"/>
      </w:pPr>
      <w:r>
        <w:t>Verify/control</w:t>
      </w:r>
      <w:r>
        <w:rPr>
          <w:spacing w:val="-5"/>
        </w:rPr>
        <w:t xml:space="preserve"> </w:t>
      </w:r>
      <w:r>
        <w:t>the</w:t>
      </w:r>
      <w:r>
        <w:rPr>
          <w:spacing w:val="-3"/>
        </w:rPr>
        <w:t xml:space="preserve"> </w:t>
      </w:r>
      <w:r>
        <w:t>quality</w:t>
      </w:r>
      <w:r>
        <w:rPr>
          <w:spacing w:val="-7"/>
        </w:rPr>
        <w:t xml:space="preserve"> </w:t>
      </w:r>
      <w:r>
        <w:t>and</w:t>
      </w:r>
      <w:r>
        <w:rPr>
          <w:spacing w:val="-3"/>
        </w:rPr>
        <w:t xml:space="preserve"> </w:t>
      </w:r>
      <w:r>
        <w:t>the</w:t>
      </w:r>
      <w:r>
        <w:rPr>
          <w:spacing w:val="-4"/>
        </w:rPr>
        <w:t xml:space="preserve"> </w:t>
      </w:r>
      <w:r>
        <w:t>overall</w:t>
      </w:r>
      <w:r>
        <w:rPr>
          <w:spacing w:val="-5"/>
        </w:rPr>
        <w:t xml:space="preserve"> </w:t>
      </w:r>
      <w:r>
        <w:t>consistency</w:t>
      </w:r>
      <w:r>
        <w:rPr>
          <w:spacing w:val="-8"/>
        </w:rPr>
        <w:t xml:space="preserve"> </w:t>
      </w:r>
      <w:r>
        <w:t>of</w:t>
      </w:r>
      <w:r>
        <w:rPr>
          <w:spacing w:val="-4"/>
        </w:rPr>
        <w:t xml:space="preserve"> </w:t>
      </w:r>
      <w:r>
        <w:t>all</w:t>
      </w:r>
      <w:r>
        <w:rPr>
          <w:spacing w:val="-2"/>
        </w:rPr>
        <w:t xml:space="preserve"> </w:t>
      </w:r>
      <w:r>
        <w:t>EUVP</w:t>
      </w:r>
      <w:r>
        <w:rPr>
          <w:spacing w:val="-3"/>
        </w:rPr>
        <w:t xml:space="preserve"> </w:t>
      </w:r>
      <w:proofErr w:type="spellStart"/>
      <w:r>
        <w:rPr>
          <w:spacing w:val="-2"/>
        </w:rPr>
        <w:t>programmes</w:t>
      </w:r>
      <w:proofErr w:type="spellEnd"/>
      <w:r>
        <w:rPr>
          <w:spacing w:val="-2"/>
        </w:rPr>
        <w:t>.</w:t>
      </w:r>
    </w:p>
    <w:p w:rsidR="00AF36A4" w:rsidRDefault="00CE3862">
      <w:pPr>
        <w:pStyle w:val="ListParagraph"/>
        <w:numPr>
          <w:ilvl w:val="1"/>
          <w:numId w:val="6"/>
        </w:numPr>
        <w:tabs>
          <w:tab w:val="left" w:pos="504"/>
        </w:tabs>
        <w:spacing w:line="252" w:lineRule="exact"/>
        <w:ind w:left="504" w:hanging="132"/>
      </w:pPr>
      <w:r>
        <w:t>Plan</w:t>
      </w:r>
      <w:r>
        <w:rPr>
          <w:spacing w:val="-5"/>
        </w:rPr>
        <w:t xml:space="preserve"> </w:t>
      </w:r>
      <w:r>
        <w:t>and</w:t>
      </w:r>
      <w:r>
        <w:rPr>
          <w:spacing w:val="-4"/>
        </w:rPr>
        <w:t xml:space="preserve"> </w:t>
      </w:r>
      <w:proofErr w:type="spellStart"/>
      <w:r>
        <w:t>organise</w:t>
      </w:r>
      <w:proofErr w:type="spellEnd"/>
      <w:r>
        <w:rPr>
          <w:spacing w:val="-5"/>
        </w:rPr>
        <w:t xml:space="preserve"> </w:t>
      </w:r>
      <w:r>
        <w:t>individual</w:t>
      </w:r>
      <w:r>
        <w:rPr>
          <w:spacing w:val="-3"/>
        </w:rPr>
        <w:t xml:space="preserve"> </w:t>
      </w:r>
      <w:r>
        <w:rPr>
          <w:spacing w:val="-2"/>
        </w:rPr>
        <w:t>visits.</w:t>
      </w:r>
    </w:p>
    <w:p w:rsidR="00AF36A4" w:rsidRDefault="00CE3862">
      <w:pPr>
        <w:pStyle w:val="ListParagraph"/>
        <w:numPr>
          <w:ilvl w:val="1"/>
          <w:numId w:val="6"/>
        </w:numPr>
        <w:tabs>
          <w:tab w:val="left" w:pos="504"/>
        </w:tabs>
        <w:spacing w:before="2" w:line="252" w:lineRule="exact"/>
        <w:ind w:left="504" w:hanging="132"/>
      </w:pPr>
      <w:r>
        <w:t>Take</w:t>
      </w:r>
      <w:r>
        <w:rPr>
          <w:spacing w:val="-2"/>
        </w:rPr>
        <w:t xml:space="preserve"> </w:t>
      </w:r>
      <w:r>
        <w:t>part</w:t>
      </w:r>
      <w:r>
        <w:rPr>
          <w:spacing w:val="-4"/>
        </w:rPr>
        <w:t xml:space="preserve"> </w:t>
      </w:r>
      <w:r>
        <w:t>in</w:t>
      </w:r>
      <w:r>
        <w:rPr>
          <w:spacing w:val="-5"/>
        </w:rPr>
        <w:t xml:space="preserve"> </w:t>
      </w:r>
      <w:r>
        <w:t>the</w:t>
      </w:r>
      <w:r>
        <w:rPr>
          <w:spacing w:val="-2"/>
        </w:rPr>
        <w:t xml:space="preserve"> </w:t>
      </w:r>
      <w:r>
        <w:t>organization</w:t>
      </w:r>
      <w:r>
        <w:rPr>
          <w:spacing w:val="-2"/>
        </w:rPr>
        <w:t xml:space="preserve"> </w:t>
      </w:r>
      <w:r>
        <w:t>of</w:t>
      </w:r>
      <w:r>
        <w:rPr>
          <w:spacing w:val="-4"/>
        </w:rPr>
        <w:t xml:space="preserve"> </w:t>
      </w:r>
      <w:r>
        <w:t>the</w:t>
      </w:r>
      <w:r>
        <w:rPr>
          <w:spacing w:val="-2"/>
        </w:rPr>
        <w:t xml:space="preserve"> </w:t>
      </w:r>
      <w:r>
        <w:t>50</w:t>
      </w:r>
      <w:r>
        <w:rPr>
          <w:vertAlign w:val="superscript"/>
        </w:rPr>
        <w:t>th</w:t>
      </w:r>
      <w:r>
        <w:rPr>
          <w:spacing w:val="-5"/>
        </w:rPr>
        <w:t xml:space="preserve"> </w:t>
      </w:r>
      <w:r>
        <w:t>anniversary</w:t>
      </w:r>
      <w:r>
        <w:rPr>
          <w:spacing w:val="-5"/>
        </w:rPr>
        <w:t xml:space="preserve"> </w:t>
      </w:r>
      <w:r>
        <w:rPr>
          <w:spacing w:val="-2"/>
        </w:rPr>
        <w:t>event</w:t>
      </w:r>
    </w:p>
    <w:p w:rsidR="00AF36A4" w:rsidRDefault="00CE3862">
      <w:pPr>
        <w:pStyle w:val="ListParagraph"/>
        <w:numPr>
          <w:ilvl w:val="1"/>
          <w:numId w:val="6"/>
        </w:numPr>
        <w:tabs>
          <w:tab w:val="left" w:pos="504"/>
        </w:tabs>
        <w:spacing w:line="252" w:lineRule="exact"/>
        <w:ind w:left="504" w:hanging="132"/>
      </w:pPr>
      <w:r>
        <w:t>Accompany</w:t>
      </w:r>
      <w:r>
        <w:rPr>
          <w:spacing w:val="-6"/>
        </w:rPr>
        <w:t xml:space="preserve"> </w:t>
      </w:r>
      <w:r>
        <w:t>visitors</w:t>
      </w:r>
      <w:r>
        <w:rPr>
          <w:spacing w:val="-3"/>
        </w:rPr>
        <w:t xml:space="preserve"> </w:t>
      </w:r>
      <w:r>
        <w:t>where</w:t>
      </w:r>
      <w:r>
        <w:rPr>
          <w:spacing w:val="-4"/>
        </w:rPr>
        <w:t xml:space="preserve"> </w:t>
      </w:r>
      <w:r>
        <w:t>necessary</w:t>
      </w:r>
      <w:r>
        <w:rPr>
          <w:spacing w:val="-6"/>
        </w:rPr>
        <w:t xml:space="preserve"> </w:t>
      </w:r>
      <w:r>
        <w:t>during</w:t>
      </w:r>
      <w:r>
        <w:rPr>
          <w:spacing w:val="-6"/>
        </w:rPr>
        <w:t xml:space="preserve"> </w:t>
      </w:r>
      <w:r>
        <w:t>their</w:t>
      </w:r>
      <w:r>
        <w:rPr>
          <w:spacing w:val="-5"/>
        </w:rPr>
        <w:t xml:space="preserve"> </w:t>
      </w:r>
      <w:r>
        <w:t>in-person</w:t>
      </w:r>
      <w:r>
        <w:rPr>
          <w:spacing w:val="-3"/>
        </w:rPr>
        <w:t xml:space="preserve"> </w:t>
      </w:r>
      <w:r>
        <w:rPr>
          <w:spacing w:val="-2"/>
        </w:rPr>
        <w:t>visits</w:t>
      </w:r>
    </w:p>
    <w:p w:rsidR="00AF36A4" w:rsidRDefault="00AF36A4">
      <w:pPr>
        <w:pStyle w:val="BodyText"/>
        <w:spacing w:before="5"/>
        <w:rPr>
          <w:sz w:val="24"/>
        </w:rPr>
      </w:pPr>
    </w:p>
    <w:p w:rsidR="00AF36A4" w:rsidRDefault="00CE3862">
      <w:pPr>
        <w:pStyle w:val="ListParagraph"/>
        <w:numPr>
          <w:ilvl w:val="0"/>
          <w:numId w:val="6"/>
        </w:numPr>
        <w:tabs>
          <w:tab w:val="left" w:pos="799"/>
          <w:tab w:val="left" w:pos="800"/>
        </w:tabs>
        <w:rPr>
          <w:b/>
          <w:sz w:val="24"/>
        </w:rPr>
      </w:pPr>
      <w:r>
        <w:rPr>
          <w:b/>
          <w:sz w:val="24"/>
          <w:u w:val="single"/>
        </w:rPr>
        <w:t>Main</w:t>
      </w:r>
      <w:r>
        <w:rPr>
          <w:b/>
          <w:spacing w:val="-2"/>
          <w:sz w:val="24"/>
          <w:u w:val="single"/>
        </w:rPr>
        <w:t xml:space="preserve"> qualifications</w:t>
      </w:r>
    </w:p>
    <w:p w:rsidR="00AF36A4" w:rsidRDefault="00AF36A4">
      <w:pPr>
        <w:pStyle w:val="BodyText"/>
        <w:rPr>
          <w:b/>
          <w:sz w:val="16"/>
        </w:rPr>
      </w:pPr>
    </w:p>
    <w:p w:rsidR="00AF36A4" w:rsidRDefault="00CE3862">
      <w:pPr>
        <w:pStyle w:val="Heading1"/>
        <w:numPr>
          <w:ilvl w:val="0"/>
          <w:numId w:val="3"/>
        </w:numPr>
        <w:tabs>
          <w:tab w:val="left" w:pos="1040"/>
        </w:tabs>
        <w:spacing w:before="92"/>
        <w:ind w:hanging="241"/>
      </w:pPr>
      <w:r>
        <w:t>Eligibility</w:t>
      </w:r>
      <w:r>
        <w:rPr>
          <w:spacing w:val="-10"/>
        </w:rPr>
        <w:t xml:space="preserve"> </w:t>
      </w:r>
      <w:r>
        <w:rPr>
          <w:spacing w:val="-2"/>
        </w:rPr>
        <w:t>criteria</w:t>
      </w:r>
    </w:p>
    <w:p w:rsidR="00AF36A4" w:rsidRDefault="00AF36A4">
      <w:pPr>
        <w:pStyle w:val="BodyText"/>
        <w:spacing w:before="7"/>
        <w:rPr>
          <w:b/>
          <w:sz w:val="21"/>
        </w:rPr>
      </w:pPr>
    </w:p>
    <w:p w:rsidR="00AF36A4" w:rsidRDefault="00CE3862">
      <w:pPr>
        <w:pStyle w:val="BodyText"/>
        <w:ind w:left="799" w:right="109"/>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AF36A4" w:rsidRDefault="00AF36A4">
      <w:pPr>
        <w:pStyle w:val="BodyText"/>
        <w:spacing w:before="1"/>
      </w:pPr>
    </w:p>
    <w:p w:rsidR="00AF36A4" w:rsidRDefault="00CE3862">
      <w:pPr>
        <w:pStyle w:val="ListParagraph"/>
        <w:numPr>
          <w:ilvl w:val="1"/>
          <w:numId w:val="6"/>
        </w:numPr>
        <w:tabs>
          <w:tab w:val="left" w:pos="1081"/>
        </w:tabs>
        <w:spacing w:before="1"/>
        <w:ind w:left="1080" w:right="114" w:hanging="281"/>
        <w:jc w:val="both"/>
      </w:pPr>
      <w:r>
        <w:rPr>
          <w:u w:val="single"/>
        </w:rPr>
        <w:t>Professional experience</w:t>
      </w:r>
      <w:r>
        <w:t>: at least three years of professional exper</w:t>
      </w:r>
      <w:r>
        <w:t>ience in administrative, legal, scientific, technical, advisory or supervisory functions which are equivalent to those of function group AD;</w:t>
      </w:r>
    </w:p>
    <w:p w:rsidR="00AF36A4" w:rsidRDefault="00AF36A4">
      <w:pPr>
        <w:pStyle w:val="BodyText"/>
        <w:spacing w:before="10"/>
        <w:rPr>
          <w:sz w:val="21"/>
        </w:rPr>
      </w:pPr>
    </w:p>
    <w:p w:rsidR="00AF36A4" w:rsidRDefault="00CE3862">
      <w:pPr>
        <w:pStyle w:val="ListParagraph"/>
        <w:numPr>
          <w:ilvl w:val="1"/>
          <w:numId w:val="6"/>
        </w:numPr>
        <w:tabs>
          <w:tab w:val="left" w:pos="1081"/>
        </w:tabs>
        <w:spacing w:before="1"/>
        <w:ind w:left="1080" w:right="119" w:hanging="281"/>
        <w:jc w:val="both"/>
      </w:pPr>
      <w:r>
        <w:rPr>
          <w:u w:val="single"/>
        </w:rPr>
        <w:t>Seniority</w:t>
      </w:r>
      <w:r>
        <w:t xml:space="preserve">: candidates must have at least </w:t>
      </w:r>
      <w:proofErr w:type="gramStart"/>
      <w:r>
        <w:t>one year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AF36A4" w:rsidRDefault="00AF36A4">
      <w:pPr>
        <w:pStyle w:val="BodyText"/>
        <w:spacing w:before="9"/>
        <w:rPr>
          <w:sz w:val="21"/>
        </w:rPr>
      </w:pPr>
    </w:p>
    <w:p w:rsidR="00AF36A4" w:rsidRDefault="00CE3862">
      <w:pPr>
        <w:pStyle w:val="ListParagraph"/>
        <w:numPr>
          <w:ilvl w:val="1"/>
          <w:numId w:val="6"/>
        </w:numPr>
        <w:tabs>
          <w:tab w:val="left" w:pos="1081"/>
        </w:tabs>
        <w:spacing w:before="1"/>
        <w:ind w:left="1080" w:right="113" w:hanging="281"/>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40"/>
        </w:rPr>
        <w:t xml:space="preserve"> </w:t>
      </w:r>
      <w:r>
        <w:rPr>
          <w:spacing w:val="-2"/>
        </w:rPr>
        <w:t>duties.</w:t>
      </w:r>
    </w:p>
    <w:p w:rsidR="00AF36A4" w:rsidRDefault="00AF36A4">
      <w:pPr>
        <w:pStyle w:val="BodyText"/>
        <w:spacing w:before="5"/>
        <w:rPr>
          <w:sz w:val="24"/>
        </w:rPr>
      </w:pPr>
    </w:p>
    <w:p w:rsidR="00AF36A4" w:rsidRDefault="00CE3862">
      <w:pPr>
        <w:pStyle w:val="Heading1"/>
        <w:numPr>
          <w:ilvl w:val="0"/>
          <w:numId w:val="3"/>
        </w:numPr>
        <w:tabs>
          <w:tab w:val="left" w:pos="1081"/>
        </w:tabs>
        <w:spacing w:before="1"/>
        <w:ind w:left="1080" w:hanging="282"/>
      </w:pPr>
      <w:r>
        <w:rPr>
          <w:u w:val="single"/>
        </w:rPr>
        <w:t>Selection</w:t>
      </w:r>
      <w:r>
        <w:rPr>
          <w:spacing w:val="-5"/>
          <w:u w:val="single"/>
        </w:rPr>
        <w:t xml:space="preserve"> </w:t>
      </w:r>
      <w:r>
        <w:rPr>
          <w:spacing w:val="-2"/>
          <w:u w:val="single"/>
        </w:rPr>
        <w:t>criteria</w:t>
      </w:r>
    </w:p>
    <w:p w:rsidR="00AF36A4" w:rsidRDefault="00AF36A4">
      <w:pPr>
        <w:pStyle w:val="BodyText"/>
        <w:spacing w:before="6"/>
        <w:rPr>
          <w:b/>
          <w:sz w:val="15"/>
        </w:rPr>
      </w:pPr>
    </w:p>
    <w:p w:rsidR="00AF36A4" w:rsidRDefault="00CE3862">
      <w:pPr>
        <w:pStyle w:val="BodyText"/>
        <w:spacing w:before="91"/>
        <w:ind w:left="1080"/>
      </w:pPr>
      <w:r>
        <w:rPr>
          <w:spacing w:val="-2"/>
          <w:u w:val="single"/>
        </w:rPr>
        <w:t>Diploma</w:t>
      </w:r>
    </w:p>
    <w:p w:rsidR="00AF36A4" w:rsidRDefault="00CE3862">
      <w:pPr>
        <w:pStyle w:val="ListParagraph"/>
        <w:numPr>
          <w:ilvl w:val="1"/>
          <w:numId w:val="3"/>
        </w:numPr>
        <w:tabs>
          <w:tab w:val="left" w:pos="1206"/>
        </w:tabs>
        <w:spacing w:before="2" w:line="252" w:lineRule="exact"/>
        <w:ind w:hanging="126"/>
      </w:pPr>
      <w:r>
        <w:t>university</w:t>
      </w:r>
      <w:r>
        <w:rPr>
          <w:spacing w:val="-5"/>
        </w:rPr>
        <w:t xml:space="preserve"> </w:t>
      </w:r>
      <w:r>
        <w:t>degree</w:t>
      </w:r>
      <w:r>
        <w:rPr>
          <w:spacing w:val="-1"/>
        </w:rPr>
        <w:t xml:space="preserve"> </w:t>
      </w:r>
      <w:r>
        <w:rPr>
          <w:spacing w:val="-5"/>
        </w:rPr>
        <w:t>or</w:t>
      </w:r>
    </w:p>
    <w:p w:rsidR="00AF36A4" w:rsidRDefault="00CE3862">
      <w:pPr>
        <w:pStyle w:val="ListParagraph"/>
        <w:numPr>
          <w:ilvl w:val="1"/>
          <w:numId w:val="3"/>
        </w:numPr>
        <w:tabs>
          <w:tab w:val="left" w:pos="1206"/>
        </w:tabs>
        <w:spacing w:line="252" w:lineRule="exact"/>
        <w:ind w:hanging="126"/>
      </w:pPr>
      <w:r>
        <w:t>professional</w:t>
      </w:r>
      <w:r>
        <w:rPr>
          <w:spacing w:val="-4"/>
        </w:rPr>
        <w:t xml:space="preserve"> </w:t>
      </w:r>
      <w:r>
        <w:t>training</w:t>
      </w:r>
      <w:r>
        <w:rPr>
          <w:spacing w:val="-6"/>
        </w:rPr>
        <w:t xml:space="preserve"> </w:t>
      </w:r>
      <w:r>
        <w:t>or</w:t>
      </w:r>
      <w:r>
        <w:rPr>
          <w:spacing w:val="-3"/>
        </w:rPr>
        <w:t xml:space="preserve"> </w:t>
      </w:r>
      <w:r>
        <w:t>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AF36A4" w:rsidRDefault="00CE3862">
      <w:pPr>
        <w:pStyle w:val="BodyText"/>
        <w:spacing w:before="68"/>
        <w:ind w:left="1190"/>
      </w:pPr>
      <w:proofErr w:type="gramStart"/>
      <w:r>
        <w:t>in</w:t>
      </w:r>
      <w:proofErr w:type="gramEnd"/>
      <w:r>
        <w:rPr>
          <w:spacing w:val="-6"/>
        </w:rPr>
        <w:t xml:space="preserve"> </w:t>
      </w:r>
      <w:r>
        <w:t>the</w:t>
      </w:r>
      <w:r>
        <w:rPr>
          <w:spacing w:val="-3"/>
        </w:rPr>
        <w:t xml:space="preserve"> </w:t>
      </w:r>
      <w:r>
        <w:t>field(s)</w:t>
      </w:r>
      <w:r>
        <w:rPr>
          <w:spacing w:val="-4"/>
        </w:rPr>
        <w:t xml:space="preserve"> </w:t>
      </w:r>
      <w:r>
        <w:rPr>
          <w:spacing w:val="-10"/>
        </w:rPr>
        <w:t>:</w:t>
      </w:r>
    </w:p>
    <w:p w:rsidR="00AF36A4" w:rsidRDefault="00CE3862">
      <w:pPr>
        <w:pStyle w:val="BodyText"/>
        <w:spacing w:before="1"/>
        <w:ind w:left="1080"/>
      </w:pPr>
      <w:r>
        <w:t>International</w:t>
      </w:r>
      <w:r>
        <w:rPr>
          <w:spacing w:val="-3"/>
        </w:rPr>
        <w:t xml:space="preserve"> </w:t>
      </w:r>
      <w:r>
        <w:t>relations,</w:t>
      </w:r>
      <w:r>
        <w:rPr>
          <w:spacing w:val="-4"/>
        </w:rPr>
        <w:t xml:space="preserve"> </w:t>
      </w:r>
      <w:r>
        <w:t>EU</w:t>
      </w:r>
      <w:r>
        <w:rPr>
          <w:spacing w:val="-8"/>
        </w:rPr>
        <w:t xml:space="preserve"> </w:t>
      </w:r>
      <w:r>
        <w:t>studies,</w:t>
      </w:r>
      <w:r>
        <w:rPr>
          <w:spacing w:val="-6"/>
        </w:rPr>
        <w:t xml:space="preserve"> </w:t>
      </w:r>
      <w:r>
        <w:t>Public</w:t>
      </w:r>
      <w:r>
        <w:rPr>
          <w:spacing w:val="-6"/>
        </w:rPr>
        <w:t xml:space="preserve"> </w:t>
      </w:r>
      <w:r>
        <w:t>relations,</w:t>
      </w:r>
      <w:r>
        <w:rPr>
          <w:spacing w:val="-3"/>
        </w:rPr>
        <w:t xml:space="preserve"> </w:t>
      </w:r>
      <w:r>
        <w:rPr>
          <w:spacing w:val="-2"/>
        </w:rPr>
        <w:t>communication</w:t>
      </w:r>
    </w:p>
    <w:p w:rsidR="00AF36A4" w:rsidRDefault="00AF36A4">
      <w:pPr>
        <w:pStyle w:val="BodyText"/>
        <w:rPr>
          <w:sz w:val="24"/>
        </w:rPr>
      </w:pPr>
    </w:p>
    <w:p w:rsidR="00AF36A4" w:rsidRDefault="00AF36A4">
      <w:pPr>
        <w:pStyle w:val="BodyText"/>
        <w:rPr>
          <w:sz w:val="20"/>
        </w:rPr>
      </w:pPr>
    </w:p>
    <w:p w:rsidR="00AF36A4" w:rsidRDefault="00CE3862">
      <w:pPr>
        <w:pStyle w:val="BodyText"/>
        <w:ind w:left="1080"/>
      </w:pPr>
      <w:r>
        <w:rPr>
          <w:u w:val="single"/>
        </w:rPr>
        <w:t>Professional</w:t>
      </w:r>
      <w:r>
        <w:rPr>
          <w:spacing w:val="-4"/>
          <w:u w:val="single"/>
        </w:rPr>
        <w:t xml:space="preserve"> </w:t>
      </w:r>
      <w:r>
        <w:rPr>
          <w:spacing w:val="-2"/>
          <w:u w:val="single"/>
        </w:rPr>
        <w:t>experience</w:t>
      </w:r>
    </w:p>
    <w:p w:rsidR="00AF36A4" w:rsidRDefault="00AF36A4">
      <w:pPr>
        <w:pStyle w:val="BodyText"/>
        <w:spacing w:before="1"/>
        <w:rPr>
          <w:sz w:val="14"/>
        </w:rPr>
      </w:pPr>
    </w:p>
    <w:p w:rsidR="00AF36A4" w:rsidRDefault="00CE3862">
      <w:pPr>
        <w:pStyle w:val="BodyText"/>
        <w:spacing w:before="92"/>
        <w:ind w:left="1080"/>
      </w:pPr>
      <w:r>
        <w:rPr>
          <w:u w:val="single"/>
        </w:rPr>
        <w:t>Experience</w:t>
      </w:r>
      <w:r>
        <w:rPr>
          <w:spacing w:val="-6"/>
          <w:u w:val="single"/>
        </w:rPr>
        <w:t xml:space="preserve"> </w:t>
      </w:r>
      <w:r>
        <w:rPr>
          <w:u w:val="single"/>
        </w:rPr>
        <w:t>in</w:t>
      </w:r>
      <w:r>
        <w:rPr>
          <w:spacing w:val="-4"/>
          <w:u w:val="single"/>
        </w:rPr>
        <w:t xml:space="preserve"> </w:t>
      </w:r>
      <w:r>
        <w:rPr>
          <w:u w:val="single"/>
        </w:rPr>
        <w:t>public</w:t>
      </w:r>
      <w:r>
        <w:rPr>
          <w:spacing w:val="-6"/>
          <w:u w:val="single"/>
        </w:rPr>
        <w:t xml:space="preserve"> </w:t>
      </w:r>
      <w:r>
        <w:rPr>
          <w:u w:val="single"/>
        </w:rPr>
        <w:t>diplomacy</w:t>
      </w:r>
      <w:r>
        <w:rPr>
          <w:spacing w:val="-6"/>
          <w:u w:val="single"/>
        </w:rPr>
        <w:t xml:space="preserve"> </w:t>
      </w:r>
      <w:r>
        <w:rPr>
          <w:u w:val="single"/>
        </w:rPr>
        <w:t>or</w:t>
      </w:r>
      <w:r>
        <w:rPr>
          <w:spacing w:val="-4"/>
          <w:u w:val="single"/>
        </w:rPr>
        <w:t xml:space="preserve"> </w:t>
      </w:r>
      <w:r>
        <w:rPr>
          <w:u w:val="single"/>
        </w:rPr>
        <w:t>in</w:t>
      </w:r>
      <w:r>
        <w:rPr>
          <w:spacing w:val="-4"/>
          <w:u w:val="single"/>
        </w:rPr>
        <w:t xml:space="preserve"> </w:t>
      </w:r>
      <w:r>
        <w:rPr>
          <w:u w:val="single"/>
        </w:rPr>
        <w:t>EU</w:t>
      </w:r>
      <w:r>
        <w:rPr>
          <w:spacing w:val="-5"/>
          <w:u w:val="single"/>
        </w:rPr>
        <w:t xml:space="preserve"> </w:t>
      </w:r>
      <w:r>
        <w:rPr>
          <w:u w:val="single"/>
        </w:rPr>
        <w:t>relations/co-</w:t>
      </w:r>
      <w:r>
        <w:rPr>
          <w:spacing w:val="-2"/>
          <w:u w:val="single"/>
        </w:rPr>
        <w:t>ordination</w:t>
      </w:r>
    </w:p>
    <w:p w:rsidR="00AF36A4" w:rsidRDefault="00AF36A4">
      <w:pPr>
        <w:pStyle w:val="BodyText"/>
        <w:rPr>
          <w:sz w:val="20"/>
        </w:rPr>
      </w:pPr>
    </w:p>
    <w:p w:rsidR="00AF36A4" w:rsidRDefault="00CE3862">
      <w:pPr>
        <w:pStyle w:val="BodyText"/>
        <w:spacing w:before="92"/>
        <w:ind w:left="1080"/>
      </w:pPr>
      <w:r>
        <w:rPr>
          <w:u w:val="single"/>
        </w:rPr>
        <w:t>Language(s)</w:t>
      </w:r>
      <w:r>
        <w:rPr>
          <w:spacing w:val="-3"/>
          <w:u w:val="single"/>
        </w:rPr>
        <w:t xml:space="preserve"> </w:t>
      </w:r>
      <w:r>
        <w:rPr>
          <w:u w:val="single"/>
        </w:rPr>
        <w:t>necessary</w:t>
      </w:r>
      <w:r>
        <w:rPr>
          <w:spacing w:val="-6"/>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AF36A4" w:rsidRDefault="00AF36A4">
      <w:pPr>
        <w:pStyle w:val="BodyText"/>
        <w:rPr>
          <w:sz w:val="14"/>
        </w:rPr>
      </w:pPr>
    </w:p>
    <w:p w:rsidR="00AF36A4" w:rsidRDefault="00CE3862">
      <w:pPr>
        <w:pStyle w:val="BodyText"/>
        <w:spacing w:before="92"/>
        <w:ind w:left="1080"/>
      </w:pPr>
      <w:r>
        <w:rPr>
          <w:u w:val="single"/>
        </w:rPr>
        <w:t>English</w:t>
      </w:r>
      <w:r>
        <w:rPr>
          <w:spacing w:val="-3"/>
          <w:u w:val="single"/>
        </w:rPr>
        <w:t xml:space="preserve"> </w:t>
      </w:r>
      <w:r>
        <w:rPr>
          <w:u w:val="single"/>
        </w:rPr>
        <w:t>&amp;</w:t>
      </w:r>
      <w:r>
        <w:rPr>
          <w:spacing w:val="-3"/>
          <w:u w:val="single"/>
        </w:rPr>
        <w:t xml:space="preserve"> </w:t>
      </w:r>
      <w:r>
        <w:rPr>
          <w:u w:val="single"/>
        </w:rPr>
        <w:t>French,</w:t>
      </w:r>
      <w:r>
        <w:rPr>
          <w:spacing w:val="-3"/>
          <w:u w:val="single"/>
        </w:rPr>
        <w:t xml:space="preserve"> </w:t>
      </w:r>
      <w:r>
        <w:rPr>
          <w:u w:val="single"/>
        </w:rPr>
        <w:t>other</w:t>
      </w:r>
      <w:r>
        <w:rPr>
          <w:spacing w:val="-4"/>
          <w:u w:val="single"/>
        </w:rPr>
        <w:t xml:space="preserve"> </w:t>
      </w:r>
      <w:r>
        <w:rPr>
          <w:u w:val="single"/>
        </w:rPr>
        <w:t>(also</w:t>
      </w:r>
      <w:r>
        <w:rPr>
          <w:spacing w:val="-2"/>
          <w:u w:val="single"/>
        </w:rPr>
        <w:t xml:space="preserve"> </w:t>
      </w:r>
      <w:r>
        <w:rPr>
          <w:u w:val="single"/>
        </w:rPr>
        <w:t>non-European)</w:t>
      </w:r>
      <w:r>
        <w:rPr>
          <w:spacing w:val="-3"/>
          <w:u w:val="single"/>
        </w:rPr>
        <w:t xml:space="preserve"> </w:t>
      </w:r>
      <w:r>
        <w:rPr>
          <w:u w:val="single"/>
        </w:rPr>
        <w:t>languages</w:t>
      </w:r>
      <w:r>
        <w:rPr>
          <w:spacing w:val="-2"/>
          <w:u w:val="single"/>
        </w:rPr>
        <w:t xml:space="preserve"> </w:t>
      </w:r>
      <w:r>
        <w:rPr>
          <w:u w:val="single"/>
        </w:rPr>
        <w:t>would</w:t>
      </w:r>
      <w:r>
        <w:rPr>
          <w:spacing w:val="49"/>
          <w:u w:val="single"/>
        </w:rPr>
        <w:t xml:space="preserve"> </w:t>
      </w:r>
      <w:r>
        <w:rPr>
          <w:u w:val="single"/>
        </w:rPr>
        <w:t>be</w:t>
      </w:r>
      <w:r>
        <w:rPr>
          <w:spacing w:val="-2"/>
          <w:u w:val="single"/>
        </w:rPr>
        <w:t xml:space="preserve"> </w:t>
      </w:r>
      <w:r>
        <w:rPr>
          <w:u w:val="single"/>
        </w:rPr>
        <w:t>an</w:t>
      </w:r>
      <w:r>
        <w:rPr>
          <w:spacing w:val="-5"/>
          <w:u w:val="single"/>
        </w:rPr>
        <w:t xml:space="preserve"> </w:t>
      </w:r>
      <w:r>
        <w:rPr>
          <w:spacing w:val="-2"/>
          <w:u w:val="single"/>
        </w:rPr>
        <w:t>asset</w:t>
      </w:r>
    </w:p>
    <w:p w:rsidR="00AF36A4" w:rsidRDefault="00AF36A4">
      <w:pPr>
        <w:pStyle w:val="BodyText"/>
        <w:rPr>
          <w:sz w:val="20"/>
        </w:rPr>
      </w:pPr>
    </w:p>
    <w:p w:rsidR="00AF36A4" w:rsidRDefault="00AF36A4">
      <w:pPr>
        <w:pStyle w:val="BodyText"/>
        <w:spacing w:before="7"/>
        <w:rPr>
          <w:sz w:val="16"/>
        </w:rPr>
      </w:pPr>
    </w:p>
    <w:p w:rsidR="00AF36A4" w:rsidRDefault="00CE3862">
      <w:pPr>
        <w:pStyle w:val="ListParagraph"/>
        <w:numPr>
          <w:ilvl w:val="0"/>
          <w:numId w:val="6"/>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AF36A4" w:rsidRDefault="00AF36A4">
      <w:pPr>
        <w:pStyle w:val="BodyText"/>
        <w:spacing w:before="6"/>
        <w:rPr>
          <w:b/>
          <w:sz w:val="15"/>
        </w:rPr>
      </w:pPr>
    </w:p>
    <w:p w:rsidR="00AF36A4" w:rsidRDefault="00CE3862">
      <w:pPr>
        <w:spacing w:before="92"/>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w:t>
      </w:r>
      <w:r>
        <w:t xml:space="preserve"> deadline fixed by the latter. The CV must mention the date of birth and the nationality of the candidate. </w:t>
      </w:r>
      <w:r>
        <w:rPr>
          <w:b/>
        </w:rPr>
        <w:t>Not respecting this procedure or deadlines will automatically invalidate the application.</w:t>
      </w:r>
    </w:p>
    <w:p w:rsidR="00AF36A4" w:rsidRDefault="00AF36A4">
      <w:pPr>
        <w:pStyle w:val="BodyText"/>
        <w:spacing w:before="1"/>
        <w:rPr>
          <w:b/>
        </w:rPr>
      </w:pPr>
    </w:p>
    <w:p w:rsidR="00AF36A4" w:rsidRDefault="00CE3862">
      <w:pPr>
        <w:pStyle w:val="BodyText"/>
        <w:ind w:left="799" w:right="105"/>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AF36A4" w:rsidRDefault="00CE3862">
      <w:pPr>
        <w:pStyle w:val="BodyText"/>
        <w:ind w:left="799"/>
      </w:pPr>
      <w:r>
        <w:lastRenderedPageBreak/>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AF36A4" w:rsidRDefault="00CE3862">
      <w:pPr>
        <w:pStyle w:val="ListParagraph"/>
        <w:numPr>
          <w:ilvl w:val="0"/>
          <w:numId w:val="6"/>
        </w:numPr>
        <w:tabs>
          <w:tab w:val="left" w:pos="799"/>
          <w:tab w:val="left" w:pos="800"/>
        </w:tabs>
        <w:spacing w:before="5"/>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AF36A4" w:rsidRDefault="00AF36A4">
      <w:pPr>
        <w:pStyle w:val="BodyText"/>
        <w:spacing w:before="6"/>
        <w:rPr>
          <w:b/>
          <w:sz w:val="15"/>
        </w:rPr>
      </w:pPr>
    </w:p>
    <w:p w:rsidR="00AF36A4" w:rsidRDefault="00CE3862">
      <w:pPr>
        <w:pStyle w:val="BodyText"/>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 This decision is availa</w:t>
      </w:r>
      <w:r>
        <w:t xml:space="preserve">ble on </w:t>
      </w:r>
      <w:hyperlink r:id="rId11">
        <w:r>
          <w:rPr>
            <w:color w:val="0000FF"/>
            <w:u w:val="single" w:color="0000FF"/>
          </w:rPr>
          <w:t>http://ec.europa.eu/civil_service/job/sne/index_en.htm</w:t>
        </w:r>
      </w:hyperlink>
      <w:r>
        <w:t>.</w:t>
      </w:r>
    </w:p>
    <w:p w:rsidR="00AF36A4" w:rsidRDefault="00CE3862">
      <w:pPr>
        <w:pStyle w:val="BodyText"/>
        <w:spacing w:before="2"/>
        <w:ind w:left="799" w:right="287"/>
        <w:jc w:val="both"/>
      </w:pPr>
      <w:r>
        <w:t xml:space="preserve">The SNE will remain employed and remunerated by his/her employer during the </w:t>
      </w:r>
      <w:proofErr w:type="spellStart"/>
      <w:r>
        <w:t>secondment</w:t>
      </w:r>
      <w:proofErr w:type="spellEnd"/>
      <w:r>
        <w:t>. He/she will equally remain cove</w:t>
      </w:r>
      <w:r>
        <w:t>red by the national social security system.</w:t>
      </w:r>
    </w:p>
    <w:p w:rsidR="00AF36A4" w:rsidRDefault="00CE3862">
      <w:pPr>
        <w:pStyle w:val="BodyText"/>
        <w:spacing w:line="242" w:lineRule="auto"/>
        <w:ind w:left="799" w:right="279"/>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AF36A4" w:rsidRDefault="00AF36A4">
      <w:pPr>
        <w:pStyle w:val="BodyText"/>
        <w:spacing w:before="6"/>
        <w:rPr>
          <w:sz w:val="21"/>
        </w:rPr>
      </w:pPr>
    </w:p>
    <w:p w:rsidR="00AF36A4" w:rsidRDefault="00CE3862">
      <w:pPr>
        <w:pStyle w:val="BodyText"/>
        <w:spacing w:before="1"/>
        <w:ind w:left="799" w:right="290"/>
        <w:jc w:val="both"/>
      </w:pPr>
      <w:r>
        <w:t xml:space="preserve">During the </w:t>
      </w:r>
      <w:proofErr w:type="spellStart"/>
      <w:r>
        <w:t>secondment</w:t>
      </w:r>
      <w:proofErr w:type="spellEnd"/>
      <w:r>
        <w:t>, SNE are subject to confidentiality, loya</w:t>
      </w:r>
      <w:r>
        <w:t xml:space="preserve">lty and absence of conflict of interest obligations, as provided for in Art. </w:t>
      </w:r>
      <w:proofErr w:type="gramStart"/>
      <w:r>
        <w:t>6</w:t>
      </w:r>
      <w:proofErr w:type="gramEnd"/>
      <w:r>
        <w:t xml:space="preserve"> and 7 of the SNE Decision.</w:t>
      </w:r>
    </w:p>
    <w:p w:rsidR="00AF36A4" w:rsidRDefault="00CE3862">
      <w:pPr>
        <w:pStyle w:val="BodyText"/>
        <w:spacing w:line="251" w:lineRule="exact"/>
        <w:ind w:left="799"/>
        <w:jc w:val="both"/>
      </w:pPr>
      <w:r>
        <w:t>If</w:t>
      </w:r>
      <w:r>
        <w:rPr>
          <w:spacing w:val="-5"/>
        </w:rPr>
        <w:t xml:space="preserve"> </w:t>
      </w:r>
      <w:r>
        <w:t>any</w:t>
      </w:r>
      <w:r>
        <w:rPr>
          <w:spacing w:val="-5"/>
        </w:rPr>
        <w:t xml:space="preserve"> </w:t>
      </w:r>
      <w:r>
        <w:t>document</w:t>
      </w:r>
      <w:r>
        <w:rPr>
          <w:spacing w:val="-1"/>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2"/>
        </w:rPr>
        <w:t xml:space="preserve"> </w:t>
      </w:r>
      <w:r>
        <w:t>the</w:t>
      </w:r>
      <w:r>
        <w:rPr>
          <w:spacing w:val="-5"/>
        </w:rPr>
        <w:t xml:space="preserve"> </w:t>
      </w:r>
      <w:r>
        <w:t>application</w:t>
      </w:r>
      <w:r>
        <w:rPr>
          <w:spacing w:val="-2"/>
        </w:rPr>
        <w:t xml:space="preserve"> </w:t>
      </w:r>
      <w:proofErr w:type="gramStart"/>
      <w:r>
        <w:t>may</w:t>
      </w:r>
      <w:r>
        <w:rPr>
          <w:spacing w:val="-5"/>
        </w:rPr>
        <w:t xml:space="preserve"> </w:t>
      </w:r>
      <w:r>
        <w:t>be</w:t>
      </w:r>
      <w:r>
        <w:rPr>
          <w:spacing w:val="-2"/>
        </w:rPr>
        <w:t xml:space="preserve"> cancelled</w:t>
      </w:r>
      <w:proofErr w:type="gramEnd"/>
      <w:r>
        <w:rPr>
          <w:spacing w:val="-2"/>
        </w:rPr>
        <w:t>.</w:t>
      </w:r>
    </w:p>
    <w:p w:rsidR="00AF36A4" w:rsidRDefault="00AF36A4">
      <w:pPr>
        <w:pStyle w:val="BodyText"/>
      </w:pPr>
    </w:p>
    <w:p w:rsidR="00AF36A4" w:rsidRDefault="00CE3862">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AF36A4" w:rsidRDefault="00CE3862">
      <w:pPr>
        <w:pStyle w:val="BodyText"/>
        <w:ind w:left="799" w:right="116"/>
        <w:jc w:val="both"/>
      </w:pPr>
      <w:r>
        <w:t>The selected candidate has the obligation to launch the vetting procedure befo</w:t>
      </w:r>
      <w:r>
        <w:t xml:space="preserve">re getting the </w:t>
      </w:r>
      <w:proofErr w:type="spellStart"/>
      <w:r>
        <w:t>secondment</w:t>
      </w:r>
      <w:proofErr w:type="spellEnd"/>
      <w:r>
        <w:t xml:space="preserve"> </w:t>
      </w:r>
      <w:r>
        <w:rPr>
          <w:spacing w:val="-2"/>
        </w:rPr>
        <w:t>confirmation.</w:t>
      </w:r>
    </w:p>
    <w:p w:rsidR="00AF36A4" w:rsidRDefault="00AF36A4">
      <w:pPr>
        <w:pStyle w:val="BodyText"/>
        <w:spacing w:before="6"/>
        <w:rPr>
          <w:sz w:val="24"/>
        </w:rPr>
      </w:pPr>
    </w:p>
    <w:p w:rsidR="00AF36A4" w:rsidRDefault="00CE3862">
      <w:pPr>
        <w:pStyle w:val="ListParagraph"/>
        <w:numPr>
          <w:ilvl w:val="0"/>
          <w:numId w:val="6"/>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AF36A4" w:rsidRDefault="00AF36A4">
      <w:pPr>
        <w:pStyle w:val="BodyText"/>
        <w:spacing w:before="6"/>
        <w:rPr>
          <w:b/>
          <w:sz w:val="15"/>
        </w:rPr>
      </w:pPr>
    </w:p>
    <w:p w:rsidR="00AF36A4" w:rsidRDefault="00CE3862" w:rsidP="00CE3862">
      <w:pPr>
        <w:pStyle w:val="BodyText"/>
        <w:spacing w:before="92"/>
        <w:ind w:left="799" w:right="105"/>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w:t>
      </w:r>
      <w:r>
        <w:rPr>
          <w:spacing w:val="31"/>
        </w:rPr>
        <w:t xml:space="preserve"> </w:t>
      </w:r>
      <w:r>
        <w:t>competent</w:t>
      </w:r>
      <w:r>
        <w:rPr>
          <w:spacing w:val="34"/>
        </w:rPr>
        <w:t xml:space="preserve"> </w:t>
      </w:r>
      <w:r>
        <w:t>services</w:t>
      </w:r>
      <w:r>
        <w:rPr>
          <w:spacing w:val="33"/>
        </w:rPr>
        <w:t xml:space="preserve"> </w:t>
      </w:r>
      <w:r>
        <w:t>of</w:t>
      </w:r>
      <w:r>
        <w:rPr>
          <w:spacing w:val="33"/>
        </w:rPr>
        <w:t xml:space="preserve"> </w:t>
      </w:r>
      <w:r>
        <w:t>DG</w:t>
      </w:r>
      <w:r>
        <w:rPr>
          <w:spacing w:val="34"/>
        </w:rPr>
        <w:t xml:space="preserve"> </w:t>
      </w:r>
      <w:r>
        <w:t>HR,</w:t>
      </w:r>
      <w:r>
        <w:rPr>
          <w:spacing w:val="34"/>
        </w:rPr>
        <w:t xml:space="preserve"> </w:t>
      </w:r>
      <w:r>
        <w:t>DG</w:t>
      </w:r>
      <w:r>
        <w:rPr>
          <w:spacing w:val="34"/>
        </w:rPr>
        <w:t xml:space="preserve"> </w:t>
      </w:r>
      <w:r>
        <w:t>BUDG,</w:t>
      </w:r>
      <w:r>
        <w:rPr>
          <w:spacing w:val="35"/>
        </w:rPr>
        <w:t xml:space="preserve"> </w:t>
      </w:r>
      <w:r>
        <w:t>PMO</w:t>
      </w:r>
      <w:r>
        <w:rPr>
          <w:spacing w:val="34"/>
        </w:rPr>
        <w:t xml:space="preserve"> </w:t>
      </w:r>
      <w:r>
        <w:t>and</w:t>
      </w:r>
      <w:r>
        <w:rPr>
          <w:spacing w:val="33"/>
        </w:rPr>
        <w:t xml:space="preserve"> </w:t>
      </w:r>
      <w:r>
        <w:t>the</w:t>
      </w:r>
      <w:r>
        <w:rPr>
          <w:spacing w:val="35"/>
        </w:rPr>
        <w:t xml:space="preserve"> </w:t>
      </w:r>
      <w:r>
        <w:t>DG</w:t>
      </w:r>
      <w:r>
        <w:rPr>
          <w:spacing w:val="31"/>
        </w:rPr>
        <w:t xml:space="preserve"> </w:t>
      </w:r>
      <w:r>
        <w:t>concerned)</w:t>
      </w:r>
      <w:r>
        <w:rPr>
          <w:spacing w:val="33"/>
        </w:rPr>
        <w:t xml:space="preserve"> </w:t>
      </w:r>
      <w:r>
        <w:t>to</w:t>
      </w:r>
      <w:r>
        <w:rPr>
          <w:spacing w:val="32"/>
        </w:rPr>
        <w:t xml:space="preserve"> </w:t>
      </w:r>
      <w:r>
        <w:t>process</w:t>
      </w:r>
      <w:r>
        <w:rPr>
          <w:spacing w:val="33"/>
        </w:rPr>
        <w:t xml:space="preserve"> </w:t>
      </w:r>
      <w:r>
        <w:t>personal</w:t>
      </w:r>
      <w:r>
        <w:rPr>
          <w:spacing w:val="34"/>
        </w:rPr>
        <w:t xml:space="preserve"> </w:t>
      </w:r>
      <w:r>
        <w:rPr>
          <w:spacing w:val="-4"/>
        </w:rPr>
        <w:t xml:space="preserve">data </w:t>
      </w:r>
      <w:bookmarkStart w:id="0" w:name="_GoBack"/>
      <w:bookmarkEnd w:id="0"/>
      <w:r>
        <w:t>c</w:t>
      </w:r>
      <w:r>
        <w:t>oncerning the person to be seconded, under the responsibility of the Head of Unit of DG HR.DDG.B4. The data processing is subject to the SNE Decision as well as the Regulation (EU) 2018/1725.</w:t>
      </w:r>
    </w:p>
    <w:p w:rsidR="00AF36A4" w:rsidRDefault="00CE3862">
      <w:pPr>
        <w:pStyle w:val="BodyText"/>
        <w:spacing w:before="1"/>
        <w:ind w:left="799" w:right="291"/>
        <w:jc w:val="both"/>
      </w:pPr>
      <w:r>
        <w:t xml:space="preserve">Data </w:t>
      </w:r>
      <w:proofErr w:type="gramStart"/>
      <w:r>
        <w:t>is kept</w:t>
      </w:r>
      <w:proofErr w:type="gramEnd"/>
      <w:r>
        <w:t xml:space="preserve"> by the competent s</w:t>
      </w:r>
      <w:r>
        <w:t xml:space="preserve">ervices for 10 years after the </w:t>
      </w:r>
      <w:proofErr w:type="spellStart"/>
      <w:r>
        <w:t>secondment</w:t>
      </w:r>
      <w:proofErr w:type="spellEnd"/>
      <w:r>
        <w:t xml:space="preserve"> (2 years for not selected or not seconded experts).</w:t>
      </w:r>
    </w:p>
    <w:p w:rsidR="00AF36A4" w:rsidRDefault="00CE3862">
      <w:pPr>
        <w:pStyle w:val="BodyText"/>
        <w:ind w:left="799" w:right="284"/>
        <w:jc w:val="both"/>
      </w:pPr>
      <w:r>
        <w:t>You have specific rights as a ‘data subject’ under Chapter III (Articles 14-25) of Regulation (EU)</w:t>
      </w:r>
      <w:r>
        <w:rPr>
          <w:spacing w:val="40"/>
        </w:rPr>
        <w:t xml:space="preserve"> </w:t>
      </w:r>
      <w:r>
        <w:t xml:space="preserve">2018/1725, in particular the right to access, rectify or erase </w:t>
      </w:r>
      <w:r>
        <w:t>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AF36A4" w:rsidRDefault="00CE3862">
      <w:pPr>
        <w:pStyle w:val="BodyText"/>
        <w:spacing w:before="1"/>
        <w:ind w:left="799" w:right="283"/>
        <w:jc w:val="both"/>
      </w:pPr>
      <w:r>
        <w:t>You can exercise your rights by contacting the Data Controller, or in</w:t>
      </w:r>
      <w:r>
        <w:t xml:space="preserve"> case of conflict the Data Protection Officer. If necessary, you can also address the European Data Protection Supervisor. Their contact information </w:t>
      </w:r>
      <w:proofErr w:type="gramStart"/>
      <w:r>
        <w:t>is given</w:t>
      </w:r>
      <w:proofErr w:type="gramEnd"/>
      <w:r>
        <w:t xml:space="preserve"> below.</w:t>
      </w:r>
    </w:p>
    <w:p w:rsidR="00AF36A4" w:rsidRDefault="00AF36A4">
      <w:pPr>
        <w:pStyle w:val="BodyText"/>
        <w:spacing w:before="3"/>
      </w:pPr>
    </w:p>
    <w:p w:rsidR="00AF36A4" w:rsidRDefault="00CE3862">
      <w:pPr>
        <w:pStyle w:val="Heading1"/>
        <w:ind w:left="799" w:firstLine="0"/>
      </w:pPr>
      <w:r>
        <w:rPr>
          <w:u w:val="single"/>
        </w:rPr>
        <w:t>Contact</w:t>
      </w:r>
      <w:r>
        <w:rPr>
          <w:spacing w:val="-4"/>
          <w:u w:val="single"/>
        </w:rPr>
        <w:t xml:space="preserve"> </w:t>
      </w:r>
      <w:r>
        <w:rPr>
          <w:spacing w:val="-2"/>
          <w:u w:val="single"/>
        </w:rPr>
        <w:t>information</w:t>
      </w:r>
    </w:p>
    <w:p w:rsidR="00AF36A4" w:rsidRDefault="00AF36A4">
      <w:pPr>
        <w:pStyle w:val="BodyText"/>
        <w:spacing w:before="2"/>
        <w:rPr>
          <w:b/>
        </w:rPr>
      </w:pPr>
    </w:p>
    <w:p w:rsidR="00AF36A4" w:rsidRDefault="00CE3862">
      <w:pPr>
        <w:pStyle w:val="ListParagraph"/>
        <w:numPr>
          <w:ilvl w:val="0"/>
          <w:numId w:val="2"/>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AF36A4" w:rsidRDefault="00CE3862">
      <w:pPr>
        <w:pStyle w:val="BodyText"/>
        <w:spacing w:before="33"/>
        <w:ind w:left="1080" w:right="281"/>
        <w:jc w:val="both"/>
      </w:pPr>
      <w:r>
        <w:t>If you would like to exercise your rights under R</w:t>
      </w:r>
      <w:r>
        <w:t>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B4@ec.europa.eu</w:t>
        </w:r>
        <w:r>
          <w:rPr>
            <w:spacing w:val="-2"/>
          </w:rPr>
          <w:t>.</w:t>
        </w:r>
      </w:hyperlink>
    </w:p>
    <w:p w:rsidR="00AF36A4" w:rsidRDefault="00AF36A4">
      <w:pPr>
        <w:pStyle w:val="BodyText"/>
        <w:spacing w:before="6"/>
      </w:pPr>
    </w:p>
    <w:p w:rsidR="00AF36A4" w:rsidRDefault="00CE3862">
      <w:pPr>
        <w:pStyle w:val="Heading1"/>
        <w:numPr>
          <w:ilvl w:val="0"/>
          <w:numId w:val="2"/>
        </w:numPr>
        <w:tabs>
          <w:tab w:val="left" w:pos="1081"/>
        </w:tabs>
        <w:ind w:hanging="284"/>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AF36A4" w:rsidRDefault="00CE3862">
      <w:pPr>
        <w:pStyle w:val="BodyText"/>
        <w:spacing w:before="32"/>
        <w:ind w:left="1080" w:right="280"/>
        <w:jc w:val="both"/>
      </w:pPr>
      <w:r>
        <w:t>You may contact the Data Protection Officer (</w:t>
      </w:r>
      <w:hyperlink r:id="rId14">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AF36A4" w:rsidRDefault="00AF36A4">
      <w:pPr>
        <w:pStyle w:val="BodyText"/>
        <w:spacing w:before="5"/>
      </w:pPr>
    </w:p>
    <w:p w:rsidR="00AF36A4" w:rsidRDefault="00CE3862">
      <w:pPr>
        <w:pStyle w:val="Heading1"/>
        <w:numPr>
          <w:ilvl w:val="0"/>
          <w:numId w:val="2"/>
        </w:numPr>
        <w:tabs>
          <w:tab w:val="left" w:pos="1081"/>
        </w:tabs>
        <w:spacing w:before="1"/>
        <w:ind w:hanging="284"/>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AF36A4" w:rsidRDefault="00CE3862">
      <w:pPr>
        <w:pStyle w:val="BodyText"/>
        <w:spacing w:before="32"/>
        <w:ind w:left="1080" w:right="283"/>
        <w:jc w:val="both"/>
      </w:pPr>
      <w:r>
        <w:pict>
          <v:rect id="docshape3" o:spid="_x0000_s1026" style="position:absolute;left:0;text-align:left;margin-left:230.35pt;margin-top:25.7pt;width:3.7pt;height:.5pt;z-index:-15839744;mso-position-horizontal-relative:page" fillcolor="black" stroked="f">
            <w10:wrap anchorx="page"/>
          </v:rect>
        </w:pict>
      </w:r>
      <w:r>
        <w:t>You h</w:t>
      </w:r>
      <w:r>
        <w:t>ave the right to have recourse (i.e. you can lodge a complaint) to the European Data Protection Supervisor</w:t>
      </w:r>
      <w:r>
        <w:rPr>
          <w:u w:val="single"/>
        </w:rPr>
        <w:t xml:space="preserve"> (</w:t>
      </w:r>
      <w:hyperlink r:id="rId15">
        <w:r>
          <w:rPr>
            <w:color w:val="0000FF"/>
            <w:u w:val="single" w:color="000000"/>
          </w:rPr>
          <w:t>edps@edps.europa.eu</w:t>
        </w:r>
      </w:hyperlink>
      <w:r>
        <w:t>) if you consider that your rights under Regulation (EU) 2018/1725 have been infrin</w:t>
      </w:r>
      <w:r>
        <w:t xml:space="preserve">ged </w:t>
      </w:r>
      <w:proofErr w:type="gramStart"/>
      <w:r>
        <w:t>as a result</w:t>
      </w:r>
      <w:proofErr w:type="gramEnd"/>
      <w:r>
        <w:t xml:space="preserve"> of the processing of your personal data by the Data Controller.</w:t>
      </w:r>
    </w:p>
    <w:p w:rsidR="00AF36A4" w:rsidRDefault="00CE3862">
      <w:pPr>
        <w:pStyle w:val="BodyText"/>
        <w:ind w:left="1080"/>
        <w:jc w:val="both"/>
      </w:pPr>
      <w:r>
        <w:t>To</w:t>
      </w:r>
      <w:r>
        <w:rPr>
          <w:spacing w:val="-8"/>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3"/>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AF36A4">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3862">
      <w:r>
        <w:separator/>
      </w:r>
    </w:p>
  </w:endnote>
  <w:endnote w:type="continuationSeparator" w:id="0">
    <w:p w:rsidR="00000000" w:rsidRDefault="00CE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A4" w:rsidRDefault="00CE386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AF36A4" w:rsidRDefault="00CE3862">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3862">
      <w:r>
        <w:separator/>
      </w:r>
    </w:p>
  </w:footnote>
  <w:footnote w:type="continuationSeparator" w:id="0">
    <w:p w:rsidR="00000000" w:rsidRDefault="00CE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49F4"/>
    <w:multiLevelType w:val="hybridMultilevel"/>
    <w:tmpl w:val="BBDC7728"/>
    <w:lvl w:ilvl="0" w:tplc="D5EC71CA">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B6264A4C">
      <w:numFmt w:val="bullet"/>
      <w:lvlText w:val="•"/>
      <w:lvlJc w:val="left"/>
      <w:pPr>
        <w:ind w:left="2040" w:hanging="281"/>
      </w:pPr>
      <w:rPr>
        <w:rFonts w:hint="default"/>
        <w:lang w:val="en-US" w:eastAsia="en-US" w:bidi="ar-SA"/>
      </w:rPr>
    </w:lvl>
    <w:lvl w:ilvl="2" w:tplc="AC2C8648">
      <w:numFmt w:val="bullet"/>
      <w:lvlText w:val="•"/>
      <w:lvlJc w:val="left"/>
      <w:pPr>
        <w:ind w:left="3001" w:hanging="281"/>
      </w:pPr>
      <w:rPr>
        <w:rFonts w:hint="default"/>
        <w:lang w:val="en-US" w:eastAsia="en-US" w:bidi="ar-SA"/>
      </w:rPr>
    </w:lvl>
    <w:lvl w:ilvl="3" w:tplc="E0DE2BB8">
      <w:numFmt w:val="bullet"/>
      <w:lvlText w:val="•"/>
      <w:lvlJc w:val="left"/>
      <w:pPr>
        <w:ind w:left="3961" w:hanging="281"/>
      </w:pPr>
      <w:rPr>
        <w:rFonts w:hint="default"/>
        <w:lang w:val="en-US" w:eastAsia="en-US" w:bidi="ar-SA"/>
      </w:rPr>
    </w:lvl>
    <w:lvl w:ilvl="4" w:tplc="7E7A925E">
      <w:numFmt w:val="bullet"/>
      <w:lvlText w:val="•"/>
      <w:lvlJc w:val="left"/>
      <w:pPr>
        <w:ind w:left="4922" w:hanging="281"/>
      </w:pPr>
      <w:rPr>
        <w:rFonts w:hint="default"/>
        <w:lang w:val="en-US" w:eastAsia="en-US" w:bidi="ar-SA"/>
      </w:rPr>
    </w:lvl>
    <w:lvl w:ilvl="5" w:tplc="A9C8E868">
      <w:numFmt w:val="bullet"/>
      <w:lvlText w:val="•"/>
      <w:lvlJc w:val="left"/>
      <w:pPr>
        <w:ind w:left="5883" w:hanging="281"/>
      </w:pPr>
      <w:rPr>
        <w:rFonts w:hint="default"/>
        <w:lang w:val="en-US" w:eastAsia="en-US" w:bidi="ar-SA"/>
      </w:rPr>
    </w:lvl>
    <w:lvl w:ilvl="6" w:tplc="698C9B1E">
      <w:numFmt w:val="bullet"/>
      <w:lvlText w:val="•"/>
      <w:lvlJc w:val="left"/>
      <w:pPr>
        <w:ind w:left="6843" w:hanging="281"/>
      </w:pPr>
      <w:rPr>
        <w:rFonts w:hint="default"/>
        <w:lang w:val="en-US" w:eastAsia="en-US" w:bidi="ar-SA"/>
      </w:rPr>
    </w:lvl>
    <w:lvl w:ilvl="7" w:tplc="52281908">
      <w:numFmt w:val="bullet"/>
      <w:lvlText w:val="•"/>
      <w:lvlJc w:val="left"/>
      <w:pPr>
        <w:ind w:left="7804" w:hanging="281"/>
      </w:pPr>
      <w:rPr>
        <w:rFonts w:hint="default"/>
        <w:lang w:val="en-US" w:eastAsia="en-US" w:bidi="ar-SA"/>
      </w:rPr>
    </w:lvl>
    <w:lvl w:ilvl="8" w:tplc="BA5E20C0">
      <w:numFmt w:val="bullet"/>
      <w:lvlText w:val="•"/>
      <w:lvlJc w:val="left"/>
      <w:pPr>
        <w:ind w:left="8765" w:hanging="281"/>
      </w:pPr>
      <w:rPr>
        <w:rFonts w:hint="default"/>
        <w:lang w:val="en-US" w:eastAsia="en-US" w:bidi="ar-SA"/>
      </w:rPr>
    </w:lvl>
  </w:abstractNum>
  <w:abstractNum w:abstractNumId="1" w15:restartNumberingAfterBreak="0">
    <w:nsid w:val="320F241D"/>
    <w:multiLevelType w:val="hybridMultilevel"/>
    <w:tmpl w:val="3666604E"/>
    <w:lvl w:ilvl="0" w:tplc="F6C0A45C">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D728BB00">
      <w:numFmt w:val="bullet"/>
      <w:lvlText w:val="•"/>
      <w:lvlJc w:val="left"/>
      <w:pPr>
        <w:ind w:left="1498" w:hanging="457"/>
      </w:pPr>
      <w:rPr>
        <w:rFonts w:hint="default"/>
        <w:lang w:val="en-US" w:eastAsia="en-US" w:bidi="ar-SA"/>
      </w:rPr>
    </w:lvl>
    <w:lvl w:ilvl="2" w:tplc="85766CFC">
      <w:numFmt w:val="bullet"/>
      <w:lvlText w:val="•"/>
      <w:lvlJc w:val="left"/>
      <w:pPr>
        <w:ind w:left="2437" w:hanging="457"/>
      </w:pPr>
      <w:rPr>
        <w:rFonts w:hint="default"/>
        <w:lang w:val="en-US" w:eastAsia="en-US" w:bidi="ar-SA"/>
      </w:rPr>
    </w:lvl>
    <w:lvl w:ilvl="3" w:tplc="5818ED7A">
      <w:numFmt w:val="bullet"/>
      <w:lvlText w:val="•"/>
      <w:lvlJc w:val="left"/>
      <w:pPr>
        <w:ind w:left="3375" w:hanging="457"/>
      </w:pPr>
      <w:rPr>
        <w:rFonts w:hint="default"/>
        <w:lang w:val="en-US" w:eastAsia="en-US" w:bidi="ar-SA"/>
      </w:rPr>
    </w:lvl>
    <w:lvl w:ilvl="4" w:tplc="EA428770">
      <w:numFmt w:val="bullet"/>
      <w:lvlText w:val="•"/>
      <w:lvlJc w:val="left"/>
      <w:pPr>
        <w:ind w:left="4314" w:hanging="457"/>
      </w:pPr>
      <w:rPr>
        <w:rFonts w:hint="default"/>
        <w:lang w:val="en-US" w:eastAsia="en-US" w:bidi="ar-SA"/>
      </w:rPr>
    </w:lvl>
    <w:lvl w:ilvl="5" w:tplc="7A883254">
      <w:numFmt w:val="bullet"/>
      <w:lvlText w:val="•"/>
      <w:lvlJc w:val="left"/>
      <w:pPr>
        <w:ind w:left="5253" w:hanging="457"/>
      </w:pPr>
      <w:rPr>
        <w:rFonts w:hint="default"/>
        <w:lang w:val="en-US" w:eastAsia="en-US" w:bidi="ar-SA"/>
      </w:rPr>
    </w:lvl>
    <w:lvl w:ilvl="6" w:tplc="4DC8898A">
      <w:numFmt w:val="bullet"/>
      <w:lvlText w:val="•"/>
      <w:lvlJc w:val="left"/>
      <w:pPr>
        <w:ind w:left="6191" w:hanging="457"/>
      </w:pPr>
      <w:rPr>
        <w:rFonts w:hint="default"/>
        <w:lang w:val="en-US" w:eastAsia="en-US" w:bidi="ar-SA"/>
      </w:rPr>
    </w:lvl>
    <w:lvl w:ilvl="7" w:tplc="07DCD02C">
      <w:numFmt w:val="bullet"/>
      <w:lvlText w:val="•"/>
      <w:lvlJc w:val="left"/>
      <w:pPr>
        <w:ind w:left="7130" w:hanging="457"/>
      </w:pPr>
      <w:rPr>
        <w:rFonts w:hint="default"/>
        <w:lang w:val="en-US" w:eastAsia="en-US" w:bidi="ar-SA"/>
      </w:rPr>
    </w:lvl>
    <w:lvl w:ilvl="8" w:tplc="C4A21536">
      <w:numFmt w:val="bullet"/>
      <w:lvlText w:val="•"/>
      <w:lvlJc w:val="left"/>
      <w:pPr>
        <w:ind w:left="8068" w:hanging="457"/>
      </w:pPr>
      <w:rPr>
        <w:rFonts w:hint="default"/>
        <w:lang w:val="en-US" w:eastAsia="en-US" w:bidi="ar-SA"/>
      </w:rPr>
    </w:lvl>
  </w:abstractNum>
  <w:abstractNum w:abstractNumId="2" w15:restartNumberingAfterBreak="0">
    <w:nsid w:val="496033BE"/>
    <w:multiLevelType w:val="hybridMultilevel"/>
    <w:tmpl w:val="6DBAE636"/>
    <w:lvl w:ilvl="0" w:tplc="6C267B36">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1" w:tplc="56C2DA2A">
      <w:numFmt w:val="bullet"/>
      <w:lvlText w:val="•"/>
      <w:lvlJc w:val="left"/>
      <w:pPr>
        <w:ind w:left="1966" w:hanging="276"/>
      </w:pPr>
      <w:rPr>
        <w:rFonts w:hint="default"/>
        <w:lang w:val="en-US" w:eastAsia="en-US" w:bidi="ar-SA"/>
      </w:rPr>
    </w:lvl>
    <w:lvl w:ilvl="2" w:tplc="3A7E487C">
      <w:numFmt w:val="bullet"/>
      <w:lvlText w:val="•"/>
      <w:lvlJc w:val="left"/>
      <w:pPr>
        <w:ind w:left="2853" w:hanging="276"/>
      </w:pPr>
      <w:rPr>
        <w:rFonts w:hint="default"/>
        <w:lang w:val="en-US" w:eastAsia="en-US" w:bidi="ar-SA"/>
      </w:rPr>
    </w:lvl>
    <w:lvl w:ilvl="3" w:tplc="53AC6FAC">
      <w:numFmt w:val="bullet"/>
      <w:lvlText w:val="•"/>
      <w:lvlJc w:val="left"/>
      <w:pPr>
        <w:ind w:left="3739" w:hanging="276"/>
      </w:pPr>
      <w:rPr>
        <w:rFonts w:hint="default"/>
        <w:lang w:val="en-US" w:eastAsia="en-US" w:bidi="ar-SA"/>
      </w:rPr>
    </w:lvl>
    <w:lvl w:ilvl="4" w:tplc="911A3588">
      <w:numFmt w:val="bullet"/>
      <w:lvlText w:val="•"/>
      <w:lvlJc w:val="left"/>
      <w:pPr>
        <w:ind w:left="4626" w:hanging="276"/>
      </w:pPr>
      <w:rPr>
        <w:rFonts w:hint="default"/>
        <w:lang w:val="en-US" w:eastAsia="en-US" w:bidi="ar-SA"/>
      </w:rPr>
    </w:lvl>
    <w:lvl w:ilvl="5" w:tplc="F28A5F6C">
      <w:numFmt w:val="bullet"/>
      <w:lvlText w:val="•"/>
      <w:lvlJc w:val="left"/>
      <w:pPr>
        <w:ind w:left="5513" w:hanging="276"/>
      </w:pPr>
      <w:rPr>
        <w:rFonts w:hint="default"/>
        <w:lang w:val="en-US" w:eastAsia="en-US" w:bidi="ar-SA"/>
      </w:rPr>
    </w:lvl>
    <w:lvl w:ilvl="6" w:tplc="0B46C05A">
      <w:numFmt w:val="bullet"/>
      <w:lvlText w:val="•"/>
      <w:lvlJc w:val="left"/>
      <w:pPr>
        <w:ind w:left="6399" w:hanging="276"/>
      </w:pPr>
      <w:rPr>
        <w:rFonts w:hint="default"/>
        <w:lang w:val="en-US" w:eastAsia="en-US" w:bidi="ar-SA"/>
      </w:rPr>
    </w:lvl>
    <w:lvl w:ilvl="7" w:tplc="DE4222A2">
      <w:numFmt w:val="bullet"/>
      <w:lvlText w:val="•"/>
      <w:lvlJc w:val="left"/>
      <w:pPr>
        <w:ind w:left="7286" w:hanging="276"/>
      </w:pPr>
      <w:rPr>
        <w:rFonts w:hint="default"/>
        <w:lang w:val="en-US" w:eastAsia="en-US" w:bidi="ar-SA"/>
      </w:rPr>
    </w:lvl>
    <w:lvl w:ilvl="8" w:tplc="16A40ACA">
      <w:numFmt w:val="bullet"/>
      <w:lvlText w:val="•"/>
      <w:lvlJc w:val="left"/>
      <w:pPr>
        <w:ind w:left="8172" w:hanging="276"/>
      </w:pPr>
      <w:rPr>
        <w:rFonts w:hint="default"/>
        <w:lang w:val="en-US" w:eastAsia="en-US" w:bidi="ar-SA"/>
      </w:rPr>
    </w:lvl>
  </w:abstractNum>
  <w:abstractNum w:abstractNumId="3" w15:restartNumberingAfterBreak="0">
    <w:nsid w:val="56606FD7"/>
    <w:multiLevelType w:val="hybridMultilevel"/>
    <w:tmpl w:val="BD5AC2C2"/>
    <w:lvl w:ilvl="0" w:tplc="221E6130">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D9A4FA8A">
      <w:numFmt w:val="bullet"/>
      <w:lvlText w:val="•"/>
      <w:lvlJc w:val="left"/>
      <w:pPr>
        <w:ind w:left="372" w:hanging="133"/>
      </w:pPr>
      <w:rPr>
        <w:rFonts w:ascii="Times New Roman" w:eastAsia="Times New Roman" w:hAnsi="Times New Roman" w:cs="Times New Roman" w:hint="default"/>
        <w:b w:val="0"/>
        <w:bCs w:val="0"/>
        <w:i w:val="0"/>
        <w:iCs w:val="0"/>
        <w:w w:val="100"/>
        <w:sz w:val="22"/>
        <w:szCs w:val="22"/>
        <w:lang w:val="en-US" w:eastAsia="en-US" w:bidi="ar-SA"/>
      </w:rPr>
    </w:lvl>
    <w:lvl w:ilvl="2" w:tplc="42B6D248">
      <w:numFmt w:val="bullet"/>
      <w:lvlText w:val="•"/>
      <w:lvlJc w:val="left"/>
      <w:pPr>
        <w:ind w:left="1080" w:hanging="133"/>
      </w:pPr>
      <w:rPr>
        <w:rFonts w:hint="default"/>
        <w:lang w:val="en-US" w:eastAsia="en-US" w:bidi="ar-SA"/>
      </w:rPr>
    </w:lvl>
    <w:lvl w:ilvl="3" w:tplc="90DCC2BE">
      <w:numFmt w:val="bullet"/>
      <w:lvlText w:val="•"/>
      <w:lvlJc w:val="left"/>
      <w:pPr>
        <w:ind w:left="2280" w:hanging="133"/>
      </w:pPr>
      <w:rPr>
        <w:rFonts w:hint="default"/>
        <w:lang w:val="en-US" w:eastAsia="en-US" w:bidi="ar-SA"/>
      </w:rPr>
    </w:lvl>
    <w:lvl w:ilvl="4" w:tplc="6C0A3EA8">
      <w:numFmt w:val="bullet"/>
      <w:lvlText w:val="•"/>
      <w:lvlJc w:val="left"/>
      <w:pPr>
        <w:ind w:left="3481" w:hanging="133"/>
      </w:pPr>
      <w:rPr>
        <w:rFonts w:hint="default"/>
        <w:lang w:val="en-US" w:eastAsia="en-US" w:bidi="ar-SA"/>
      </w:rPr>
    </w:lvl>
    <w:lvl w:ilvl="5" w:tplc="3E18A580">
      <w:numFmt w:val="bullet"/>
      <w:lvlText w:val="•"/>
      <w:lvlJc w:val="left"/>
      <w:pPr>
        <w:ind w:left="4682" w:hanging="133"/>
      </w:pPr>
      <w:rPr>
        <w:rFonts w:hint="default"/>
        <w:lang w:val="en-US" w:eastAsia="en-US" w:bidi="ar-SA"/>
      </w:rPr>
    </w:lvl>
    <w:lvl w:ilvl="6" w:tplc="8D209B66">
      <w:numFmt w:val="bullet"/>
      <w:lvlText w:val="•"/>
      <w:lvlJc w:val="left"/>
      <w:pPr>
        <w:ind w:left="5883" w:hanging="133"/>
      </w:pPr>
      <w:rPr>
        <w:rFonts w:hint="default"/>
        <w:lang w:val="en-US" w:eastAsia="en-US" w:bidi="ar-SA"/>
      </w:rPr>
    </w:lvl>
    <w:lvl w:ilvl="7" w:tplc="0120AB74">
      <w:numFmt w:val="bullet"/>
      <w:lvlText w:val="•"/>
      <w:lvlJc w:val="left"/>
      <w:pPr>
        <w:ind w:left="7084" w:hanging="133"/>
      </w:pPr>
      <w:rPr>
        <w:rFonts w:hint="default"/>
        <w:lang w:val="en-US" w:eastAsia="en-US" w:bidi="ar-SA"/>
      </w:rPr>
    </w:lvl>
    <w:lvl w:ilvl="8" w:tplc="0D0A8FEE">
      <w:numFmt w:val="bullet"/>
      <w:lvlText w:val="•"/>
      <w:lvlJc w:val="left"/>
      <w:pPr>
        <w:ind w:left="8284" w:hanging="133"/>
      </w:pPr>
      <w:rPr>
        <w:rFonts w:hint="default"/>
        <w:lang w:val="en-US" w:eastAsia="en-US" w:bidi="ar-SA"/>
      </w:rPr>
    </w:lvl>
  </w:abstractNum>
  <w:abstractNum w:abstractNumId="4" w15:restartNumberingAfterBreak="0">
    <w:nsid w:val="5F436817"/>
    <w:multiLevelType w:val="hybridMultilevel"/>
    <w:tmpl w:val="F036F07A"/>
    <w:lvl w:ilvl="0" w:tplc="3F66BEB6">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0764F700">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2" w:tplc="6DE2E29E">
      <w:numFmt w:val="bullet"/>
      <w:lvlText w:val="•"/>
      <w:lvlJc w:val="left"/>
      <w:pPr>
        <w:ind w:left="2254" w:hanging="125"/>
      </w:pPr>
      <w:rPr>
        <w:rFonts w:hint="default"/>
        <w:lang w:val="en-US" w:eastAsia="en-US" w:bidi="ar-SA"/>
      </w:rPr>
    </w:lvl>
    <w:lvl w:ilvl="3" w:tplc="58B8E1FE">
      <w:numFmt w:val="bullet"/>
      <w:lvlText w:val="•"/>
      <w:lvlJc w:val="left"/>
      <w:pPr>
        <w:ind w:left="3308" w:hanging="125"/>
      </w:pPr>
      <w:rPr>
        <w:rFonts w:hint="default"/>
        <w:lang w:val="en-US" w:eastAsia="en-US" w:bidi="ar-SA"/>
      </w:rPr>
    </w:lvl>
    <w:lvl w:ilvl="4" w:tplc="651655F8">
      <w:numFmt w:val="bullet"/>
      <w:lvlText w:val="•"/>
      <w:lvlJc w:val="left"/>
      <w:pPr>
        <w:ind w:left="4362" w:hanging="125"/>
      </w:pPr>
      <w:rPr>
        <w:rFonts w:hint="default"/>
        <w:lang w:val="en-US" w:eastAsia="en-US" w:bidi="ar-SA"/>
      </w:rPr>
    </w:lvl>
    <w:lvl w:ilvl="5" w:tplc="62385CDC">
      <w:numFmt w:val="bullet"/>
      <w:lvlText w:val="•"/>
      <w:lvlJc w:val="left"/>
      <w:pPr>
        <w:ind w:left="5416" w:hanging="125"/>
      </w:pPr>
      <w:rPr>
        <w:rFonts w:hint="default"/>
        <w:lang w:val="en-US" w:eastAsia="en-US" w:bidi="ar-SA"/>
      </w:rPr>
    </w:lvl>
    <w:lvl w:ilvl="6" w:tplc="EA4C0D80">
      <w:numFmt w:val="bullet"/>
      <w:lvlText w:val="•"/>
      <w:lvlJc w:val="left"/>
      <w:pPr>
        <w:ind w:left="6470" w:hanging="125"/>
      </w:pPr>
      <w:rPr>
        <w:rFonts w:hint="default"/>
        <w:lang w:val="en-US" w:eastAsia="en-US" w:bidi="ar-SA"/>
      </w:rPr>
    </w:lvl>
    <w:lvl w:ilvl="7" w:tplc="36A01574">
      <w:numFmt w:val="bullet"/>
      <w:lvlText w:val="•"/>
      <w:lvlJc w:val="left"/>
      <w:pPr>
        <w:ind w:left="7524" w:hanging="125"/>
      </w:pPr>
      <w:rPr>
        <w:rFonts w:hint="default"/>
        <w:lang w:val="en-US" w:eastAsia="en-US" w:bidi="ar-SA"/>
      </w:rPr>
    </w:lvl>
    <w:lvl w:ilvl="8" w:tplc="4490AB34">
      <w:numFmt w:val="bullet"/>
      <w:lvlText w:val="•"/>
      <w:lvlJc w:val="left"/>
      <w:pPr>
        <w:ind w:left="8578" w:hanging="125"/>
      </w:pPr>
      <w:rPr>
        <w:rFonts w:hint="default"/>
        <w:lang w:val="en-US" w:eastAsia="en-US" w:bidi="ar-SA"/>
      </w:rPr>
    </w:lvl>
  </w:abstractNum>
  <w:abstractNum w:abstractNumId="5" w15:restartNumberingAfterBreak="0">
    <w:nsid w:val="7EC22B6A"/>
    <w:multiLevelType w:val="hybridMultilevel"/>
    <w:tmpl w:val="8AB0E52E"/>
    <w:lvl w:ilvl="0" w:tplc="9702BD5C">
      <w:numFmt w:val="bullet"/>
      <w:lvlText w:val=""/>
      <w:lvlJc w:val="left"/>
      <w:pPr>
        <w:ind w:left="523" w:hanging="418"/>
      </w:pPr>
      <w:rPr>
        <w:rFonts w:ascii="Wingdings 2" w:eastAsia="Wingdings 2" w:hAnsi="Wingdings 2" w:cs="Wingdings 2" w:hint="default"/>
        <w:b w:val="0"/>
        <w:bCs w:val="0"/>
        <w:i w:val="0"/>
        <w:iCs w:val="0"/>
        <w:w w:val="100"/>
        <w:sz w:val="22"/>
        <w:szCs w:val="22"/>
        <w:lang w:val="en-US" w:eastAsia="en-US" w:bidi="ar-SA"/>
      </w:rPr>
    </w:lvl>
    <w:lvl w:ilvl="1" w:tplc="F5F0868E">
      <w:numFmt w:val="bullet"/>
      <w:lvlText w:val="•"/>
      <w:lvlJc w:val="left"/>
      <w:pPr>
        <w:ind w:left="1026" w:hanging="418"/>
      </w:pPr>
      <w:rPr>
        <w:rFonts w:hint="default"/>
        <w:lang w:val="en-US" w:eastAsia="en-US" w:bidi="ar-SA"/>
      </w:rPr>
    </w:lvl>
    <w:lvl w:ilvl="2" w:tplc="8132D5E2">
      <w:numFmt w:val="bullet"/>
      <w:lvlText w:val="•"/>
      <w:lvlJc w:val="left"/>
      <w:pPr>
        <w:ind w:left="1533" w:hanging="418"/>
      </w:pPr>
      <w:rPr>
        <w:rFonts w:hint="default"/>
        <w:lang w:val="en-US" w:eastAsia="en-US" w:bidi="ar-SA"/>
      </w:rPr>
    </w:lvl>
    <w:lvl w:ilvl="3" w:tplc="C5CA59D2">
      <w:numFmt w:val="bullet"/>
      <w:lvlText w:val="•"/>
      <w:lvlJc w:val="left"/>
      <w:pPr>
        <w:ind w:left="2040" w:hanging="418"/>
      </w:pPr>
      <w:rPr>
        <w:rFonts w:hint="default"/>
        <w:lang w:val="en-US" w:eastAsia="en-US" w:bidi="ar-SA"/>
      </w:rPr>
    </w:lvl>
    <w:lvl w:ilvl="4" w:tplc="4EB4AEFE">
      <w:numFmt w:val="bullet"/>
      <w:lvlText w:val="•"/>
      <w:lvlJc w:val="left"/>
      <w:pPr>
        <w:ind w:left="2546" w:hanging="418"/>
      </w:pPr>
      <w:rPr>
        <w:rFonts w:hint="default"/>
        <w:lang w:val="en-US" w:eastAsia="en-US" w:bidi="ar-SA"/>
      </w:rPr>
    </w:lvl>
    <w:lvl w:ilvl="5" w:tplc="C5F861FA">
      <w:numFmt w:val="bullet"/>
      <w:lvlText w:val="•"/>
      <w:lvlJc w:val="left"/>
      <w:pPr>
        <w:ind w:left="3053" w:hanging="418"/>
      </w:pPr>
      <w:rPr>
        <w:rFonts w:hint="default"/>
        <w:lang w:val="en-US" w:eastAsia="en-US" w:bidi="ar-SA"/>
      </w:rPr>
    </w:lvl>
    <w:lvl w:ilvl="6" w:tplc="29340A1E">
      <w:numFmt w:val="bullet"/>
      <w:lvlText w:val="•"/>
      <w:lvlJc w:val="left"/>
      <w:pPr>
        <w:ind w:left="3560" w:hanging="418"/>
      </w:pPr>
      <w:rPr>
        <w:rFonts w:hint="default"/>
        <w:lang w:val="en-US" w:eastAsia="en-US" w:bidi="ar-SA"/>
      </w:rPr>
    </w:lvl>
    <w:lvl w:ilvl="7" w:tplc="860867C0">
      <w:numFmt w:val="bullet"/>
      <w:lvlText w:val="•"/>
      <w:lvlJc w:val="left"/>
      <w:pPr>
        <w:ind w:left="4066" w:hanging="418"/>
      </w:pPr>
      <w:rPr>
        <w:rFonts w:hint="default"/>
        <w:lang w:val="en-US" w:eastAsia="en-US" w:bidi="ar-SA"/>
      </w:rPr>
    </w:lvl>
    <w:lvl w:ilvl="8" w:tplc="87D0B64A">
      <w:numFmt w:val="bullet"/>
      <w:lvlText w:val="•"/>
      <w:lvlJc w:val="left"/>
      <w:pPr>
        <w:ind w:left="4573" w:hanging="418"/>
      </w:pPr>
      <w:rPr>
        <w:rFonts w:hint="default"/>
        <w:lang w:val="en-US" w:eastAsia="en-US" w:bidi="ar-SA"/>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AF36A4"/>
    <w:rsid w:val="00AF36A4"/>
    <w:rsid w:val="00CE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80B9A7"/>
  <w15:docId w15:val="{6A51F2AA-6677-471A-BFBF-A3148BD6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ka.lautso-mousnier@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7797</Characters>
  <Application>Microsoft Office Word</Application>
  <DocSecurity>0</DocSecurity>
  <Lines>216</Lines>
  <Paragraphs>94</Paragraphs>
  <ScaleCrop>false</ScaleCrop>
  <Company>European Commission</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2023-02-16T16:45:00Z</dcterms:created>
  <dcterms:modified xsi:type="dcterms:W3CDTF">2023-02-16T16:46:00Z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LastSaved">
    <vt:filetime>2023-02-16T00:00:00Z</vt:filetime>
  </property>
</Properties>
</file>