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67"/>
              <w:rPr>
                <w:b/>
                <w:sz w:val="24"/>
              </w:rPr>
            </w:pPr>
            <w:r>
              <w:rPr>
                <w:b/>
                <w:spacing w:val="-2"/>
                <w:sz w:val="24"/>
              </w:rPr>
              <w:t>HERA.02</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Wolfgang</w:t>
            </w:r>
            <w:r>
              <w:rPr>
                <w:b/>
                <w:spacing w:val="-5"/>
                <w:sz w:val="22"/>
              </w:rPr>
              <w:t> </w:t>
            </w:r>
            <w:r>
              <w:rPr>
                <w:b/>
                <w:spacing w:val="-2"/>
                <w:sz w:val="22"/>
              </w:rPr>
              <w:t>PHILIPP</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spacing w:val="-2"/>
                  <w:sz w:val="22"/>
                </w:rPr>
                <w:t>Wolfgang.Philipp@ec.europa.eu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6" w:type="dxa"/>
            <w:gridSpan w:val="2"/>
            <w:tcBorders>
              <w:top w:val="nil"/>
              <w:bottom w:val="nil"/>
            </w:tcBorders>
          </w:tcPr>
          <w:p>
            <w:pPr>
              <w:pStyle w:val="TableParagraph"/>
              <w:spacing w:line="233" w:lineRule="exact"/>
              <w:rPr>
                <w:b/>
                <w:sz w:val="22"/>
              </w:rPr>
            </w:pPr>
            <w:r>
              <w:rPr>
                <w:b/>
                <w:spacing w:val="-2"/>
                <w:sz w:val="22"/>
              </w:rPr>
              <w:t>+32-2-2968608</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33" w:lineRule="exact"/>
              <w:rPr>
                <w:b/>
                <w:sz w:val="22"/>
              </w:rPr>
            </w:pPr>
            <w:r>
              <w:rPr>
                <w:b/>
                <w:w w:val="100"/>
                <w:sz w:val="22"/>
              </w:rPr>
              <w:t>2</w:t>
            </w:r>
          </w:p>
        </w:tc>
      </w:tr>
      <w:tr>
        <w:trPr>
          <w:trHeight w:val="252"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32" w:lineRule="exact"/>
              <w:rPr>
                <w:b/>
                <w:sz w:val="22"/>
              </w:rPr>
            </w:pPr>
            <w:r>
              <w:rPr>
                <w:b/>
                <w:sz w:val="22"/>
              </w:rPr>
              <w:t>2</w:t>
            </w:r>
            <w:r>
              <w:rPr>
                <w:b/>
                <w:sz w:val="22"/>
                <w:vertAlign w:val="superscript"/>
              </w:rPr>
              <w:t>nd</w:t>
            </w:r>
            <w:r>
              <w:rPr>
                <w:b/>
                <w:spacing w:val="-3"/>
                <w:sz w:val="22"/>
                <w:vertAlign w:val="baseline"/>
              </w:rPr>
              <w:t> </w:t>
            </w:r>
            <w:r>
              <w:rPr>
                <w:b/>
                <w:sz w:val="22"/>
                <w:vertAlign w:val="baseline"/>
              </w:rPr>
              <w:t>half 2023</w:t>
            </w:r>
            <w:r>
              <w:rPr>
                <w:b/>
                <w:spacing w:val="-4"/>
                <w:sz w:val="22"/>
                <w:vertAlign w:val="baseline"/>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6" w:type="dxa"/>
            <w:gridSpan w:val="2"/>
            <w:tcBorders>
              <w:top w:val="nil"/>
              <w:bottom w:val="nil"/>
            </w:tcBorders>
          </w:tcPr>
          <w:p>
            <w:pPr>
              <w:pStyle w:val="TableParagraph"/>
              <w:spacing w:line="233" w:lineRule="exact"/>
              <w:rPr>
                <w:b/>
                <w:sz w:val="22"/>
              </w:rPr>
            </w:pPr>
            <w:r>
              <w:rPr>
                <w:b/>
                <w:sz w:val="22"/>
              </w:rPr>
              <w:t>2 </w:t>
            </w:r>
            <w:r>
              <w:rPr>
                <w:b/>
                <w:spacing w:val="-2"/>
                <w:sz w:val="22"/>
              </w:rPr>
              <w:t>years</w:t>
            </w:r>
            <w:r>
              <w:rPr>
                <w:b/>
                <w:spacing w:val="-2"/>
                <w:sz w:val="22"/>
                <w:vertAlign w:val="superscript"/>
              </w:rPr>
              <w:t>1</w:t>
            </w:r>
          </w:p>
        </w:tc>
      </w:tr>
      <w:tr>
        <w:trPr>
          <w:trHeight w:val="455" w:hRule="atLeast"/>
        </w:trPr>
        <w:tc>
          <w:tcPr>
            <w:tcW w:w="4359" w:type="dxa"/>
            <w:tcBorders>
              <w:top w:val="nil"/>
              <w:bottom w:val="nil"/>
            </w:tcBorders>
          </w:tcPr>
          <w:p>
            <w:pPr>
              <w:pStyle w:val="TableParagraph"/>
              <w:spacing w:line="249" w:lineRule="exact"/>
              <w:rPr>
                <w:b/>
                <w:sz w:val="22"/>
              </w:rPr>
            </w:pPr>
            <w:r>
              <w:rPr>
                <w:b/>
                <w:sz w:val="22"/>
              </w:rPr>
              <w:t>Place</w:t>
            </w:r>
            <w:r>
              <w:rPr>
                <w:b/>
                <w:spacing w:val="-4"/>
                <w:sz w:val="22"/>
              </w:rPr>
              <w:t> </w:t>
            </w:r>
            <w:r>
              <w:rPr>
                <w:b/>
                <w:sz w:val="22"/>
              </w:rPr>
              <w:t>of</w:t>
            </w:r>
            <w:r>
              <w:rPr>
                <w:b/>
                <w:spacing w:val="3"/>
                <w:sz w:val="22"/>
              </w:rPr>
              <w:t> </w:t>
            </w:r>
            <w:r>
              <w:rPr>
                <w:b/>
                <w:spacing w:val="-2"/>
                <w:sz w:val="22"/>
              </w:rPr>
              <w:t>secondment:</w:t>
            </w:r>
          </w:p>
        </w:tc>
        <w:tc>
          <w:tcPr>
            <w:tcW w:w="5596" w:type="dxa"/>
            <w:gridSpan w:val="2"/>
            <w:tcBorders>
              <w:top w:val="nil"/>
            </w:tcBorders>
          </w:tcPr>
          <w:p>
            <w:pPr>
              <w:pStyle w:val="TableParagraph"/>
              <w:spacing w:line="249"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1"/>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4"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5"/>
        <w:rPr>
          <w:b/>
          <w:sz w:val="13"/>
        </w:rPr>
      </w:pPr>
    </w:p>
    <w:p>
      <w:pPr>
        <w:pStyle w:val="BodyText"/>
        <w:spacing w:before="92"/>
        <w:ind w:left="799" w:right="109"/>
        <w:jc w:val="both"/>
      </w:pPr>
      <w:r>
        <w:rPr/>
        <w:t>The European Health Emergency preparedness and Response Authority is a Commission service which works to improve preparedness and response to serious cross-border threats in the area of medical countermeasures, in particular by:</w:t>
      </w:r>
    </w:p>
    <w:p>
      <w:pPr>
        <w:pStyle w:val="ListParagraph"/>
        <w:numPr>
          <w:ilvl w:val="1"/>
          <w:numId w:val="3"/>
        </w:numPr>
        <w:tabs>
          <w:tab w:pos="1520" w:val="left" w:leader="none"/>
        </w:tabs>
        <w:spacing w:line="240" w:lineRule="auto" w:before="0" w:after="0"/>
        <w:ind w:left="1519" w:right="110" w:hanging="360"/>
        <w:jc w:val="both"/>
        <w:rPr>
          <w:sz w:val="22"/>
        </w:rPr>
      </w:pPr>
      <w:r>
        <w:rPr>
          <w:sz w:val="22"/>
        </w:rPr>
        <w:t>strengthening health security coordination within the Union during preparedness and crisis response times, and bringing together Member States, the industry and the relevant stakeholders in a common </w:t>
      </w:r>
      <w:r>
        <w:rPr>
          <w:spacing w:val="-2"/>
          <w:sz w:val="22"/>
        </w:rPr>
        <w:t>effort;</w:t>
      </w:r>
    </w:p>
    <w:p>
      <w:pPr>
        <w:pStyle w:val="ListParagraph"/>
        <w:numPr>
          <w:ilvl w:val="1"/>
          <w:numId w:val="3"/>
        </w:numPr>
        <w:tabs>
          <w:tab w:pos="1520" w:val="left" w:leader="none"/>
        </w:tabs>
        <w:spacing w:line="240" w:lineRule="auto" w:before="0" w:after="0"/>
        <w:ind w:left="1519" w:right="109" w:hanging="360"/>
        <w:jc w:val="both"/>
        <w:rPr>
          <w:sz w:val="22"/>
        </w:rPr>
      </w:pPr>
      <w:r>
        <w:rPr>
          <w:sz w:val="22"/>
        </w:rPr>
        <w:t>addressing vulnerabilities and strategic dependencies within the Union related to the development, production, procurement, stockpiling and distribution of medical countermeasures;</w:t>
      </w:r>
    </w:p>
    <w:p>
      <w:pPr>
        <w:pStyle w:val="ListParagraph"/>
        <w:numPr>
          <w:ilvl w:val="1"/>
          <w:numId w:val="3"/>
        </w:numPr>
        <w:tabs>
          <w:tab w:pos="1520" w:val="left" w:leader="none"/>
        </w:tabs>
        <w:spacing w:line="268" w:lineRule="exact" w:before="0" w:after="0"/>
        <w:ind w:left="1519" w:right="0" w:hanging="361"/>
        <w:jc w:val="both"/>
        <w:rPr>
          <w:sz w:val="22"/>
        </w:rPr>
      </w:pPr>
      <w:r>
        <w:rPr>
          <w:sz w:val="22"/>
        </w:rPr>
        <w:t>contributing</w:t>
      </w:r>
      <w:r>
        <w:rPr>
          <w:spacing w:val="-9"/>
          <w:sz w:val="22"/>
        </w:rPr>
        <w:t> </w:t>
      </w:r>
      <w:r>
        <w:rPr>
          <w:sz w:val="22"/>
        </w:rPr>
        <w:t>to</w:t>
      </w:r>
      <w:r>
        <w:rPr>
          <w:spacing w:val="-3"/>
          <w:sz w:val="22"/>
        </w:rPr>
        <w:t> </w:t>
      </w:r>
      <w:r>
        <w:rPr>
          <w:sz w:val="22"/>
        </w:rPr>
        <w:t>reinforcing</w:t>
      </w:r>
      <w:r>
        <w:rPr>
          <w:spacing w:val="-6"/>
          <w:sz w:val="22"/>
        </w:rPr>
        <w:t> </w:t>
      </w:r>
      <w:r>
        <w:rPr>
          <w:sz w:val="22"/>
        </w:rPr>
        <w:t>the</w:t>
      </w:r>
      <w:r>
        <w:rPr>
          <w:spacing w:val="-3"/>
          <w:sz w:val="22"/>
        </w:rPr>
        <w:t> </w:t>
      </w:r>
      <w:r>
        <w:rPr>
          <w:sz w:val="22"/>
        </w:rPr>
        <w:t>global</w:t>
      </w:r>
      <w:r>
        <w:rPr>
          <w:spacing w:val="-5"/>
          <w:sz w:val="22"/>
        </w:rPr>
        <w:t> </w:t>
      </w:r>
      <w:r>
        <w:rPr>
          <w:sz w:val="22"/>
        </w:rPr>
        <w:t>health</w:t>
      </w:r>
      <w:r>
        <w:rPr>
          <w:spacing w:val="-4"/>
          <w:sz w:val="22"/>
        </w:rPr>
        <w:t> </w:t>
      </w:r>
      <w:r>
        <w:rPr>
          <w:sz w:val="22"/>
        </w:rPr>
        <w:t>emergency</w:t>
      </w:r>
      <w:r>
        <w:rPr>
          <w:spacing w:val="-3"/>
          <w:sz w:val="22"/>
        </w:rPr>
        <w:t> </w:t>
      </w:r>
      <w:r>
        <w:rPr>
          <w:sz w:val="22"/>
        </w:rPr>
        <w:t>preparedness</w:t>
      </w:r>
      <w:r>
        <w:rPr>
          <w:spacing w:val="-3"/>
          <w:sz w:val="22"/>
        </w:rPr>
        <w:t> </w:t>
      </w:r>
      <w:r>
        <w:rPr>
          <w:sz w:val="22"/>
        </w:rPr>
        <w:t>and</w:t>
      </w:r>
      <w:r>
        <w:rPr>
          <w:spacing w:val="46"/>
          <w:sz w:val="22"/>
        </w:rPr>
        <w:t> </w:t>
      </w:r>
      <w:r>
        <w:rPr>
          <w:sz w:val="22"/>
        </w:rPr>
        <w:t>response</w:t>
      </w:r>
      <w:r>
        <w:rPr>
          <w:spacing w:val="-5"/>
          <w:sz w:val="22"/>
        </w:rPr>
        <w:t> </w:t>
      </w:r>
      <w:r>
        <w:rPr>
          <w:spacing w:val="-2"/>
          <w:sz w:val="22"/>
        </w:rPr>
        <w:t>architecture.</w:t>
      </w:r>
    </w:p>
    <w:p>
      <w:pPr>
        <w:pStyle w:val="BodyText"/>
      </w:pPr>
    </w:p>
    <w:p>
      <w:pPr>
        <w:pStyle w:val="BodyText"/>
        <w:ind w:left="799"/>
      </w:pPr>
      <w:r>
        <w:rPr/>
        <w:t>The</w:t>
      </w:r>
      <w:r>
        <w:rPr>
          <w:spacing w:val="-6"/>
        </w:rPr>
        <w:t> </w:t>
      </w:r>
      <w:r>
        <w:rPr/>
        <w:t>national</w:t>
      </w:r>
      <w:r>
        <w:rPr>
          <w:spacing w:val="-5"/>
        </w:rPr>
        <w:t> </w:t>
      </w:r>
      <w:r>
        <w:rPr/>
        <w:t>expert</w:t>
      </w:r>
      <w:r>
        <w:rPr>
          <w:spacing w:val="-2"/>
        </w:rPr>
        <w:t> </w:t>
      </w:r>
      <w:r>
        <w:rPr/>
        <w:t>will</w:t>
      </w:r>
      <w:r>
        <w:rPr>
          <w:spacing w:val="-2"/>
        </w:rPr>
        <w:t> </w:t>
      </w:r>
      <w:r>
        <w:rPr/>
        <w:t>participate</w:t>
      </w:r>
      <w:r>
        <w:rPr>
          <w:spacing w:val="-5"/>
        </w:rPr>
        <w:t> </w:t>
      </w:r>
      <w:r>
        <w:rPr/>
        <w:t>in</w:t>
      </w:r>
      <w:r>
        <w:rPr>
          <w:spacing w:val="-6"/>
        </w:rPr>
        <w:t> </w:t>
      </w:r>
      <w:r>
        <w:rPr/>
        <w:t>the</w:t>
      </w:r>
      <w:r>
        <w:rPr>
          <w:spacing w:val="-5"/>
        </w:rPr>
        <w:t> </w:t>
      </w:r>
      <w:r>
        <w:rPr/>
        <w:t>following</w:t>
      </w:r>
      <w:r>
        <w:rPr>
          <w:spacing w:val="-6"/>
        </w:rPr>
        <w:t> </w:t>
      </w:r>
      <w:r>
        <w:rPr>
          <w:spacing w:val="-2"/>
        </w:rPr>
        <w:t>tasks:</w:t>
      </w:r>
    </w:p>
    <w:p>
      <w:pPr>
        <w:pStyle w:val="ListParagraph"/>
        <w:numPr>
          <w:ilvl w:val="1"/>
          <w:numId w:val="3"/>
        </w:numPr>
        <w:tabs>
          <w:tab w:pos="1519" w:val="left" w:leader="none"/>
          <w:tab w:pos="1520" w:val="left" w:leader="none"/>
        </w:tabs>
        <w:spacing w:line="240" w:lineRule="auto" w:before="0" w:after="0"/>
        <w:ind w:left="1519" w:right="112" w:hanging="360"/>
        <w:jc w:val="left"/>
        <w:rPr>
          <w:sz w:val="22"/>
        </w:rPr>
      </w:pPr>
      <w:r>
        <w:rPr>
          <w:sz w:val="22"/>
        </w:rPr>
        <w:t>assessment</w:t>
      </w:r>
      <w:r>
        <w:rPr>
          <w:spacing w:val="80"/>
          <w:w w:val="150"/>
          <w:sz w:val="22"/>
        </w:rPr>
        <w:t> </w:t>
      </w:r>
      <w:r>
        <w:rPr>
          <w:sz w:val="22"/>
        </w:rPr>
        <w:t>of</w:t>
      </w:r>
      <w:r>
        <w:rPr>
          <w:spacing w:val="80"/>
          <w:w w:val="150"/>
          <w:sz w:val="22"/>
        </w:rPr>
        <w:t> </w:t>
      </w:r>
      <w:r>
        <w:rPr>
          <w:sz w:val="22"/>
        </w:rPr>
        <w:t>health</w:t>
      </w:r>
      <w:r>
        <w:rPr>
          <w:spacing w:val="80"/>
          <w:w w:val="150"/>
          <w:sz w:val="22"/>
        </w:rPr>
        <w:t> </w:t>
      </w:r>
      <w:r>
        <w:rPr>
          <w:sz w:val="22"/>
        </w:rPr>
        <w:t>threats</w:t>
      </w:r>
      <w:r>
        <w:rPr>
          <w:spacing w:val="80"/>
          <w:w w:val="150"/>
          <w:sz w:val="22"/>
        </w:rPr>
        <w:t> </w:t>
      </w:r>
      <w:r>
        <w:rPr>
          <w:sz w:val="22"/>
        </w:rPr>
        <w:t>and</w:t>
      </w:r>
      <w:r>
        <w:rPr>
          <w:spacing w:val="80"/>
          <w:w w:val="150"/>
          <w:sz w:val="22"/>
        </w:rPr>
        <w:t> </w:t>
      </w:r>
      <w:r>
        <w:rPr>
          <w:sz w:val="22"/>
        </w:rPr>
        <w:t>intelligence</w:t>
      </w:r>
      <w:r>
        <w:rPr>
          <w:spacing w:val="80"/>
          <w:w w:val="150"/>
          <w:sz w:val="22"/>
        </w:rPr>
        <w:t> </w:t>
      </w:r>
      <w:r>
        <w:rPr>
          <w:sz w:val="22"/>
        </w:rPr>
        <w:t>gathering</w:t>
      </w:r>
      <w:r>
        <w:rPr>
          <w:spacing w:val="80"/>
          <w:w w:val="150"/>
          <w:sz w:val="22"/>
        </w:rPr>
        <w:t> </w:t>
      </w:r>
      <w:r>
        <w:rPr>
          <w:sz w:val="22"/>
        </w:rPr>
        <w:t>and</w:t>
      </w:r>
      <w:r>
        <w:rPr>
          <w:spacing w:val="80"/>
          <w:w w:val="150"/>
          <w:sz w:val="22"/>
        </w:rPr>
        <w:t> </w:t>
      </w:r>
      <w:r>
        <w:rPr>
          <w:sz w:val="22"/>
        </w:rPr>
        <w:t>analysis</w:t>
      </w:r>
      <w:r>
        <w:rPr>
          <w:spacing w:val="80"/>
          <w:w w:val="150"/>
          <w:sz w:val="22"/>
        </w:rPr>
        <w:t> </w:t>
      </w:r>
      <w:r>
        <w:rPr>
          <w:sz w:val="22"/>
        </w:rPr>
        <w:t>relevant</w:t>
      </w:r>
      <w:r>
        <w:rPr>
          <w:spacing w:val="80"/>
          <w:w w:val="150"/>
          <w:sz w:val="22"/>
        </w:rPr>
        <w:t> </w:t>
      </w:r>
      <w:r>
        <w:rPr>
          <w:sz w:val="22"/>
        </w:rPr>
        <w:t>to</w:t>
      </w:r>
      <w:r>
        <w:rPr>
          <w:spacing w:val="80"/>
          <w:w w:val="150"/>
          <w:sz w:val="22"/>
        </w:rPr>
        <w:t> </w:t>
      </w:r>
      <w:r>
        <w:rPr>
          <w:sz w:val="22"/>
        </w:rPr>
        <w:t>medical countermeasures preparedness and response;</w:t>
      </w:r>
    </w:p>
    <w:p>
      <w:pPr>
        <w:pStyle w:val="ListParagraph"/>
        <w:numPr>
          <w:ilvl w:val="1"/>
          <w:numId w:val="3"/>
        </w:numPr>
        <w:tabs>
          <w:tab w:pos="1519" w:val="left" w:leader="none"/>
          <w:tab w:pos="1520" w:val="left" w:leader="none"/>
        </w:tabs>
        <w:spacing w:line="240" w:lineRule="auto" w:before="0" w:after="0"/>
        <w:ind w:left="1519" w:right="0" w:hanging="361"/>
        <w:jc w:val="left"/>
        <w:rPr>
          <w:sz w:val="22"/>
        </w:rPr>
      </w:pPr>
      <w:r>
        <w:rPr>
          <w:sz w:val="22"/>
        </w:rPr>
        <w:t>promoting</w:t>
      </w:r>
      <w:r>
        <w:rPr>
          <w:spacing w:val="-9"/>
          <w:sz w:val="22"/>
        </w:rPr>
        <w:t> </w:t>
      </w:r>
      <w:r>
        <w:rPr>
          <w:sz w:val="22"/>
        </w:rPr>
        <w:t>advanced</w:t>
      </w:r>
      <w:r>
        <w:rPr>
          <w:spacing w:val="-6"/>
          <w:sz w:val="22"/>
        </w:rPr>
        <w:t> </w:t>
      </w:r>
      <w:r>
        <w:rPr>
          <w:sz w:val="22"/>
        </w:rPr>
        <w:t>research</w:t>
      </w:r>
      <w:r>
        <w:rPr>
          <w:spacing w:val="-4"/>
          <w:sz w:val="22"/>
        </w:rPr>
        <w:t> </w:t>
      </w:r>
      <w:r>
        <w:rPr>
          <w:sz w:val="22"/>
        </w:rPr>
        <w:t>and</w:t>
      </w:r>
      <w:r>
        <w:rPr>
          <w:spacing w:val="-4"/>
          <w:sz w:val="22"/>
        </w:rPr>
        <w:t> </w:t>
      </w:r>
      <w:r>
        <w:rPr>
          <w:sz w:val="22"/>
        </w:rPr>
        <w:t>development</w:t>
      </w:r>
      <w:r>
        <w:rPr>
          <w:spacing w:val="-3"/>
          <w:sz w:val="22"/>
        </w:rPr>
        <w:t> </w:t>
      </w:r>
      <w:r>
        <w:rPr>
          <w:sz w:val="22"/>
        </w:rPr>
        <w:t>of</w:t>
      </w:r>
      <w:r>
        <w:rPr>
          <w:spacing w:val="-6"/>
          <w:sz w:val="22"/>
        </w:rPr>
        <w:t> </w:t>
      </w:r>
      <w:r>
        <w:rPr>
          <w:sz w:val="22"/>
        </w:rPr>
        <w:t>medical</w:t>
      </w:r>
      <w:r>
        <w:rPr>
          <w:spacing w:val="-3"/>
          <w:sz w:val="22"/>
        </w:rPr>
        <w:t> </w:t>
      </w:r>
      <w:r>
        <w:rPr>
          <w:sz w:val="22"/>
        </w:rPr>
        <w:t>countermeasures</w:t>
      </w:r>
      <w:r>
        <w:rPr>
          <w:spacing w:val="-4"/>
          <w:sz w:val="22"/>
        </w:rPr>
        <w:t> </w:t>
      </w:r>
      <w:r>
        <w:rPr>
          <w:sz w:val="22"/>
        </w:rPr>
        <w:t>and</w:t>
      </w:r>
      <w:r>
        <w:rPr>
          <w:spacing w:val="-4"/>
          <w:sz w:val="22"/>
        </w:rPr>
        <w:t> </w:t>
      </w:r>
      <w:r>
        <w:rPr>
          <w:sz w:val="22"/>
        </w:rPr>
        <w:t>related</w:t>
      </w:r>
      <w:r>
        <w:rPr>
          <w:spacing w:val="-3"/>
          <w:sz w:val="22"/>
        </w:rPr>
        <w:t> </w:t>
      </w:r>
      <w:r>
        <w:rPr>
          <w:spacing w:val="-2"/>
          <w:sz w:val="22"/>
        </w:rPr>
        <w:t>technologies;</w:t>
      </w:r>
    </w:p>
    <w:p>
      <w:pPr>
        <w:pStyle w:val="BodyText"/>
        <w:spacing w:before="9"/>
        <w:rPr>
          <w:sz w:val="21"/>
        </w:rPr>
      </w:pPr>
    </w:p>
    <w:p>
      <w:pPr>
        <w:pStyle w:val="BodyText"/>
        <w:ind w:left="799"/>
      </w:pPr>
      <w:r>
        <w:rPr/>
        <w:t>The</w:t>
      </w:r>
      <w:r>
        <w:rPr>
          <w:spacing w:val="34"/>
        </w:rPr>
        <w:t> </w:t>
      </w:r>
      <w:r>
        <w:rPr/>
        <w:t>job</w:t>
      </w:r>
      <w:r>
        <w:rPr>
          <w:spacing w:val="36"/>
        </w:rPr>
        <w:t> </w:t>
      </w:r>
      <w:r>
        <w:rPr/>
        <w:t>will</w:t>
      </w:r>
      <w:r>
        <w:rPr>
          <w:spacing w:val="37"/>
        </w:rPr>
        <w:t> </w:t>
      </w:r>
      <w:r>
        <w:rPr/>
        <w:t>include</w:t>
      </w:r>
      <w:r>
        <w:rPr>
          <w:spacing w:val="36"/>
        </w:rPr>
        <w:t> </w:t>
      </w:r>
      <w:r>
        <w:rPr/>
        <w:t>extensive</w:t>
      </w:r>
      <w:r>
        <w:rPr>
          <w:spacing w:val="39"/>
        </w:rPr>
        <w:t> </w:t>
      </w:r>
      <w:r>
        <w:rPr/>
        <w:t>contacts</w:t>
      </w:r>
      <w:r>
        <w:rPr>
          <w:spacing w:val="39"/>
        </w:rPr>
        <w:t> </w:t>
      </w:r>
      <w:r>
        <w:rPr/>
        <w:t>with</w:t>
      </w:r>
      <w:r>
        <w:rPr>
          <w:spacing w:val="36"/>
        </w:rPr>
        <w:t> </w:t>
      </w:r>
      <w:r>
        <w:rPr/>
        <w:t>Member</w:t>
      </w:r>
      <w:r>
        <w:rPr>
          <w:spacing w:val="39"/>
        </w:rPr>
        <w:t> </w:t>
      </w:r>
      <w:r>
        <w:rPr/>
        <w:t>States</w:t>
      </w:r>
      <w:r>
        <w:rPr>
          <w:spacing w:val="37"/>
        </w:rPr>
        <w:t> </w:t>
      </w:r>
      <w:r>
        <w:rPr/>
        <w:t>representatives</w:t>
      </w:r>
      <w:r>
        <w:rPr>
          <w:spacing w:val="37"/>
        </w:rPr>
        <w:t> </w:t>
      </w:r>
      <w:r>
        <w:rPr/>
        <w:t>and</w:t>
      </w:r>
      <w:r>
        <w:rPr>
          <w:spacing w:val="38"/>
        </w:rPr>
        <w:t> </w:t>
      </w:r>
      <w:r>
        <w:rPr/>
        <w:t>experts,</w:t>
      </w:r>
      <w:r>
        <w:rPr>
          <w:spacing w:val="39"/>
        </w:rPr>
        <w:t> </w:t>
      </w:r>
      <w:r>
        <w:rPr/>
        <w:t>European</w:t>
      </w:r>
      <w:r>
        <w:rPr>
          <w:spacing w:val="39"/>
        </w:rPr>
        <w:t> </w:t>
      </w:r>
      <w:r>
        <w:rPr/>
        <w:t>health agencies such as ECDC and EMA, industry and international organisations.</w:t>
      </w:r>
    </w:p>
    <w:p>
      <w:pPr>
        <w:pStyle w:val="BodyText"/>
        <w:spacing w:before="5"/>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rPr>
          <w:b/>
          <w:sz w:val="20"/>
        </w:rPr>
      </w:pPr>
    </w:p>
    <w:p>
      <w:pPr>
        <w:pStyle w:val="BodyText"/>
        <w:rPr>
          <w:b/>
          <w:sz w:val="20"/>
        </w:rPr>
      </w:pPr>
    </w:p>
    <w:p>
      <w:pPr>
        <w:pStyle w:val="BodyText"/>
        <w:rPr>
          <w:b/>
          <w:sz w:val="20"/>
        </w:rPr>
      </w:pPr>
    </w:p>
    <w:p>
      <w:pPr>
        <w:pStyle w:val="BodyText"/>
        <w:spacing w:before="10"/>
        <w:rPr>
          <w:b/>
          <w:sz w:val="27"/>
        </w:rPr>
      </w:pPr>
      <w:r>
        <w:rPr/>
        <w:pict>
          <v:rect style="position:absolute;margin-left:42.599998pt;margin-top:17.257442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8"/>
        <w:ind w:left="799" w:right="113"/>
        <w:jc w:val="both"/>
      </w:pPr>
      <w:r>
        <w:rPr/>
        <w:t>The</w:t>
      </w:r>
      <w:r>
        <w:rPr>
          <w:spacing w:val="-1"/>
        </w:rPr>
        <w:t> </w:t>
      </w:r>
      <w:r>
        <w:rPr/>
        <w:t>following</w:t>
      </w:r>
      <w:r>
        <w:rPr>
          <w:spacing w:val="-1"/>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0"/>
          <w:numId w:val="5"/>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5"/>
        </w:numPr>
        <w:tabs>
          <w:tab w:pos="1081" w:val="left" w:leader="none"/>
        </w:tabs>
        <w:spacing w:line="240" w:lineRule="auto" w:before="0" w:after="0"/>
        <w:ind w:left="1080" w:right="111"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5"/>
        </w:numPr>
        <w:tabs>
          <w:tab w:pos="1081" w:val="left" w:leader="none"/>
        </w:tabs>
        <w:spacing w:line="240" w:lineRule="auto" w:before="0" w:after="0"/>
        <w:ind w:left="1080" w:right="109"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7"/>
        <w:rPr>
          <w:b/>
          <w:sz w:val="15"/>
        </w:rPr>
      </w:pPr>
    </w:p>
    <w:p>
      <w:pPr>
        <w:pStyle w:val="BodyText"/>
        <w:spacing w:line="252" w:lineRule="exact" w:before="91"/>
        <w:ind w:left="1080"/>
      </w:pPr>
      <w:r>
        <w:rPr>
          <w:spacing w:val="-2"/>
          <w:u w:val="single"/>
        </w:rPr>
        <w:t>Diploma</w:t>
      </w:r>
    </w:p>
    <w:p>
      <w:pPr>
        <w:pStyle w:val="ListParagraph"/>
        <w:numPr>
          <w:ilvl w:val="1"/>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40" w:lineRule="auto" w:before="2"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ind w:left="1080" w:right="172"/>
        <w:jc w:val="both"/>
      </w:pPr>
      <w:r>
        <w:rPr/>
        <w:t>in the field(s): Public health and crisis management, research and innovation of medical countermeasures, health and clinical sciences, infectious diseases, virology, epidemiology, clinical trials, engineers, experts in monitoring and supply chain management of medical countermeasures.</w:t>
      </w:r>
    </w:p>
    <w:p>
      <w:pPr>
        <w:pStyle w:val="BodyText"/>
        <w:spacing w:before="10"/>
        <w:rPr>
          <w:sz w:val="21"/>
        </w:rPr>
      </w:pPr>
    </w:p>
    <w:p>
      <w:pPr>
        <w:pStyle w:val="BodyText"/>
        <w:ind w:left="1080"/>
        <w:jc w:val="both"/>
      </w:pPr>
      <w:r>
        <w:rPr>
          <w:u w:val="single"/>
        </w:rPr>
        <w:t>Professional</w:t>
      </w:r>
      <w:r>
        <w:rPr>
          <w:spacing w:val="-4"/>
          <w:u w:val="single"/>
        </w:rPr>
        <w:t> </w:t>
      </w:r>
      <w:r>
        <w:rPr>
          <w:spacing w:val="-2"/>
          <w:u w:val="single"/>
        </w:rPr>
        <w:t>experience</w:t>
      </w:r>
    </w:p>
    <w:p>
      <w:pPr>
        <w:pStyle w:val="BodyText"/>
        <w:spacing w:before="1"/>
        <w:rPr>
          <w:sz w:val="14"/>
        </w:rPr>
      </w:pPr>
    </w:p>
    <w:p>
      <w:pPr>
        <w:pStyle w:val="BodyText"/>
        <w:spacing w:before="92"/>
        <w:ind w:left="1080" w:right="168"/>
        <w:jc w:val="both"/>
      </w:pPr>
      <w:r>
        <w:rPr/>
        <w:t>Crisis preparedness and management in particular in the health area. Research in the area of health and clinical sciences relevant for medical countermeasures preparedness and response. Developing of medical counter measures.</w:t>
      </w:r>
    </w:p>
    <w:p>
      <w:pPr>
        <w:pStyle w:val="BodyText"/>
      </w:pPr>
    </w:p>
    <w:p>
      <w:pPr>
        <w:pStyle w:val="BodyText"/>
        <w:spacing w:before="1"/>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080" w:right="277"/>
      </w:pPr>
      <w:r>
        <w:rPr/>
        <w:t>A good capacity to communicate orally and in writing in a comprehensible and structured way in English</w:t>
      </w:r>
      <w:r>
        <w:rPr>
          <w:spacing w:val="40"/>
        </w:rPr>
        <w:t> </w:t>
      </w:r>
      <w:r>
        <w:rPr/>
        <w:t>is essential.</w:t>
      </w:r>
    </w:p>
    <w:p>
      <w:pPr>
        <w:pStyle w:val="BodyText"/>
        <w:spacing w:before="5"/>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line="251" w:lineRule="exact"/>
        <w:ind w:left="799"/>
        <w:jc w:val="both"/>
      </w:pPr>
      <w:r>
        <w:rPr/>
        <w:t>Candidates</w:t>
      </w:r>
      <w:r>
        <w:rPr>
          <w:spacing w:val="-3"/>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3"/>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BodyText"/>
        <w:spacing w:before="7"/>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1"/>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spacing w:after="0"/>
        <w:jc w:val="both"/>
        <w:rPr>
          <w:sz w:val="22"/>
        </w:rPr>
        <w:sectPr>
          <w:pgSz w:w="11910" w:h="16840"/>
          <w:pgMar w:header="0" w:footer="690" w:top="1040" w:bottom="880" w:left="480" w:right="740"/>
        </w:sectPr>
      </w:pPr>
    </w:p>
    <w:p>
      <w:pPr>
        <w:pStyle w:val="BodyText"/>
        <w:spacing w:before="68"/>
        <w:ind w:left="799" w:right="287"/>
        <w:jc w:val="both"/>
      </w:pPr>
      <w:r>
        <w:rPr/>
        <w:t>The SNE will remain employed and remunerated by his/her employer during the secondment. He/she will equally remain covered by the national social security system.</w:t>
      </w:r>
    </w:p>
    <w:p>
      <w:pPr>
        <w:pStyle w:val="BodyText"/>
        <w:spacing w:before="1"/>
        <w:ind w:left="799" w:right="286"/>
        <w:jc w:val="both"/>
      </w:pPr>
      <w:r>
        <w:rPr/>
        <w:t>Unless for cost-free SNE, allowances may be granted by the Commission to SNE fulfilling the conditions provided for in Art. 17 of the SNE decision.</w:t>
      </w:r>
    </w:p>
    <w:p>
      <w:pPr>
        <w:pStyle w:val="BodyText"/>
        <w:spacing w:before="1"/>
      </w:pPr>
    </w:p>
    <w:p>
      <w:pPr>
        <w:pStyle w:val="BodyText"/>
        <w:spacing w:before="1"/>
        <w:ind w:left="799" w:right="283"/>
        <w:jc w:val="both"/>
      </w:pPr>
      <w:r>
        <w:rPr/>
        <w:t>During the secondment, SNE are subject to confidentiality, loyalty and absence of conflict of interest obligations, as provided for in Art. 6 and 7 of the SNE Decision.</w:t>
      </w:r>
    </w:p>
    <w:p>
      <w:pPr>
        <w:pStyle w:val="BodyText"/>
        <w:spacing w:line="251" w:lineRule="exac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pPr>
    </w:p>
    <w:p>
      <w:pPr>
        <w:pStyle w:val="BodyText"/>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7"/>
        <w:jc w:val="both"/>
      </w:pPr>
      <w:r>
        <w:rPr/>
        <w:t>The selected candidate has the obligation to launch the vetting procedure before getting the secondment </w:t>
      </w:r>
      <w:r>
        <w:rPr>
          <w:spacing w:val="-2"/>
        </w:rPr>
        <w:t>confirmation.</w:t>
      </w:r>
    </w:p>
    <w:p>
      <w:pPr>
        <w:pStyle w:val="BodyText"/>
        <w:spacing w:before="6"/>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before="1"/>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3"/>
      </w:pPr>
    </w:p>
    <w:p>
      <w:pPr>
        <w:pStyle w:val="Heading1"/>
        <w:spacing w:before="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4"/>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pict>
          <v:rect style="position:absolute;margin-left:519.580017pt;margin-top:11.469542pt;width:5.16pt;height:.47998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4"/>
        <w:jc w:val="both"/>
      </w:pPr>
      <w:r>
        <w:rPr/>
        <w:pict>
          <v:rect style="position:absolute;margin-left:230.330002pt;margin-top:24.189558pt;width:3.72pt;height:.47998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39232"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519" w:hanging="360"/>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2538" w:hanging="360"/>
      </w:pPr>
      <w:rPr>
        <w:rFonts w:hint="default"/>
        <w:lang w:val="en-US" w:eastAsia="en-US" w:bidi="ar-SA"/>
      </w:rPr>
    </w:lvl>
    <w:lvl w:ilvl="3">
      <w:start w:val="0"/>
      <w:numFmt w:val="bullet"/>
      <w:lvlText w:val="•"/>
      <w:lvlJc w:val="left"/>
      <w:pPr>
        <w:ind w:left="3556" w:hanging="360"/>
      </w:pPr>
      <w:rPr>
        <w:rFonts w:hint="default"/>
        <w:lang w:val="en-US" w:eastAsia="en-US" w:bidi="ar-SA"/>
      </w:rPr>
    </w:lvl>
    <w:lvl w:ilvl="4">
      <w:start w:val="0"/>
      <w:numFmt w:val="bullet"/>
      <w:lvlText w:val="•"/>
      <w:lvlJc w:val="left"/>
      <w:pPr>
        <w:ind w:left="4575"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612"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649" w:hanging="360"/>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Wolfgang.Philipp@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2023-02-16T16:46:50Z</dcterms:created>
  <dcterms:modified xsi:type="dcterms:W3CDTF">2023-02-16T16:46:50Z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