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67"/>
              <w:rPr>
                <w:b/>
                <w:sz w:val="24"/>
              </w:rPr>
            </w:pPr>
            <w:r>
              <w:rPr>
                <w:b/>
                <w:spacing w:val="-4"/>
                <w:sz w:val="24"/>
              </w:rPr>
              <w:t>HR-DS-Investigations&amp;Analysis</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Mr</w:t>
            </w:r>
            <w:r>
              <w:rPr>
                <w:b/>
                <w:spacing w:val="-2"/>
                <w:sz w:val="22"/>
              </w:rPr>
              <w:t> </w:t>
            </w:r>
            <w:r>
              <w:rPr>
                <w:b/>
                <w:sz w:val="22"/>
              </w:rPr>
              <w:t>Dick</w:t>
            </w:r>
            <w:r>
              <w:rPr>
                <w:b/>
                <w:spacing w:val="-2"/>
                <w:sz w:val="22"/>
              </w:rPr>
              <w:t> Dokter</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spacing w:val="-2"/>
                  <w:sz w:val="22"/>
                </w:rPr>
                <w:t>dick.dokter@ec.europa.eu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6" w:type="dxa"/>
            <w:gridSpan w:val="2"/>
            <w:tcBorders>
              <w:top w:val="nil"/>
              <w:bottom w:val="nil"/>
            </w:tcBorders>
          </w:tcPr>
          <w:p>
            <w:pPr>
              <w:pStyle w:val="TableParagraph"/>
              <w:spacing w:line="233" w:lineRule="exact"/>
              <w:rPr>
                <w:b/>
                <w:sz w:val="22"/>
              </w:rPr>
            </w:pPr>
            <w:r>
              <w:rPr>
                <w:b/>
                <w:sz w:val="22"/>
              </w:rPr>
              <w:t>+32</w:t>
            </w:r>
            <w:r>
              <w:rPr>
                <w:b/>
                <w:spacing w:val="-1"/>
                <w:sz w:val="22"/>
              </w:rPr>
              <w:t> </w:t>
            </w:r>
            <w:r>
              <w:rPr>
                <w:b/>
                <w:sz w:val="22"/>
              </w:rPr>
              <w:t>2</w:t>
            </w:r>
            <w:r>
              <w:rPr>
                <w:b/>
                <w:spacing w:val="-1"/>
                <w:sz w:val="22"/>
              </w:rPr>
              <w:t> </w:t>
            </w:r>
            <w:r>
              <w:rPr>
                <w:b/>
                <w:spacing w:val="-2"/>
                <w:sz w:val="22"/>
              </w:rPr>
              <w:t>2952282</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33" w:lineRule="exact"/>
              <w:rPr>
                <w:b/>
                <w:sz w:val="22"/>
              </w:rPr>
            </w:pPr>
            <w:r>
              <w:rPr>
                <w:b/>
                <w:w w:val="100"/>
                <w:sz w:val="22"/>
              </w:rPr>
              <w:t>1</w:t>
            </w:r>
          </w:p>
        </w:tc>
      </w:tr>
      <w:tr>
        <w:trPr>
          <w:trHeight w:val="252"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32" w:lineRule="exact"/>
              <w:rPr>
                <w:b/>
                <w:sz w:val="22"/>
              </w:rPr>
            </w:pPr>
            <w:r>
              <w:rPr>
                <w:b/>
                <w:sz w:val="22"/>
              </w:rPr>
              <w:t>2</w:t>
            </w:r>
            <w:r>
              <w:rPr>
                <w:b/>
                <w:sz w:val="22"/>
                <w:vertAlign w:val="superscript"/>
              </w:rPr>
              <w:t>nd</w:t>
            </w:r>
            <w:r>
              <w:rPr>
                <w:b/>
                <w:spacing w:val="-4"/>
                <w:sz w:val="22"/>
                <w:vertAlign w:val="baseline"/>
              </w:rPr>
              <w:t> </w:t>
            </w:r>
            <w:r>
              <w:rPr>
                <w:b/>
                <w:sz w:val="22"/>
                <w:vertAlign w:val="baseline"/>
              </w:rPr>
              <w:t>quarter</w:t>
            </w:r>
            <w:r>
              <w:rPr>
                <w:b/>
                <w:spacing w:val="-2"/>
                <w:sz w:val="22"/>
                <w:vertAlign w:val="baseline"/>
              </w:rPr>
              <w:t> </w:t>
            </w:r>
            <w:r>
              <w:rPr>
                <w:b/>
                <w:sz w:val="22"/>
                <w:vertAlign w:val="baseline"/>
              </w:rPr>
              <w:t>2023</w:t>
            </w:r>
            <w:r>
              <w:rPr>
                <w:b/>
                <w:spacing w:val="-5"/>
                <w:sz w:val="22"/>
                <w:vertAlign w:val="baseline"/>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3"/>
                <w:sz w:val="22"/>
              </w:rPr>
              <w:t> </w:t>
            </w:r>
            <w:r>
              <w:rPr>
                <w:b/>
                <w:spacing w:val="-2"/>
                <w:sz w:val="22"/>
              </w:rPr>
              <w:t>duration:</w:t>
            </w:r>
          </w:p>
        </w:tc>
        <w:tc>
          <w:tcPr>
            <w:tcW w:w="5596" w:type="dxa"/>
            <w:gridSpan w:val="2"/>
            <w:tcBorders>
              <w:top w:val="nil"/>
              <w:bottom w:val="nil"/>
            </w:tcBorders>
          </w:tcPr>
          <w:p>
            <w:pPr>
              <w:pStyle w:val="TableParagraph"/>
              <w:spacing w:line="233" w:lineRule="exact"/>
              <w:rPr>
                <w:b/>
                <w:sz w:val="22"/>
              </w:rPr>
            </w:pPr>
            <w:r>
              <w:rPr>
                <w:b/>
                <w:sz w:val="22"/>
              </w:rPr>
              <w:t>2 </w:t>
            </w:r>
            <w:r>
              <w:rPr>
                <w:b/>
                <w:spacing w:val="-2"/>
                <w:sz w:val="22"/>
              </w:rPr>
              <w:t>years</w:t>
            </w:r>
            <w:r>
              <w:rPr>
                <w:b/>
                <w:spacing w:val="-2"/>
                <w:sz w:val="22"/>
                <w:vertAlign w:val="superscript"/>
              </w:rPr>
              <w:t>1</w:t>
            </w:r>
          </w:p>
        </w:tc>
      </w:tr>
      <w:tr>
        <w:trPr>
          <w:trHeight w:val="455" w:hRule="atLeast"/>
        </w:trPr>
        <w:tc>
          <w:tcPr>
            <w:tcW w:w="4359" w:type="dxa"/>
            <w:tcBorders>
              <w:top w:val="nil"/>
              <w:bottom w:val="nil"/>
            </w:tcBorders>
          </w:tcPr>
          <w:p>
            <w:pPr>
              <w:pStyle w:val="TableParagraph"/>
              <w:spacing w:line="249" w:lineRule="exact"/>
              <w:rPr>
                <w:b/>
                <w:sz w:val="22"/>
              </w:rPr>
            </w:pPr>
            <w:r>
              <w:rPr>
                <w:b/>
                <w:sz w:val="22"/>
              </w:rPr>
              <w:t>Place</w:t>
            </w:r>
            <w:r>
              <w:rPr>
                <w:b/>
                <w:spacing w:val="-4"/>
                <w:sz w:val="22"/>
              </w:rPr>
              <w:t> </w:t>
            </w:r>
            <w:r>
              <w:rPr>
                <w:b/>
                <w:sz w:val="22"/>
              </w:rPr>
              <w:t>of</w:t>
            </w:r>
            <w:r>
              <w:rPr>
                <w:b/>
                <w:spacing w:val="2"/>
                <w:sz w:val="22"/>
              </w:rPr>
              <w:t> </w:t>
            </w:r>
            <w:r>
              <w:rPr>
                <w:b/>
                <w:spacing w:val="-2"/>
                <w:sz w:val="22"/>
              </w:rPr>
              <w:t>secondment:</w:t>
            </w:r>
          </w:p>
        </w:tc>
        <w:tc>
          <w:tcPr>
            <w:tcW w:w="5596" w:type="dxa"/>
            <w:gridSpan w:val="2"/>
            <w:tcBorders>
              <w:top w:val="nil"/>
            </w:tcBorders>
          </w:tcPr>
          <w:p>
            <w:pPr>
              <w:pStyle w:val="TableParagraph"/>
              <w:spacing w:line="249"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1"/>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4"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5"/>
          <w:sz w:val="24"/>
          <w:u w:val="single"/>
        </w:rPr>
        <w:t> </w:t>
      </w:r>
      <w:r>
        <w:rPr>
          <w:b/>
          <w:spacing w:val="-2"/>
          <w:sz w:val="24"/>
          <w:u w:val="single"/>
        </w:rPr>
        <w:t>tasks</w:t>
      </w:r>
    </w:p>
    <w:p>
      <w:pPr>
        <w:pStyle w:val="BodyText"/>
        <w:spacing w:before="6"/>
        <w:rPr>
          <w:b/>
          <w:sz w:val="15"/>
        </w:rPr>
      </w:pPr>
    </w:p>
    <w:p>
      <w:pPr>
        <w:pStyle w:val="BodyText"/>
        <w:spacing w:before="92"/>
        <w:ind w:left="1080"/>
      </w:pPr>
      <w:r>
        <w:rPr/>
        <w:t>The</w:t>
      </w:r>
      <w:r>
        <w:rPr>
          <w:spacing w:val="-7"/>
        </w:rPr>
        <w:t> </w:t>
      </w:r>
      <w:r>
        <w:rPr/>
        <w:t>job</w:t>
      </w:r>
      <w:r>
        <w:rPr>
          <w:spacing w:val="-5"/>
        </w:rPr>
        <w:t> </w:t>
      </w:r>
      <w:r>
        <w:rPr/>
        <w:t>holder</w:t>
      </w:r>
      <w:r>
        <w:rPr>
          <w:spacing w:val="-1"/>
        </w:rPr>
        <w:t> </w:t>
      </w:r>
      <w:r>
        <w:rPr/>
        <w:t>will</w:t>
      </w:r>
      <w:r>
        <w:rPr>
          <w:spacing w:val="-1"/>
        </w:rPr>
        <w:t> </w:t>
      </w:r>
      <w:r>
        <w:rPr/>
        <w:t>have</w:t>
      </w:r>
      <w:r>
        <w:rPr>
          <w:spacing w:val="-2"/>
        </w:rPr>
        <w:t> </w:t>
      </w:r>
      <w:r>
        <w:rPr/>
        <w:t>to</w:t>
      </w:r>
      <w:r>
        <w:rPr>
          <w:spacing w:val="-5"/>
        </w:rPr>
        <w:t> </w:t>
      </w:r>
      <w:r>
        <w:rPr/>
        <w:t>carry</w:t>
      </w:r>
      <w:r>
        <w:rPr>
          <w:spacing w:val="-5"/>
        </w:rPr>
        <w:t> </w:t>
      </w:r>
      <w:r>
        <w:rPr/>
        <w:t>out</w:t>
      </w:r>
      <w:r>
        <w:rPr>
          <w:spacing w:val="-1"/>
        </w:rPr>
        <w:t> </w:t>
      </w:r>
      <w:r>
        <w:rPr/>
        <w:t>the</w:t>
      </w:r>
      <w:r>
        <w:rPr>
          <w:spacing w:val="-2"/>
        </w:rPr>
        <w:t> </w:t>
      </w:r>
      <w:r>
        <w:rPr/>
        <w:t>following</w:t>
      </w:r>
      <w:r>
        <w:rPr>
          <w:spacing w:val="-4"/>
        </w:rPr>
        <w:t> </w:t>
      </w:r>
      <w:r>
        <w:rPr>
          <w:spacing w:val="-2"/>
        </w:rPr>
        <w:t>tasks:</w:t>
      </w:r>
    </w:p>
    <w:p>
      <w:pPr>
        <w:pStyle w:val="BodyText"/>
        <w:spacing w:before="10"/>
        <w:rPr>
          <w:sz w:val="21"/>
        </w:rPr>
      </w:pPr>
    </w:p>
    <w:p>
      <w:pPr>
        <w:pStyle w:val="ListParagraph"/>
        <w:numPr>
          <w:ilvl w:val="1"/>
          <w:numId w:val="3"/>
        </w:numPr>
        <w:tabs>
          <w:tab w:pos="1801" w:val="left" w:leader="none"/>
        </w:tabs>
        <w:spacing w:line="240" w:lineRule="auto" w:before="0" w:after="0"/>
        <w:ind w:left="1800" w:right="111" w:hanging="360"/>
        <w:jc w:val="both"/>
        <w:rPr>
          <w:sz w:val="22"/>
        </w:rPr>
      </w:pPr>
      <w:r>
        <w:rPr>
          <w:sz w:val="22"/>
        </w:rPr>
        <w:t>Identify, analyse and assess potential threats stemming from terrorism and violent forms of extremism against European Commission interests (staff, VIPs and buildings) in all the places of activity within the EU.</w:t>
      </w:r>
    </w:p>
    <w:p>
      <w:pPr>
        <w:pStyle w:val="ListParagraph"/>
        <w:numPr>
          <w:ilvl w:val="1"/>
          <w:numId w:val="3"/>
        </w:numPr>
        <w:tabs>
          <w:tab w:pos="1801" w:val="left" w:leader="none"/>
        </w:tabs>
        <w:spacing w:line="240" w:lineRule="auto" w:before="0" w:after="0"/>
        <w:ind w:left="1800" w:right="110" w:hanging="360"/>
        <w:jc w:val="both"/>
        <w:rPr>
          <w:sz w:val="22"/>
        </w:rPr>
      </w:pPr>
      <w:r>
        <w:rPr>
          <w:sz w:val="22"/>
        </w:rPr>
        <w:t>Collect and analyse information in relation to terrorism, violent extremism, civil unrest, crime and armed conflict, in order to identify and assess the threat posed to European Commission staff and VIPs travelling on short-term missions outside the EU.</w:t>
      </w:r>
    </w:p>
    <w:p>
      <w:pPr>
        <w:pStyle w:val="ListParagraph"/>
        <w:numPr>
          <w:ilvl w:val="1"/>
          <w:numId w:val="3"/>
        </w:numPr>
        <w:tabs>
          <w:tab w:pos="1801" w:val="left" w:leader="none"/>
        </w:tabs>
        <w:spacing w:line="240" w:lineRule="auto" w:before="0" w:after="0"/>
        <w:ind w:left="1800" w:right="106" w:hanging="360"/>
        <w:jc w:val="both"/>
        <w:rPr>
          <w:sz w:val="22"/>
        </w:rPr>
      </w:pPr>
      <w:r>
        <w:rPr>
          <w:sz w:val="22"/>
        </w:rPr>
        <w:t>Monitor relevant sources (including commercial sources, open sources and social networks) in relation to the threat factors mentioned above.</w:t>
      </w:r>
    </w:p>
    <w:p>
      <w:pPr>
        <w:pStyle w:val="ListParagraph"/>
        <w:numPr>
          <w:ilvl w:val="1"/>
          <w:numId w:val="3"/>
        </w:numPr>
        <w:tabs>
          <w:tab w:pos="1801" w:val="left" w:leader="none"/>
        </w:tabs>
        <w:spacing w:line="267" w:lineRule="exact" w:before="0" w:after="0"/>
        <w:ind w:left="1800" w:right="0" w:hanging="361"/>
        <w:jc w:val="both"/>
        <w:rPr>
          <w:sz w:val="22"/>
        </w:rPr>
      </w:pPr>
      <w:r>
        <w:rPr>
          <w:sz w:val="22"/>
        </w:rPr>
        <w:t>Produce</w:t>
      </w:r>
      <w:r>
        <w:rPr>
          <w:spacing w:val="-6"/>
          <w:sz w:val="22"/>
        </w:rPr>
        <w:t> </w:t>
      </w:r>
      <w:r>
        <w:rPr>
          <w:sz w:val="22"/>
        </w:rPr>
        <w:t>threat</w:t>
      </w:r>
      <w:r>
        <w:rPr>
          <w:spacing w:val="-3"/>
          <w:sz w:val="22"/>
        </w:rPr>
        <w:t> </w:t>
      </w:r>
      <w:r>
        <w:rPr>
          <w:sz w:val="22"/>
        </w:rPr>
        <w:t>assessments</w:t>
      </w:r>
      <w:r>
        <w:rPr>
          <w:spacing w:val="-5"/>
          <w:sz w:val="22"/>
        </w:rPr>
        <w:t> </w:t>
      </w:r>
      <w:r>
        <w:rPr>
          <w:sz w:val="22"/>
        </w:rPr>
        <w:t>on</w:t>
      </w:r>
      <w:r>
        <w:rPr>
          <w:spacing w:val="-4"/>
          <w:sz w:val="22"/>
        </w:rPr>
        <w:t> </w:t>
      </w:r>
      <w:r>
        <w:rPr>
          <w:sz w:val="22"/>
        </w:rPr>
        <w:t>missions,</w:t>
      </w:r>
      <w:r>
        <w:rPr>
          <w:spacing w:val="-3"/>
          <w:sz w:val="22"/>
        </w:rPr>
        <w:t> </w:t>
      </w:r>
      <w:r>
        <w:rPr>
          <w:sz w:val="22"/>
        </w:rPr>
        <w:t>events,</w:t>
      </w:r>
      <w:r>
        <w:rPr>
          <w:spacing w:val="-4"/>
          <w:sz w:val="22"/>
        </w:rPr>
        <w:t> </w:t>
      </w:r>
      <w:r>
        <w:rPr>
          <w:sz w:val="22"/>
        </w:rPr>
        <w:t>buildings,</w:t>
      </w:r>
      <w:r>
        <w:rPr>
          <w:spacing w:val="-3"/>
          <w:sz w:val="22"/>
        </w:rPr>
        <w:t> </w:t>
      </w:r>
      <w:r>
        <w:rPr>
          <w:sz w:val="22"/>
        </w:rPr>
        <w:t>produce</w:t>
      </w:r>
      <w:r>
        <w:rPr>
          <w:spacing w:val="-6"/>
          <w:sz w:val="22"/>
        </w:rPr>
        <w:t> </w:t>
      </w:r>
      <w:r>
        <w:rPr>
          <w:sz w:val="22"/>
        </w:rPr>
        <w:t>ad-hoc</w:t>
      </w:r>
      <w:r>
        <w:rPr>
          <w:spacing w:val="-3"/>
          <w:sz w:val="22"/>
        </w:rPr>
        <w:t> </w:t>
      </w:r>
      <w:r>
        <w:rPr>
          <w:sz w:val="22"/>
        </w:rPr>
        <w:t>incident</w:t>
      </w:r>
      <w:r>
        <w:rPr>
          <w:spacing w:val="-5"/>
          <w:sz w:val="22"/>
        </w:rPr>
        <w:t> </w:t>
      </w:r>
      <w:r>
        <w:rPr>
          <w:spacing w:val="-2"/>
          <w:sz w:val="22"/>
        </w:rPr>
        <w:t>reports.</w:t>
      </w:r>
    </w:p>
    <w:p>
      <w:pPr>
        <w:pStyle w:val="ListParagraph"/>
        <w:numPr>
          <w:ilvl w:val="1"/>
          <w:numId w:val="3"/>
        </w:numPr>
        <w:tabs>
          <w:tab w:pos="1801" w:val="left" w:leader="none"/>
        </w:tabs>
        <w:spacing w:line="269" w:lineRule="exact" w:before="0" w:after="0"/>
        <w:ind w:left="1800" w:right="0" w:hanging="361"/>
        <w:jc w:val="both"/>
        <w:rPr>
          <w:sz w:val="22"/>
        </w:rPr>
      </w:pPr>
      <w:r>
        <w:rPr>
          <w:sz w:val="22"/>
        </w:rPr>
        <w:t>Contribute</w:t>
      </w:r>
      <w:r>
        <w:rPr>
          <w:spacing w:val="-8"/>
          <w:sz w:val="22"/>
        </w:rPr>
        <w:t> </w:t>
      </w:r>
      <w:r>
        <w:rPr>
          <w:sz w:val="22"/>
        </w:rPr>
        <w:t>to</w:t>
      </w:r>
      <w:r>
        <w:rPr>
          <w:spacing w:val="-5"/>
          <w:sz w:val="22"/>
        </w:rPr>
        <w:t> </w:t>
      </w:r>
      <w:r>
        <w:rPr>
          <w:sz w:val="22"/>
        </w:rPr>
        <w:t>Sector’s</w:t>
      </w:r>
      <w:r>
        <w:rPr>
          <w:spacing w:val="-6"/>
          <w:sz w:val="22"/>
        </w:rPr>
        <w:t> </w:t>
      </w:r>
      <w:r>
        <w:rPr>
          <w:sz w:val="22"/>
        </w:rPr>
        <w:t>methodologies,</w:t>
      </w:r>
      <w:r>
        <w:rPr>
          <w:spacing w:val="-5"/>
          <w:sz w:val="22"/>
        </w:rPr>
        <w:t> </w:t>
      </w:r>
      <w:r>
        <w:rPr>
          <w:sz w:val="22"/>
        </w:rPr>
        <w:t>Unit's</w:t>
      </w:r>
      <w:r>
        <w:rPr>
          <w:spacing w:val="-5"/>
          <w:sz w:val="22"/>
        </w:rPr>
        <w:t> </w:t>
      </w:r>
      <w:r>
        <w:rPr>
          <w:sz w:val="22"/>
        </w:rPr>
        <w:t>reports,</w:t>
      </w:r>
      <w:r>
        <w:rPr>
          <w:spacing w:val="-6"/>
          <w:sz w:val="22"/>
        </w:rPr>
        <w:t> </w:t>
      </w:r>
      <w:r>
        <w:rPr>
          <w:sz w:val="22"/>
        </w:rPr>
        <w:t>briefings</w:t>
      </w:r>
      <w:r>
        <w:rPr>
          <w:spacing w:val="-5"/>
          <w:sz w:val="22"/>
        </w:rPr>
        <w:t> </w:t>
      </w:r>
      <w:r>
        <w:rPr>
          <w:sz w:val="22"/>
        </w:rPr>
        <w:t>and</w:t>
      </w:r>
      <w:r>
        <w:rPr>
          <w:spacing w:val="-5"/>
          <w:sz w:val="22"/>
        </w:rPr>
        <w:t> </w:t>
      </w:r>
      <w:r>
        <w:rPr>
          <w:spacing w:val="-2"/>
          <w:sz w:val="22"/>
        </w:rPr>
        <w:t>presentations.</w:t>
      </w:r>
    </w:p>
    <w:p>
      <w:pPr>
        <w:pStyle w:val="ListParagraph"/>
        <w:numPr>
          <w:ilvl w:val="1"/>
          <w:numId w:val="3"/>
        </w:numPr>
        <w:tabs>
          <w:tab w:pos="1801" w:val="left" w:leader="none"/>
        </w:tabs>
        <w:spacing w:line="240" w:lineRule="auto" w:before="0" w:after="0"/>
        <w:ind w:left="1800" w:right="105" w:hanging="360"/>
        <w:jc w:val="both"/>
        <w:rPr>
          <w:sz w:val="22"/>
        </w:rPr>
      </w:pPr>
      <w:r>
        <w:rPr>
          <w:sz w:val="22"/>
        </w:rPr>
        <w:t>Maintain and further develop operational relations as well as keep regular exchanges internally</w:t>
      </w:r>
      <w:r>
        <w:rPr>
          <w:spacing w:val="40"/>
          <w:sz w:val="22"/>
        </w:rPr>
        <w:t> </w:t>
      </w:r>
      <w:r>
        <w:rPr>
          <w:sz w:val="22"/>
        </w:rPr>
        <w:t>with other teams within the Security Directorate, with relevant Directorates General, but also externally with relevant Member States’ services and other EU institutions/agencies/bodies and international organisations, particularly in the field of counter-terrorism and counter-extremism.</w:t>
      </w:r>
    </w:p>
    <w:p>
      <w:pPr>
        <w:pStyle w:val="ListParagraph"/>
        <w:numPr>
          <w:ilvl w:val="1"/>
          <w:numId w:val="3"/>
        </w:numPr>
        <w:tabs>
          <w:tab w:pos="1801" w:val="left" w:leader="none"/>
        </w:tabs>
        <w:spacing w:line="269" w:lineRule="exact" w:before="1" w:after="0"/>
        <w:ind w:left="1800" w:right="0" w:hanging="361"/>
        <w:jc w:val="both"/>
        <w:rPr>
          <w:sz w:val="22"/>
        </w:rPr>
      </w:pPr>
      <w:r>
        <w:rPr>
          <w:sz w:val="22"/>
        </w:rPr>
        <w:t>Represent</w:t>
      </w:r>
      <w:r>
        <w:rPr>
          <w:spacing w:val="-5"/>
          <w:sz w:val="22"/>
        </w:rPr>
        <w:t> </w:t>
      </w:r>
      <w:r>
        <w:rPr>
          <w:sz w:val="22"/>
        </w:rPr>
        <w:t>the</w:t>
      </w:r>
      <w:r>
        <w:rPr>
          <w:spacing w:val="-4"/>
          <w:sz w:val="22"/>
        </w:rPr>
        <w:t> </w:t>
      </w:r>
      <w:r>
        <w:rPr>
          <w:sz w:val="22"/>
        </w:rPr>
        <w:t>Security</w:t>
      </w:r>
      <w:r>
        <w:rPr>
          <w:spacing w:val="-6"/>
          <w:sz w:val="22"/>
        </w:rPr>
        <w:t> </w:t>
      </w:r>
      <w:r>
        <w:rPr>
          <w:sz w:val="22"/>
        </w:rPr>
        <w:t>Directorate</w:t>
      </w:r>
      <w:r>
        <w:rPr>
          <w:spacing w:val="-4"/>
          <w:sz w:val="22"/>
        </w:rPr>
        <w:t> </w:t>
      </w:r>
      <w:r>
        <w:rPr>
          <w:sz w:val="22"/>
        </w:rPr>
        <w:t>in</w:t>
      </w:r>
      <w:r>
        <w:rPr>
          <w:spacing w:val="-4"/>
          <w:sz w:val="22"/>
        </w:rPr>
        <w:t> </w:t>
      </w:r>
      <w:r>
        <w:rPr>
          <w:sz w:val="22"/>
        </w:rPr>
        <w:t>meetings</w:t>
      </w:r>
      <w:r>
        <w:rPr>
          <w:spacing w:val="-3"/>
          <w:sz w:val="22"/>
        </w:rPr>
        <w:t> </w:t>
      </w:r>
      <w:r>
        <w:rPr>
          <w:sz w:val="22"/>
        </w:rPr>
        <w:t>at</w:t>
      </w:r>
      <w:r>
        <w:rPr>
          <w:spacing w:val="-6"/>
          <w:sz w:val="22"/>
        </w:rPr>
        <w:t> </w:t>
      </w:r>
      <w:r>
        <w:rPr>
          <w:sz w:val="22"/>
        </w:rPr>
        <w:t>expert</w:t>
      </w:r>
      <w:r>
        <w:rPr>
          <w:spacing w:val="-2"/>
          <w:sz w:val="22"/>
        </w:rPr>
        <w:t> level.</w:t>
      </w:r>
    </w:p>
    <w:p>
      <w:pPr>
        <w:pStyle w:val="ListParagraph"/>
        <w:numPr>
          <w:ilvl w:val="1"/>
          <w:numId w:val="3"/>
        </w:numPr>
        <w:tabs>
          <w:tab w:pos="1801" w:val="left" w:leader="none"/>
        </w:tabs>
        <w:spacing w:line="240" w:lineRule="auto" w:before="0" w:after="0"/>
        <w:ind w:left="1800" w:right="104" w:hanging="360"/>
        <w:jc w:val="both"/>
        <w:rPr>
          <w:sz w:val="22"/>
        </w:rPr>
      </w:pPr>
      <w:r>
        <w:rPr>
          <w:sz w:val="22"/>
        </w:rPr>
        <w:t>Carry out internal investigations, screenings, raising awareness sessions in the field of counter- terrorism and counter-extremism.</w:t>
      </w:r>
    </w:p>
    <w:p>
      <w:pPr>
        <w:pStyle w:val="BodyText"/>
        <w:spacing w:before="2"/>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rPr>
          <w:b/>
          <w:sz w:val="20"/>
        </w:rPr>
      </w:pPr>
    </w:p>
    <w:p>
      <w:pPr>
        <w:pStyle w:val="BodyText"/>
        <w:spacing w:before="10"/>
        <w:rPr>
          <w:b/>
          <w:sz w:val="17"/>
        </w:rPr>
      </w:pPr>
      <w:r>
        <w:rPr/>
        <w:pict>
          <v:rect style="position:absolute;margin-left:42.599998pt;margin-top:11.478449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8"/>
        <w:ind w:left="799" w:right="113"/>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0"/>
          <w:numId w:val="5"/>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5"/>
        </w:numPr>
        <w:tabs>
          <w:tab w:pos="1081" w:val="left" w:leader="none"/>
        </w:tabs>
        <w:spacing w:line="240" w:lineRule="auto" w:before="0" w:after="0"/>
        <w:ind w:left="1080" w:right="108"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5"/>
        </w:numPr>
        <w:tabs>
          <w:tab w:pos="1081" w:val="left" w:leader="none"/>
        </w:tabs>
        <w:spacing w:line="240" w:lineRule="auto" w:before="0" w:after="0"/>
        <w:ind w:left="1080" w:right="105"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7"/>
        <w:rPr>
          <w:b/>
          <w:sz w:val="15"/>
        </w:rPr>
      </w:pPr>
    </w:p>
    <w:p>
      <w:pPr>
        <w:pStyle w:val="BodyText"/>
        <w:spacing w:line="252" w:lineRule="exact" w:before="91"/>
        <w:ind w:left="1080"/>
      </w:pPr>
      <w:r>
        <w:rPr>
          <w:spacing w:val="-2"/>
          <w:u w:val="single"/>
        </w:rPr>
        <w:t>Diploma</w:t>
      </w:r>
    </w:p>
    <w:p>
      <w:pPr>
        <w:pStyle w:val="ListParagraph"/>
        <w:numPr>
          <w:ilvl w:val="1"/>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40" w:lineRule="auto" w:before="2"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spacing w:line="477" w:lineRule="auto"/>
        <w:ind w:left="1080" w:right="290"/>
      </w:pPr>
      <w:r>
        <w:rPr/>
        <w:t>in</w:t>
      </w:r>
      <w:r>
        <w:rPr>
          <w:spacing w:val="-2"/>
        </w:rPr>
        <w:t> </w:t>
      </w:r>
      <w:r>
        <w:rPr/>
        <w:t>the</w:t>
      </w:r>
      <w:r>
        <w:rPr>
          <w:spacing w:val="-2"/>
        </w:rPr>
        <w:t> </w:t>
      </w:r>
      <w:r>
        <w:rPr/>
        <w:t>field(s):</w:t>
      </w:r>
      <w:r>
        <w:rPr>
          <w:spacing w:val="-6"/>
        </w:rPr>
        <w:t> </w:t>
      </w:r>
      <w:r>
        <w:rPr/>
        <w:t>Studies</w:t>
      </w:r>
      <w:r>
        <w:rPr>
          <w:spacing w:val="-2"/>
        </w:rPr>
        <w:t> </w:t>
      </w:r>
      <w:r>
        <w:rPr/>
        <w:t>on</w:t>
      </w:r>
      <w:r>
        <w:rPr>
          <w:spacing w:val="-5"/>
        </w:rPr>
        <w:t> </w:t>
      </w:r>
      <w:r>
        <w:rPr/>
        <w:t>a</w:t>
      </w:r>
      <w:r>
        <w:rPr>
          <w:spacing w:val="-4"/>
        </w:rPr>
        <w:t> </w:t>
      </w:r>
      <w:r>
        <w:rPr/>
        <w:t>topic</w:t>
      </w:r>
      <w:r>
        <w:rPr>
          <w:spacing w:val="-2"/>
        </w:rPr>
        <w:t> </w:t>
      </w:r>
      <w:r>
        <w:rPr/>
        <w:t>related</w:t>
      </w:r>
      <w:r>
        <w:rPr>
          <w:spacing w:val="-4"/>
        </w:rPr>
        <w:t> </w:t>
      </w:r>
      <w:r>
        <w:rPr/>
        <w:t>to</w:t>
      </w:r>
      <w:r>
        <w:rPr>
          <w:spacing w:val="-5"/>
        </w:rPr>
        <w:t> </w:t>
      </w:r>
      <w:r>
        <w:rPr/>
        <w:t>above-mentioned</w:t>
      </w:r>
      <w:r>
        <w:rPr>
          <w:spacing w:val="-4"/>
        </w:rPr>
        <w:t> </w:t>
      </w:r>
      <w:r>
        <w:rPr/>
        <w:t>tasks</w:t>
      </w:r>
      <w:r>
        <w:rPr>
          <w:spacing w:val="-2"/>
        </w:rPr>
        <w:t> </w:t>
      </w:r>
      <w:r>
        <w:rPr/>
        <w:t>will</w:t>
      </w:r>
      <w:r>
        <w:rPr>
          <w:spacing w:val="-1"/>
        </w:rPr>
        <w:t> </w:t>
      </w:r>
      <w:r>
        <w:rPr/>
        <w:t>be</w:t>
      </w:r>
      <w:r>
        <w:rPr>
          <w:spacing w:val="-2"/>
        </w:rPr>
        <w:t> </w:t>
      </w:r>
      <w:r>
        <w:rPr/>
        <w:t>considered</w:t>
      </w:r>
      <w:r>
        <w:rPr>
          <w:spacing w:val="-2"/>
        </w:rPr>
        <w:t> </w:t>
      </w:r>
      <w:r>
        <w:rPr/>
        <w:t>an</w:t>
      </w:r>
      <w:r>
        <w:rPr>
          <w:spacing w:val="-2"/>
        </w:rPr>
        <w:t> </w:t>
      </w:r>
      <w:r>
        <w:rPr/>
        <w:t>asset. </w:t>
      </w:r>
      <w:r>
        <w:rPr>
          <w:u w:val="single"/>
        </w:rPr>
        <w:t>Professional experience</w:t>
      </w:r>
    </w:p>
    <w:p>
      <w:pPr>
        <w:pStyle w:val="BodyText"/>
        <w:spacing w:before="4"/>
        <w:ind w:left="1080"/>
      </w:pPr>
      <w:r>
        <w:rPr/>
        <w:t>A professional experience in relation to the above-mentioned tasks of at least two years is required. More specifically, candidates should have experience in several of these fields:</w:t>
      </w:r>
    </w:p>
    <w:p>
      <w:pPr>
        <w:pStyle w:val="ListParagraph"/>
        <w:numPr>
          <w:ilvl w:val="2"/>
          <w:numId w:val="4"/>
        </w:numPr>
        <w:tabs>
          <w:tab w:pos="1800" w:val="left" w:leader="none"/>
          <w:tab w:pos="1801" w:val="left" w:leader="none"/>
        </w:tabs>
        <w:spacing w:line="240" w:lineRule="auto" w:before="1" w:after="0"/>
        <w:ind w:left="1800" w:right="174" w:hanging="360"/>
        <w:jc w:val="left"/>
        <w:rPr>
          <w:sz w:val="22"/>
        </w:rPr>
      </w:pPr>
      <w:r>
        <w:rPr>
          <w:sz w:val="22"/>
        </w:rPr>
        <w:t>Collecting</w:t>
      </w:r>
      <w:r>
        <w:rPr>
          <w:spacing w:val="38"/>
          <w:sz w:val="22"/>
        </w:rPr>
        <w:t> </w:t>
      </w:r>
      <w:r>
        <w:rPr>
          <w:sz w:val="22"/>
        </w:rPr>
        <w:t>in</w:t>
      </w:r>
      <w:r>
        <w:rPr>
          <w:spacing w:val="40"/>
          <w:sz w:val="22"/>
        </w:rPr>
        <w:t> </w:t>
      </w:r>
      <w:r>
        <w:rPr>
          <w:sz w:val="22"/>
        </w:rPr>
        <w:t>a</w:t>
      </w:r>
      <w:r>
        <w:rPr>
          <w:spacing w:val="39"/>
          <w:sz w:val="22"/>
        </w:rPr>
        <w:t> </w:t>
      </w:r>
      <w:r>
        <w:rPr>
          <w:sz w:val="22"/>
        </w:rPr>
        <w:t>structured</w:t>
      </w:r>
      <w:r>
        <w:rPr>
          <w:spacing w:val="39"/>
          <w:sz w:val="22"/>
        </w:rPr>
        <w:t> </w:t>
      </w:r>
      <w:r>
        <w:rPr>
          <w:sz w:val="22"/>
        </w:rPr>
        <w:t>way</w:t>
      </w:r>
      <w:r>
        <w:rPr>
          <w:spacing w:val="39"/>
          <w:sz w:val="22"/>
        </w:rPr>
        <w:t> </w:t>
      </w:r>
      <w:r>
        <w:rPr>
          <w:sz w:val="22"/>
        </w:rPr>
        <w:t>and</w:t>
      </w:r>
      <w:r>
        <w:rPr>
          <w:spacing w:val="40"/>
          <w:sz w:val="22"/>
        </w:rPr>
        <w:t> </w:t>
      </w:r>
      <w:r>
        <w:rPr>
          <w:sz w:val="22"/>
        </w:rPr>
        <w:t>analysing</w:t>
      </w:r>
      <w:r>
        <w:rPr>
          <w:spacing w:val="38"/>
          <w:sz w:val="22"/>
        </w:rPr>
        <w:t> </w:t>
      </w:r>
      <w:r>
        <w:rPr>
          <w:sz w:val="22"/>
        </w:rPr>
        <w:t>information</w:t>
      </w:r>
      <w:r>
        <w:rPr>
          <w:spacing w:val="40"/>
          <w:sz w:val="22"/>
        </w:rPr>
        <w:t> </w:t>
      </w:r>
      <w:r>
        <w:rPr>
          <w:sz w:val="22"/>
        </w:rPr>
        <w:t>from</w:t>
      </w:r>
      <w:r>
        <w:rPr>
          <w:spacing w:val="37"/>
          <w:sz w:val="22"/>
        </w:rPr>
        <w:t> </w:t>
      </w:r>
      <w:r>
        <w:rPr>
          <w:sz w:val="22"/>
        </w:rPr>
        <w:t>relevant</w:t>
      </w:r>
      <w:r>
        <w:rPr>
          <w:spacing w:val="39"/>
          <w:sz w:val="22"/>
        </w:rPr>
        <w:t> </w:t>
      </w:r>
      <w:r>
        <w:rPr>
          <w:sz w:val="22"/>
        </w:rPr>
        <w:t>sources</w:t>
      </w:r>
      <w:r>
        <w:rPr>
          <w:spacing w:val="39"/>
          <w:sz w:val="22"/>
        </w:rPr>
        <w:t> </w:t>
      </w:r>
      <w:r>
        <w:rPr>
          <w:sz w:val="22"/>
        </w:rPr>
        <w:t>in</w:t>
      </w:r>
      <w:r>
        <w:rPr>
          <w:spacing w:val="40"/>
          <w:sz w:val="22"/>
        </w:rPr>
        <w:t> </w:t>
      </w:r>
      <w:r>
        <w:rPr>
          <w:sz w:val="22"/>
        </w:rPr>
        <w:t>relation</w:t>
      </w:r>
      <w:r>
        <w:rPr>
          <w:spacing w:val="38"/>
          <w:sz w:val="22"/>
        </w:rPr>
        <w:t> </w:t>
      </w:r>
      <w:r>
        <w:rPr>
          <w:sz w:val="22"/>
        </w:rPr>
        <w:t>to security threats (particularly terrorism and violent forms of extremism).</w:t>
      </w:r>
    </w:p>
    <w:p>
      <w:pPr>
        <w:pStyle w:val="ListParagraph"/>
        <w:numPr>
          <w:ilvl w:val="2"/>
          <w:numId w:val="4"/>
        </w:numPr>
        <w:tabs>
          <w:tab w:pos="1800" w:val="left" w:leader="none"/>
          <w:tab w:pos="1801" w:val="left" w:leader="none"/>
        </w:tabs>
        <w:spacing w:line="267" w:lineRule="exact" w:before="0" w:after="0"/>
        <w:ind w:left="1800" w:right="0" w:hanging="361"/>
        <w:jc w:val="left"/>
        <w:rPr>
          <w:sz w:val="22"/>
        </w:rPr>
      </w:pPr>
      <w:r>
        <w:rPr>
          <w:sz w:val="22"/>
        </w:rPr>
        <w:t>Performing</w:t>
      </w:r>
      <w:r>
        <w:rPr>
          <w:spacing w:val="-9"/>
          <w:sz w:val="22"/>
        </w:rPr>
        <w:t> </w:t>
      </w:r>
      <w:r>
        <w:rPr>
          <w:sz w:val="22"/>
        </w:rPr>
        <w:t>security</w:t>
      </w:r>
      <w:r>
        <w:rPr>
          <w:spacing w:val="-7"/>
          <w:sz w:val="22"/>
        </w:rPr>
        <w:t> </w:t>
      </w:r>
      <w:r>
        <w:rPr>
          <w:sz w:val="22"/>
        </w:rPr>
        <w:t>threat</w:t>
      </w:r>
      <w:r>
        <w:rPr>
          <w:spacing w:val="-6"/>
          <w:sz w:val="22"/>
        </w:rPr>
        <w:t> </w:t>
      </w:r>
      <w:r>
        <w:rPr>
          <w:sz w:val="22"/>
        </w:rPr>
        <w:t>assessments</w:t>
      </w:r>
      <w:r>
        <w:rPr>
          <w:spacing w:val="-3"/>
          <w:sz w:val="22"/>
        </w:rPr>
        <w:t> </w:t>
      </w:r>
      <w:r>
        <w:rPr>
          <w:sz w:val="22"/>
        </w:rPr>
        <w:t>following</w:t>
      </w:r>
      <w:r>
        <w:rPr>
          <w:spacing w:val="-7"/>
          <w:sz w:val="22"/>
        </w:rPr>
        <w:t> </w:t>
      </w:r>
      <w:r>
        <w:rPr>
          <w:sz w:val="22"/>
        </w:rPr>
        <w:t>a</w:t>
      </w:r>
      <w:r>
        <w:rPr>
          <w:spacing w:val="-6"/>
          <w:sz w:val="22"/>
        </w:rPr>
        <w:t> </w:t>
      </w:r>
      <w:r>
        <w:rPr>
          <w:sz w:val="22"/>
        </w:rPr>
        <w:t>threat</w:t>
      </w:r>
      <w:r>
        <w:rPr>
          <w:spacing w:val="-6"/>
          <w:sz w:val="22"/>
        </w:rPr>
        <w:t> </w:t>
      </w:r>
      <w:r>
        <w:rPr>
          <w:sz w:val="22"/>
        </w:rPr>
        <w:t>assessment</w:t>
      </w:r>
      <w:r>
        <w:rPr>
          <w:spacing w:val="-2"/>
          <w:sz w:val="22"/>
        </w:rPr>
        <w:t> methodology.</w:t>
      </w:r>
    </w:p>
    <w:p>
      <w:pPr>
        <w:pStyle w:val="ListParagraph"/>
        <w:numPr>
          <w:ilvl w:val="2"/>
          <w:numId w:val="4"/>
        </w:numPr>
        <w:tabs>
          <w:tab w:pos="1800" w:val="left" w:leader="none"/>
          <w:tab w:pos="1801" w:val="left" w:leader="none"/>
        </w:tabs>
        <w:spacing w:line="269" w:lineRule="exact" w:before="0" w:after="0"/>
        <w:ind w:left="1800" w:right="0" w:hanging="361"/>
        <w:jc w:val="left"/>
        <w:rPr>
          <w:sz w:val="22"/>
        </w:rPr>
      </w:pPr>
      <w:r>
        <w:rPr>
          <w:sz w:val="22"/>
        </w:rPr>
        <w:t>Monitoring</w:t>
      </w:r>
      <w:r>
        <w:rPr>
          <w:spacing w:val="-8"/>
          <w:sz w:val="22"/>
        </w:rPr>
        <w:t> </w:t>
      </w:r>
      <w:r>
        <w:rPr>
          <w:sz w:val="22"/>
        </w:rPr>
        <w:t>open</w:t>
      </w:r>
      <w:r>
        <w:rPr>
          <w:spacing w:val="-4"/>
          <w:sz w:val="22"/>
        </w:rPr>
        <w:t> </w:t>
      </w:r>
      <w:r>
        <w:rPr>
          <w:sz w:val="22"/>
        </w:rPr>
        <w:t>sources</w:t>
      </w:r>
      <w:r>
        <w:rPr>
          <w:spacing w:val="-5"/>
          <w:sz w:val="22"/>
        </w:rPr>
        <w:t> </w:t>
      </w:r>
      <w:r>
        <w:rPr>
          <w:sz w:val="22"/>
        </w:rPr>
        <w:t>in</w:t>
      </w:r>
      <w:r>
        <w:rPr>
          <w:spacing w:val="-5"/>
          <w:sz w:val="22"/>
        </w:rPr>
        <w:t> </w:t>
      </w:r>
      <w:r>
        <w:rPr>
          <w:sz w:val="22"/>
        </w:rPr>
        <w:t>relation</w:t>
      </w:r>
      <w:r>
        <w:rPr>
          <w:spacing w:val="-5"/>
          <w:sz w:val="22"/>
        </w:rPr>
        <w:t> </w:t>
      </w:r>
      <w:r>
        <w:rPr>
          <w:sz w:val="22"/>
        </w:rPr>
        <w:t>to</w:t>
      </w:r>
      <w:r>
        <w:rPr>
          <w:spacing w:val="-3"/>
          <w:sz w:val="22"/>
        </w:rPr>
        <w:t> </w:t>
      </w:r>
      <w:r>
        <w:rPr>
          <w:sz w:val="22"/>
        </w:rPr>
        <w:t>the</w:t>
      </w:r>
      <w:r>
        <w:rPr>
          <w:spacing w:val="1"/>
          <w:sz w:val="22"/>
        </w:rPr>
        <w:t> </w:t>
      </w:r>
      <w:r>
        <w:rPr>
          <w:sz w:val="22"/>
        </w:rPr>
        <w:t>above</w:t>
      </w:r>
      <w:r>
        <w:rPr>
          <w:spacing w:val="-3"/>
          <w:sz w:val="22"/>
        </w:rPr>
        <w:t> </w:t>
      </w:r>
      <w:r>
        <w:rPr>
          <w:sz w:val="22"/>
        </w:rPr>
        <w:t>mentioned</w:t>
      </w:r>
      <w:r>
        <w:rPr>
          <w:spacing w:val="-2"/>
          <w:sz w:val="22"/>
        </w:rPr>
        <w:t> </w:t>
      </w:r>
      <w:r>
        <w:rPr>
          <w:sz w:val="22"/>
        </w:rPr>
        <w:t>threat</w:t>
      </w:r>
      <w:r>
        <w:rPr>
          <w:spacing w:val="-4"/>
          <w:sz w:val="22"/>
        </w:rPr>
        <w:t> </w:t>
      </w:r>
      <w:r>
        <w:rPr>
          <w:spacing w:val="-2"/>
          <w:sz w:val="22"/>
        </w:rPr>
        <w:t>factors.</w:t>
      </w:r>
    </w:p>
    <w:p>
      <w:pPr>
        <w:pStyle w:val="ListParagraph"/>
        <w:numPr>
          <w:ilvl w:val="2"/>
          <w:numId w:val="4"/>
        </w:numPr>
        <w:tabs>
          <w:tab w:pos="1801" w:val="left" w:leader="none"/>
        </w:tabs>
        <w:spacing w:line="240" w:lineRule="auto" w:before="0" w:after="0"/>
        <w:ind w:left="1800" w:right="175" w:hanging="360"/>
        <w:jc w:val="both"/>
        <w:rPr>
          <w:sz w:val="22"/>
        </w:rPr>
      </w:pPr>
      <w:r>
        <w:rPr>
          <w:sz w:val="22"/>
        </w:rPr>
        <w:t>Monitoring and analysing international and regional terrorist organisations and/or main violent extremist groups in and outside Europe.</w:t>
      </w:r>
    </w:p>
    <w:p>
      <w:pPr>
        <w:pStyle w:val="ListParagraph"/>
        <w:numPr>
          <w:ilvl w:val="2"/>
          <w:numId w:val="4"/>
        </w:numPr>
        <w:tabs>
          <w:tab w:pos="1801" w:val="left" w:leader="none"/>
        </w:tabs>
        <w:spacing w:line="240" w:lineRule="auto" w:before="1" w:after="0"/>
        <w:ind w:left="1800" w:right="174" w:hanging="360"/>
        <w:jc w:val="both"/>
        <w:rPr>
          <w:sz w:val="22"/>
        </w:rPr>
      </w:pPr>
      <w:r>
        <w:rPr>
          <w:sz w:val="22"/>
        </w:rPr>
        <w:t>Performing integrated operational analysis based on compiled information from a variety of sources with the use of case management systems or integrated databases in accordance with existing data protection rules.</w:t>
      </w:r>
    </w:p>
    <w:p>
      <w:pPr>
        <w:pStyle w:val="ListParagraph"/>
        <w:numPr>
          <w:ilvl w:val="2"/>
          <w:numId w:val="4"/>
        </w:numPr>
        <w:tabs>
          <w:tab w:pos="1801" w:val="left" w:leader="none"/>
        </w:tabs>
        <w:spacing w:line="269" w:lineRule="exact" w:before="0" w:after="0"/>
        <w:ind w:left="1800" w:right="0" w:hanging="361"/>
        <w:jc w:val="both"/>
        <w:rPr>
          <w:sz w:val="22"/>
        </w:rPr>
      </w:pPr>
      <w:r>
        <w:rPr>
          <w:sz w:val="22"/>
        </w:rPr>
        <w:t>Conducting</w:t>
      </w:r>
      <w:r>
        <w:rPr>
          <w:spacing w:val="-8"/>
          <w:sz w:val="22"/>
        </w:rPr>
        <w:t> </w:t>
      </w:r>
      <w:r>
        <w:rPr>
          <w:sz w:val="22"/>
        </w:rPr>
        <w:t>or</w:t>
      </w:r>
      <w:r>
        <w:rPr>
          <w:spacing w:val="-5"/>
          <w:sz w:val="22"/>
        </w:rPr>
        <w:t> </w:t>
      </w:r>
      <w:r>
        <w:rPr>
          <w:sz w:val="22"/>
        </w:rPr>
        <w:t>participating</w:t>
      </w:r>
      <w:r>
        <w:rPr>
          <w:spacing w:val="-7"/>
          <w:sz w:val="22"/>
        </w:rPr>
        <w:t> </w:t>
      </w:r>
      <w:r>
        <w:rPr>
          <w:sz w:val="22"/>
        </w:rPr>
        <w:t>in</w:t>
      </w:r>
      <w:r>
        <w:rPr>
          <w:spacing w:val="-5"/>
          <w:sz w:val="22"/>
        </w:rPr>
        <w:t> </w:t>
      </w:r>
      <w:r>
        <w:rPr>
          <w:sz w:val="22"/>
        </w:rPr>
        <w:t>counter-terrorism</w:t>
      </w:r>
      <w:r>
        <w:rPr>
          <w:spacing w:val="-8"/>
          <w:sz w:val="22"/>
        </w:rPr>
        <w:t> </w:t>
      </w:r>
      <w:r>
        <w:rPr>
          <w:spacing w:val="-2"/>
          <w:sz w:val="22"/>
        </w:rPr>
        <w:t>investigations.</w:t>
      </w:r>
    </w:p>
    <w:p>
      <w:pPr>
        <w:pStyle w:val="ListParagraph"/>
        <w:numPr>
          <w:ilvl w:val="2"/>
          <w:numId w:val="4"/>
        </w:numPr>
        <w:tabs>
          <w:tab w:pos="1801" w:val="left" w:leader="none"/>
        </w:tabs>
        <w:spacing w:line="269" w:lineRule="exact" w:before="0" w:after="0"/>
        <w:ind w:left="1800" w:right="0" w:hanging="361"/>
        <w:jc w:val="both"/>
        <w:rPr>
          <w:sz w:val="22"/>
        </w:rPr>
      </w:pPr>
      <w:r>
        <w:rPr>
          <w:sz w:val="22"/>
        </w:rPr>
        <w:t>Conducting</w:t>
      </w:r>
      <w:r>
        <w:rPr>
          <w:spacing w:val="-8"/>
          <w:sz w:val="22"/>
        </w:rPr>
        <w:t> </w:t>
      </w:r>
      <w:r>
        <w:rPr>
          <w:sz w:val="22"/>
        </w:rPr>
        <w:t>interviews</w:t>
      </w:r>
      <w:r>
        <w:rPr>
          <w:spacing w:val="-5"/>
          <w:sz w:val="22"/>
        </w:rPr>
        <w:t> </w:t>
      </w:r>
      <w:r>
        <w:rPr>
          <w:sz w:val="22"/>
        </w:rPr>
        <w:t>and</w:t>
      </w:r>
      <w:r>
        <w:rPr>
          <w:spacing w:val="-5"/>
          <w:sz w:val="22"/>
        </w:rPr>
        <w:t> </w:t>
      </w:r>
      <w:r>
        <w:rPr>
          <w:sz w:val="22"/>
        </w:rPr>
        <w:t>recording</w:t>
      </w:r>
      <w:r>
        <w:rPr>
          <w:spacing w:val="-5"/>
          <w:sz w:val="22"/>
        </w:rPr>
        <w:t> </w:t>
      </w:r>
      <w:r>
        <w:rPr>
          <w:sz w:val="22"/>
        </w:rPr>
        <w:t>statements</w:t>
      </w:r>
      <w:r>
        <w:rPr>
          <w:spacing w:val="-3"/>
          <w:sz w:val="22"/>
        </w:rPr>
        <w:t> </w:t>
      </w:r>
      <w:r>
        <w:rPr>
          <w:sz w:val="22"/>
        </w:rPr>
        <w:t>in the</w:t>
      </w:r>
      <w:r>
        <w:rPr>
          <w:spacing w:val="-4"/>
          <w:sz w:val="22"/>
        </w:rPr>
        <w:t> </w:t>
      </w:r>
      <w:r>
        <w:rPr>
          <w:sz w:val="22"/>
        </w:rPr>
        <w:t>frame</w:t>
      </w:r>
      <w:r>
        <w:rPr>
          <w:spacing w:val="-3"/>
          <w:sz w:val="22"/>
        </w:rPr>
        <w:t> </w:t>
      </w:r>
      <w:r>
        <w:rPr>
          <w:sz w:val="22"/>
        </w:rPr>
        <w:t>of</w:t>
      </w:r>
      <w:r>
        <w:rPr>
          <w:spacing w:val="-4"/>
          <w:sz w:val="22"/>
        </w:rPr>
        <w:t> </w:t>
      </w:r>
      <w:r>
        <w:rPr>
          <w:sz w:val="22"/>
        </w:rPr>
        <w:t>the</w:t>
      </w:r>
      <w:r>
        <w:rPr>
          <w:spacing w:val="-4"/>
          <w:sz w:val="22"/>
        </w:rPr>
        <w:t> </w:t>
      </w:r>
      <w:r>
        <w:rPr>
          <w:spacing w:val="-2"/>
          <w:sz w:val="22"/>
        </w:rPr>
        <w:t>investigations.</w:t>
      </w:r>
    </w:p>
    <w:p>
      <w:pPr>
        <w:pStyle w:val="BodyText"/>
        <w:spacing w:before="9"/>
        <w:rPr>
          <w:sz w:val="21"/>
        </w:rPr>
      </w:pPr>
    </w:p>
    <w:p>
      <w:pPr>
        <w:pStyle w:val="BodyText"/>
        <w:ind w:left="1080" w:right="172"/>
        <w:jc w:val="both"/>
      </w:pPr>
      <w:r>
        <w:rPr/>
        <w:t>Experience in using OSINT related tools, as well as sound knowledge of advance search engines and metasearch engines, access to information records contained within the public information systems would be a plus.</w:t>
      </w:r>
    </w:p>
    <w:p>
      <w:pPr>
        <w:pStyle w:val="BodyText"/>
        <w:spacing w:before="1"/>
      </w:pPr>
    </w:p>
    <w:p>
      <w:pPr>
        <w:pStyle w:val="BodyText"/>
        <w:ind w:left="1080"/>
      </w:pPr>
      <w:r>
        <w:rPr/>
        <w:t>Candidates</w:t>
      </w:r>
      <w:r>
        <w:rPr>
          <w:spacing w:val="-3"/>
        </w:rPr>
        <w:t> </w:t>
      </w:r>
      <w:r>
        <w:rPr/>
        <w:t>should</w:t>
      </w:r>
      <w:r>
        <w:rPr>
          <w:spacing w:val="-5"/>
        </w:rPr>
        <w:t> </w:t>
      </w:r>
      <w:r>
        <w:rPr/>
        <w:t>also</w:t>
      </w:r>
      <w:r>
        <w:rPr>
          <w:spacing w:val="-3"/>
        </w:rPr>
        <w:t> </w:t>
      </w:r>
      <w:r>
        <w:rPr/>
        <w:t>have</w:t>
      </w:r>
      <w:r>
        <w:rPr>
          <w:spacing w:val="-2"/>
        </w:rPr>
        <w:t> </w:t>
      </w:r>
      <w:r>
        <w:rPr/>
        <w:t>the</w:t>
      </w:r>
      <w:r>
        <w:rPr>
          <w:spacing w:val="-4"/>
        </w:rPr>
        <w:t> </w:t>
      </w:r>
      <w:r>
        <w:rPr/>
        <w:t>capacity</w:t>
      </w:r>
      <w:r>
        <w:rPr>
          <w:spacing w:val="-5"/>
        </w:rPr>
        <w:t> to:</w:t>
      </w:r>
    </w:p>
    <w:p>
      <w:pPr>
        <w:pStyle w:val="ListParagraph"/>
        <w:numPr>
          <w:ilvl w:val="2"/>
          <w:numId w:val="4"/>
        </w:numPr>
        <w:tabs>
          <w:tab w:pos="1800" w:val="left" w:leader="none"/>
          <w:tab w:pos="1801" w:val="left" w:leader="none"/>
        </w:tabs>
        <w:spacing w:line="269" w:lineRule="exact" w:before="0" w:after="0"/>
        <w:ind w:left="1800" w:right="0" w:hanging="361"/>
        <w:jc w:val="left"/>
        <w:rPr>
          <w:sz w:val="22"/>
        </w:rPr>
      </w:pPr>
      <w:r>
        <w:rPr>
          <w:sz w:val="22"/>
        </w:rPr>
        <w:t>Write</w:t>
      </w:r>
      <w:r>
        <w:rPr>
          <w:spacing w:val="-8"/>
          <w:sz w:val="22"/>
        </w:rPr>
        <w:t> </w:t>
      </w:r>
      <w:r>
        <w:rPr>
          <w:sz w:val="22"/>
        </w:rPr>
        <w:t>clear,</w:t>
      </w:r>
      <w:r>
        <w:rPr>
          <w:spacing w:val="-5"/>
          <w:sz w:val="22"/>
        </w:rPr>
        <w:t> </w:t>
      </w:r>
      <w:r>
        <w:rPr>
          <w:sz w:val="22"/>
        </w:rPr>
        <w:t>schematic,</w:t>
      </w:r>
      <w:r>
        <w:rPr>
          <w:spacing w:val="-4"/>
          <w:sz w:val="22"/>
        </w:rPr>
        <w:t> </w:t>
      </w:r>
      <w:r>
        <w:rPr>
          <w:sz w:val="22"/>
        </w:rPr>
        <w:t>concise,</w:t>
      </w:r>
      <w:r>
        <w:rPr>
          <w:spacing w:val="-3"/>
          <w:sz w:val="22"/>
        </w:rPr>
        <w:t> </w:t>
      </w:r>
      <w:r>
        <w:rPr>
          <w:sz w:val="22"/>
        </w:rPr>
        <w:t>sound</w:t>
      </w:r>
      <w:r>
        <w:rPr>
          <w:spacing w:val="-3"/>
          <w:sz w:val="22"/>
        </w:rPr>
        <w:t> </w:t>
      </w:r>
      <w:r>
        <w:rPr>
          <w:sz w:val="22"/>
        </w:rPr>
        <w:t>and</w:t>
      </w:r>
      <w:r>
        <w:rPr>
          <w:spacing w:val="-5"/>
          <w:sz w:val="22"/>
        </w:rPr>
        <w:t> </w:t>
      </w:r>
      <w:r>
        <w:rPr>
          <w:sz w:val="22"/>
        </w:rPr>
        <w:t>accurate</w:t>
      </w:r>
      <w:r>
        <w:rPr>
          <w:spacing w:val="-5"/>
          <w:sz w:val="22"/>
        </w:rPr>
        <w:t> </w:t>
      </w:r>
      <w:r>
        <w:rPr>
          <w:sz w:val="22"/>
        </w:rPr>
        <w:t>threat</w:t>
      </w:r>
      <w:r>
        <w:rPr>
          <w:spacing w:val="-5"/>
          <w:sz w:val="22"/>
        </w:rPr>
        <w:t> </w:t>
      </w:r>
      <w:r>
        <w:rPr>
          <w:sz w:val="22"/>
        </w:rPr>
        <w:t>assessments,</w:t>
      </w:r>
      <w:r>
        <w:rPr>
          <w:spacing w:val="-5"/>
          <w:sz w:val="22"/>
        </w:rPr>
        <w:t> </w:t>
      </w:r>
      <w:r>
        <w:rPr>
          <w:sz w:val="22"/>
        </w:rPr>
        <w:t>reports,</w:t>
      </w:r>
      <w:r>
        <w:rPr>
          <w:spacing w:val="-3"/>
          <w:sz w:val="22"/>
        </w:rPr>
        <w:t> </w:t>
      </w:r>
      <w:r>
        <w:rPr>
          <w:sz w:val="22"/>
        </w:rPr>
        <w:t>notes</w:t>
      </w:r>
      <w:r>
        <w:rPr>
          <w:spacing w:val="-3"/>
          <w:sz w:val="22"/>
        </w:rPr>
        <w:t> </w:t>
      </w:r>
      <w:r>
        <w:rPr>
          <w:sz w:val="22"/>
        </w:rPr>
        <w:t>or</w:t>
      </w:r>
      <w:r>
        <w:rPr>
          <w:spacing w:val="-3"/>
          <w:sz w:val="22"/>
        </w:rPr>
        <w:t> </w:t>
      </w:r>
      <w:r>
        <w:rPr>
          <w:spacing w:val="-2"/>
          <w:sz w:val="22"/>
        </w:rPr>
        <w:t>briefings.</w:t>
      </w:r>
    </w:p>
    <w:p>
      <w:pPr>
        <w:pStyle w:val="ListParagraph"/>
        <w:numPr>
          <w:ilvl w:val="2"/>
          <w:numId w:val="4"/>
        </w:numPr>
        <w:tabs>
          <w:tab w:pos="1800" w:val="left" w:leader="none"/>
          <w:tab w:pos="1801" w:val="left" w:leader="none"/>
        </w:tabs>
        <w:spacing w:line="269" w:lineRule="exact" w:before="0" w:after="0"/>
        <w:ind w:left="1800" w:right="0" w:hanging="361"/>
        <w:jc w:val="left"/>
        <w:rPr>
          <w:sz w:val="22"/>
        </w:rPr>
      </w:pPr>
      <w:r>
        <w:rPr>
          <w:sz w:val="22"/>
        </w:rPr>
        <w:t>Communicate</w:t>
      </w:r>
      <w:r>
        <w:rPr>
          <w:spacing w:val="-4"/>
          <w:sz w:val="22"/>
        </w:rPr>
        <w:t> </w:t>
      </w:r>
      <w:r>
        <w:rPr>
          <w:sz w:val="22"/>
        </w:rPr>
        <w:t>clearly</w:t>
      </w:r>
      <w:r>
        <w:rPr>
          <w:spacing w:val="-7"/>
          <w:sz w:val="22"/>
        </w:rPr>
        <w:t> </w:t>
      </w:r>
      <w:r>
        <w:rPr>
          <w:sz w:val="22"/>
        </w:rPr>
        <w:t>and</w:t>
      </w:r>
      <w:r>
        <w:rPr>
          <w:spacing w:val="-5"/>
          <w:sz w:val="22"/>
        </w:rPr>
        <w:t> </w:t>
      </w:r>
      <w:r>
        <w:rPr>
          <w:spacing w:val="-2"/>
          <w:sz w:val="22"/>
        </w:rPr>
        <w:t>effectively.</w:t>
      </w:r>
    </w:p>
    <w:p>
      <w:pPr>
        <w:pStyle w:val="ListParagraph"/>
        <w:numPr>
          <w:ilvl w:val="2"/>
          <w:numId w:val="4"/>
        </w:numPr>
        <w:tabs>
          <w:tab w:pos="1800" w:val="left" w:leader="none"/>
          <w:tab w:pos="1801" w:val="left" w:leader="none"/>
        </w:tabs>
        <w:spacing w:line="269" w:lineRule="exact" w:before="0" w:after="0"/>
        <w:ind w:left="1800" w:right="0" w:hanging="361"/>
        <w:jc w:val="left"/>
        <w:rPr>
          <w:sz w:val="22"/>
        </w:rPr>
      </w:pPr>
      <w:r>
        <w:rPr>
          <w:sz w:val="22"/>
        </w:rPr>
        <w:t>Deliver</w:t>
      </w:r>
      <w:r>
        <w:rPr>
          <w:spacing w:val="-3"/>
          <w:sz w:val="22"/>
        </w:rPr>
        <w:t> </w:t>
      </w:r>
      <w:r>
        <w:rPr>
          <w:sz w:val="22"/>
        </w:rPr>
        <w:t>qualitative</w:t>
      </w:r>
      <w:r>
        <w:rPr>
          <w:spacing w:val="-5"/>
          <w:sz w:val="22"/>
        </w:rPr>
        <w:t> </w:t>
      </w:r>
      <w:r>
        <w:rPr>
          <w:sz w:val="22"/>
        </w:rPr>
        <w:t>results</w:t>
      </w:r>
      <w:r>
        <w:rPr>
          <w:spacing w:val="-6"/>
          <w:sz w:val="22"/>
        </w:rPr>
        <w:t> </w:t>
      </w:r>
      <w:r>
        <w:rPr>
          <w:sz w:val="22"/>
        </w:rPr>
        <w:t>in</w:t>
      </w:r>
      <w:r>
        <w:rPr>
          <w:spacing w:val="-5"/>
          <w:sz w:val="22"/>
        </w:rPr>
        <w:t> </w:t>
      </w:r>
      <w:r>
        <w:rPr>
          <w:sz w:val="22"/>
        </w:rPr>
        <w:t>tight</w:t>
      </w:r>
      <w:r>
        <w:rPr>
          <w:spacing w:val="-4"/>
          <w:sz w:val="22"/>
        </w:rPr>
        <w:t> </w:t>
      </w:r>
      <w:r>
        <w:rPr>
          <w:sz w:val="22"/>
        </w:rPr>
        <w:t>deadlines</w:t>
      </w:r>
      <w:r>
        <w:rPr>
          <w:spacing w:val="-4"/>
          <w:sz w:val="22"/>
        </w:rPr>
        <w:t> </w:t>
      </w:r>
      <w:r>
        <w:rPr>
          <w:sz w:val="22"/>
        </w:rPr>
        <w:t>and</w:t>
      </w:r>
      <w:r>
        <w:rPr>
          <w:spacing w:val="-5"/>
          <w:sz w:val="22"/>
        </w:rPr>
        <w:t> </w:t>
      </w:r>
      <w:r>
        <w:rPr>
          <w:sz w:val="22"/>
        </w:rPr>
        <w:t>under</w:t>
      </w:r>
      <w:r>
        <w:rPr>
          <w:spacing w:val="-6"/>
          <w:sz w:val="22"/>
        </w:rPr>
        <w:t> </w:t>
      </w:r>
      <w:r>
        <w:rPr>
          <w:spacing w:val="-2"/>
          <w:sz w:val="22"/>
        </w:rPr>
        <w:t>pressure.</w:t>
      </w:r>
    </w:p>
    <w:p>
      <w:pPr>
        <w:pStyle w:val="BodyText"/>
        <w:spacing w:before="9"/>
        <w:rPr>
          <w:sz w:val="21"/>
        </w:rPr>
      </w:pPr>
    </w:p>
    <w:p>
      <w:pPr>
        <w:pStyle w:val="BodyText"/>
        <w:ind w:left="1080" w:right="167"/>
        <w:jc w:val="both"/>
      </w:pPr>
      <w:r>
        <w:rPr/>
        <w:t>The</w:t>
      </w:r>
      <w:r>
        <w:rPr>
          <w:spacing w:val="-4"/>
        </w:rPr>
        <w:t> </w:t>
      </w:r>
      <w:r>
        <w:rPr/>
        <w:t>candidate</w:t>
      </w:r>
      <w:r>
        <w:rPr>
          <w:spacing w:val="-4"/>
        </w:rPr>
        <w:t> </w:t>
      </w:r>
      <w:r>
        <w:rPr/>
        <w:t>should</w:t>
      </w:r>
      <w:r>
        <w:rPr>
          <w:spacing w:val="-2"/>
        </w:rPr>
        <w:t> </w:t>
      </w:r>
      <w:r>
        <w:rPr/>
        <w:t>have</w:t>
      </w:r>
      <w:r>
        <w:rPr>
          <w:spacing w:val="-4"/>
        </w:rPr>
        <w:t> </w:t>
      </w:r>
      <w:r>
        <w:rPr/>
        <w:t>sound</w:t>
      </w:r>
      <w:r>
        <w:rPr>
          <w:spacing w:val="-4"/>
        </w:rPr>
        <w:t> </w:t>
      </w:r>
      <w:r>
        <w:rPr/>
        <w:t>judgement</w:t>
      </w:r>
      <w:r>
        <w:rPr>
          <w:spacing w:val="-1"/>
        </w:rPr>
        <w:t> </w:t>
      </w:r>
      <w:r>
        <w:rPr/>
        <w:t>capabilities,</w:t>
      </w:r>
      <w:r>
        <w:rPr>
          <w:spacing w:val="-2"/>
        </w:rPr>
        <w:t> </w:t>
      </w:r>
      <w:r>
        <w:rPr/>
        <w:t>accuracy,</w:t>
      </w:r>
      <w:r>
        <w:rPr>
          <w:spacing w:val="-2"/>
        </w:rPr>
        <w:t> </w:t>
      </w:r>
      <w:r>
        <w:rPr/>
        <w:t>sense</w:t>
      </w:r>
      <w:r>
        <w:rPr>
          <w:spacing w:val="-2"/>
        </w:rPr>
        <w:t> </w:t>
      </w:r>
      <w:r>
        <w:rPr/>
        <w:t>of</w:t>
      </w:r>
      <w:r>
        <w:rPr>
          <w:spacing w:val="-4"/>
        </w:rPr>
        <w:t> </w:t>
      </w:r>
      <w:r>
        <w:rPr/>
        <w:t>initiative</w:t>
      </w:r>
      <w:r>
        <w:rPr>
          <w:spacing w:val="-2"/>
        </w:rPr>
        <w:t> </w:t>
      </w:r>
      <w:r>
        <w:rPr/>
        <w:t>and</w:t>
      </w:r>
      <w:r>
        <w:rPr>
          <w:spacing w:val="-2"/>
        </w:rPr>
        <w:t> </w:t>
      </w:r>
      <w:r>
        <w:rPr/>
        <w:t>ability</w:t>
      </w:r>
      <w:r>
        <w:rPr>
          <w:spacing w:val="-5"/>
        </w:rPr>
        <w:t> </w:t>
      </w:r>
      <w:r>
        <w:rPr/>
        <w:t>to</w:t>
      </w:r>
      <w:r>
        <w:rPr>
          <w:spacing w:val="-2"/>
        </w:rPr>
        <w:t> </w:t>
      </w:r>
      <w:r>
        <w:rPr/>
        <w:t>discern key details and subtleties. He/she should be able to carry out his/her work individually and within a multinational team, under the supervision of the Head of Sector. He/she should have a general understanding of the functioning of the European Union, and especially of the European Commission and its role in global and regional politics.</w:t>
      </w:r>
    </w:p>
    <w:p>
      <w:pPr>
        <w:pStyle w:val="BodyText"/>
        <w:spacing w:before="1"/>
      </w:pPr>
    </w:p>
    <w:p>
      <w:pPr>
        <w:pStyle w:val="BodyText"/>
        <w:spacing w:before="1"/>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spacing w:after="0"/>
        <w:jc w:val="both"/>
        <w:sectPr>
          <w:pgSz w:w="11910" w:h="16840"/>
          <w:pgMar w:header="0" w:footer="690" w:top="1040" w:bottom="880" w:left="480" w:right="740"/>
        </w:sectPr>
      </w:pPr>
    </w:p>
    <w:p>
      <w:pPr>
        <w:pStyle w:val="BodyText"/>
        <w:spacing w:before="62"/>
        <w:ind w:left="1080" w:right="173"/>
        <w:jc w:val="both"/>
      </w:pPr>
      <w:r>
        <w:rPr/>
        <w:t>The above-mentioned activities are mainly conducted in English, while they may occasionally be carried out in other EU languages. Consequently, thorough drafting and oral skills in English are required. Knowledge of other languages, and particularly as concerns reading skills, is considered as an asset.</w:t>
      </w:r>
    </w:p>
    <w:p>
      <w:pPr>
        <w:pStyle w:val="BodyText"/>
        <w:spacing w:before="7"/>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1"/>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0"/>
        <w:rPr>
          <w:b/>
          <w:sz w:val="21"/>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before="1"/>
        <w:ind w:left="799"/>
        <w:jc w:val="both"/>
      </w:pPr>
      <w:r>
        <w:rPr/>
        <w:t>Candidates</w:t>
      </w:r>
      <w:r>
        <w:rPr>
          <w:spacing w:val="-3"/>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3"/>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BodyText"/>
        <w:spacing w:before="6"/>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0"/>
        <w:rPr>
          <w:sz w:val="21"/>
        </w:rPr>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2"/>
        <w:ind w:left="799" w:right="109"/>
        <w:jc w:val="both"/>
      </w:pPr>
      <w:r>
        <w:rPr/>
        <w:t>The selected candidate has the obligation to launch the vetting procedure before getting the secondment </w:t>
      </w:r>
      <w:r>
        <w:rPr>
          <w:spacing w:val="-2"/>
        </w:rPr>
        <w:t>confirmation.</w:t>
      </w:r>
    </w:p>
    <w:p>
      <w:pPr>
        <w:pStyle w:val="BodyText"/>
        <w:spacing w:before="3"/>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before="1"/>
        <w:ind w:left="799" w:right="290"/>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7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6"/>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40" w:lineRule="auto" w:before="0" w:after="0"/>
        <w:ind w:left="1080" w:right="0" w:hanging="282"/>
        <w:jc w:val="left"/>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spacing w:after="0" w:line="240" w:lineRule="auto"/>
        <w:jc w:val="left"/>
        <w:rPr>
          <w:sz w:val="22"/>
        </w:rPr>
        <w:sectPr>
          <w:pgSz w:w="11910" w:h="16840"/>
          <w:pgMar w:header="0" w:footer="690" w:top="1300" w:bottom="880" w:left="480" w:right="740"/>
        </w:sectPr>
      </w:pPr>
    </w:p>
    <w:p>
      <w:pPr>
        <w:pStyle w:val="BodyText"/>
        <w:spacing w:before="68"/>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7"/>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pict>
          <v:rect style="position:absolute;margin-left:519.580017pt;margin-top:11.469501pt;width:5.16pt;height:.48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9"/>
        <w:rPr>
          <w:sz w:val="21"/>
        </w:rPr>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4"/>
        <w:jc w:val="both"/>
      </w:pPr>
      <w:r>
        <w:rPr/>
        <w:pict>
          <v:rect style="position:absolute;margin-left:230.330002pt;margin-top:24.189516pt;width:3.72pt;height:.48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45376"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1800" w:hanging="360"/>
      </w:pPr>
      <w:rPr>
        <w:rFonts w:hint="default" w:ascii="Symbol" w:hAnsi="Symbol" w:eastAsia="Symbol" w:cs="Symbol"/>
        <w:b w:val="0"/>
        <w:bCs w:val="0"/>
        <w:i w:val="0"/>
        <w:iCs w:val="0"/>
        <w:w w:val="100"/>
        <w:sz w:val="22"/>
        <w:szCs w:val="22"/>
        <w:lang w:val="en-US" w:eastAsia="en-US" w:bidi="ar-SA"/>
      </w:rPr>
    </w:lvl>
    <w:lvl w:ilvl="3">
      <w:start w:val="0"/>
      <w:numFmt w:val="bullet"/>
      <w:lvlText w:val="•"/>
      <w:lvlJc w:val="left"/>
      <w:pPr>
        <w:ind w:left="2910" w:hanging="360"/>
      </w:pPr>
      <w:rPr>
        <w:rFonts w:hint="default"/>
        <w:lang w:val="en-US" w:eastAsia="en-US" w:bidi="ar-SA"/>
      </w:rPr>
    </w:lvl>
    <w:lvl w:ilvl="4">
      <w:start w:val="0"/>
      <w:numFmt w:val="bullet"/>
      <w:lvlText w:val="•"/>
      <w:lvlJc w:val="left"/>
      <w:pPr>
        <w:ind w:left="4021" w:hanging="360"/>
      </w:pPr>
      <w:rPr>
        <w:rFonts w:hint="default"/>
        <w:lang w:val="en-US" w:eastAsia="en-US" w:bidi="ar-SA"/>
      </w:rPr>
    </w:lvl>
    <w:lvl w:ilvl="5">
      <w:start w:val="0"/>
      <w:numFmt w:val="bullet"/>
      <w:lvlText w:val="•"/>
      <w:lvlJc w:val="left"/>
      <w:pPr>
        <w:ind w:left="5132" w:hanging="360"/>
      </w:pPr>
      <w:rPr>
        <w:rFonts w:hint="default"/>
        <w:lang w:val="en-US" w:eastAsia="en-US" w:bidi="ar-SA"/>
      </w:rPr>
    </w:lvl>
    <w:lvl w:ilvl="6">
      <w:start w:val="0"/>
      <w:numFmt w:val="bullet"/>
      <w:lvlText w:val="•"/>
      <w:lvlJc w:val="left"/>
      <w:pPr>
        <w:ind w:left="6243" w:hanging="360"/>
      </w:pPr>
      <w:rPr>
        <w:rFonts w:hint="default"/>
        <w:lang w:val="en-US" w:eastAsia="en-US" w:bidi="ar-SA"/>
      </w:rPr>
    </w:lvl>
    <w:lvl w:ilvl="7">
      <w:start w:val="0"/>
      <w:numFmt w:val="bullet"/>
      <w:lvlText w:val="•"/>
      <w:lvlJc w:val="left"/>
      <w:pPr>
        <w:ind w:left="7354" w:hanging="360"/>
      </w:pPr>
      <w:rPr>
        <w:rFonts w:hint="default"/>
        <w:lang w:val="en-US" w:eastAsia="en-US" w:bidi="ar-SA"/>
      </w:rPr>
    </w:lvl>
    <w:lvl w:ilvl="8">
      <w:start w:val="0"/>
      <w:numFmt w:val="bullet"/>
      <w:lvlText w:val="•"/>
      <w:lvlJc w:val="left"/>
      <w:pPr>
        <w:ind w:left="8464" w:hanging="360"/>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800" w:hanging="360"/>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2787" w:hanging="360"/>
      </w:pPr>
      <w:rPr>
        <w:rFonts w:hint="default"/>
        <w:lang w:val="en-US" w:eastAsia="en-US" w:bidi="ar-SA"/>
      </w:rPr>
    </w:lvl>
    <w:lvl w:ilvl="3">
      <w:start w:val="0"/>
      <w:numFmt w:val="bullet"/>
      <w:lvlText w:val="•"/>
      <w:lvlJc w:val="left"/>
      <w:pPr>
        <w:ind w:left="3774" w:hanging="360"/>
      </w:pPr>
      <w:rPr>
        <w:rFonts w:hint="default"/>
        <w:lang w:val="en-US" w:eastAsia="en-US" w:bidi="ar-SA"/>
      </w:rPr>
    </w:lvl>
    <w:lvl w:ilvl="4">
      <w:start w:val="0"/>
      <w:numFmt w:val="bullet"/>
      <w:lvlText w:val="•"/>
      <w:lvlJc w:val="left"/>
      <w:pPr>
        <w:ind w:left="4762" w:hanging="360"/>
      </w:pPr>
      <w:rPr>
        <w:rFonts w:hint="default"/>
        <w:lang w:val="en-US" w:eastAsia="en-US" w:bidi="ar-SA"/>
      </w:rPr>
    </w:lvl>
    <w:lvl w:ilvl="5">
      <w:start w:val="0"/>
      <w:numFmt w:val="bullet"/>
      <w:lvlText w:val="•"/>
      <w:lvlJc w:val="left"/>
      <w:pPr>
        <w:ind w:left="5749"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24" w:hanging="360"/>
      </w:pPr>
      <w:rPr>
        <w:rFonts w:hint="default"/>
        <w:lang w:val="en-US" w:eastAsia="en-US" w:bidi="ar-SA"/>
      </w:rPr>
    </w:lvl>
    <w:lvl w:ilvl="8">
      <w:start w:val="0"/>
      <w:numFmt w:val="bullet"/>
      <w:lvlText w:val="•"/>
      <w:lvlJc w:val="left"/>
      <w:pPr>
        <w:ind w:left="8711" w:hanging="360"/>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800"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dick.dokter@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2023-02-16T16:49:14Z</dcterms:created>
  <dcterms:modified xsi:type="dcterms:W3CDTF">2023-02-16T16:49:14Z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