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1934"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
              <w:ind w:right="47"/>
              <w:rPr>
                <w:b/>
                <w:sz w:val="24"/>
              </w:rPr>
            </w:pPr>
            <w:r>
              <w:rPr>
                <w:b/>
                <w:sz w:val="24"/>
              </w:rPr>
              <w:t>DG</w:t>
            </w:r>
            <w:r>
              <w:rPr>
                <w:b/>
                <w:spacing w:val="-12"/>
                <w:sz w:val="24"/>
              </w:rPr>
              <w:t> </w:t>
            </w:r>
            <w:r>
              <w:rPr>
                <w:b/>
                <w:sz w:val="24"/>
              </w:rPr>
              <w:t>Directorate-General</w:t>
            </w:r>
            <w:r>
              <w:rPr>
                <w:b/>
                <w:spacing w:val="40"/>
                <w:sz w:val="24"/>
              </w:rPr>
              <w:t> </w:t>
            </w:r>
            <w:r>
              <w:rPr>
                <w:b/>
                <w:sz w:val="24"/>
              </w:rPr>
              <w:t>for</w:t>
            </w:r>
            <w:r>
              <w:rPr>
                <w:b/>
                <w:spacing w:val="-10"/>
                <w:sz w:val="24"/>
              </w:rPr>
              <w:t> </w:t>
            </w:r>
            <w:r>
              <w:rPr>
                <w:b/>
                <w:sz w:val="24"/>
              </w:rPr>
              <w:t>International Partnerships (DG INTPA)</w:t>
            </w:r>
          </w:p>
          <w:p>
            <w:pPr>
              <w:pStyle w:val="TableParagraph"/>
              <w:ind w:right="47"/>
              <w:rPr>
                <w:b/>
                <w:sz w:val="24"/>
              </w:rPr>
            </w:pPr>
            <w:r>
              <w:rPr>
                <w:b/>
                <w:sz w:val="24"/>
              </w:rPr>
              <w:t>Directorate</w:t>
            </w:r>
            <w:r>
              <w:rPr>
                <w:b/>
                <w:spacing w:val="-13"/>
                <w:sz w:val="24"/>
              </w:rPr>
              <w:t> </w:t>
            </w:r>
            <w:r>
              <w:rPr>
                <w:b/>
                <w:sz w:val="24"/>
              </w:rPr>
              <w:t>INTPA.D</w:t>
            </w:r>
            <w:r>
              <w:rPr>
                <w:b/>
                <w:spacing w:val="-13"/>
                <w:sz w:val="24"/>
              </w:rPr>
              <w:t> </w:t>
            </w:r>
            <w:r>
              <w:rPr>
                <w:b/>
                <w:sz w:val="24"/>
              </w:rPr>
              <w:t>Sustainable</w:t>
            </w:r>
            <w:r>
              <w:rPr>
                <w:b/>
                <w:spacing w:val="-12"/>
                <w:sz w:val="24"/>
              </w:rPr>
              <w:t> </w:t>
            </w:r>
            <w:r>
              <w:rPr>
                <w:b/>
                <w:sz w:val="24"/>
              </w:rPr>
              <w:t>Development Policy and Coordination</w:t>
            </w:r>
          </w:p>
          <w:p>
            <w:pPr>
              <w:pStyle w:val="TableParagraph"/>
              <w:spacing w:line="270" w:lineRule="atLeast"/>
              <w:ind w:right="47"/>
              <w:rPr>
                <w:b/>
                <w:sz w:val="24"/>
              </w:rPr>
            </w:pPr>
            <w:r>
              <w:rPr>
                <w:b/>
                <w:sz w:val="24"/>
              </w:rPr>
              <w:t>Unit INTPA.D4 Performance, Results and Evaluation;</w:t>
            </w:r>
            <w:r>
              <w:rPr>
                <w:b/>
                <w:spacing w:val="-15"/>
                <w:sz w:val="24"/>
              </w:rPr>
              <w:t> </w:t>
            </w:r>
            <w:r>
              <w:rPr>
                <w:b/>
                <w:sz w:val="24"/>
              </w:rPr>
              <w:t>Internal</w:t>
            </w:r>
            <w:r>
              <w:rPr>
                <w:b/>
                <w:spacing w:val="-15"/>
                <w:sz w:val="24"/>
              </w:rPr>
              <w:t> </w:t>
            </w:r>
            <w:r>
              <w:rPr>
                <w:b/>
                <w:sz w:val="24"/>
              </w:rPr>
              <w:t>Communication,</w:t>
            </w:r>
            <w:r>
              <w:rPr>
                <w:b/>
                <w:spacing w:val="-13"/>
                <w:sz w:val="24"/>
              </w:rPr>
              <w:t> </w:t>
            </w:r>
            <w:r>
              <w:rPr>
                <w:b/>
                <w:sz w:val="24"/>
              </w:rPr>
              <w:t>Knowledge Management and Collaborative Methods</w:t>
            </w:r>
          </w:p>
        </w:tc>
      </w:tr>
      <w:tr>
        <w:trPr>
          <w:trHeight w:val="1975"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ind w:right="2826"/>
              <w:rPr>
                <w:b/>
                <w:sz w:val="22"/>
              </w:rPr>
            </w:pPr>
            <w:r>
              <w:rPr>
                <w:b/>
                <w:sz w:val="22"/>
              </w:rPr>
              <w:t>Email</w:t>
            </w:r>
            <w:r>
              <w:rPr>
                <w:b/>
                <w:spacing w:val="-14"/>
                <w:sz w:val="22"/>
              </w:rPr>
              <w:t> </w:t>
            </w:r>
            <w:r>
              <w:rPr>
                <w:b/>
                <w:sz w:val="22"/>
              </w:rPr>
              <w:t>address: </w:t>
            </w:r>
            <w:r>
              <w:rPr>
                <w:b/>
                <w:spacing w:val="-2"/>
                <w:sz w:val="22"/>
              </w:rPr>
              <w:t>Telephone:</w:t>
            </w:r>
          </w:p>
          <w:p>
            <w:pPr>
              <w:pStyle w:val="TableParagraph"/>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51" w:lineRule="exact"/>
              <w:rPr>
                <w:b/>
                <w:sz w:val="22"/>
              </w:rPr>
            </w:pPr>
            <w:r>
              <w:rPr>
                <w:b/>
                <w:sz w:val="22"/>
              </w:rPr>
              <w:t>Jean-Hervé</w:t>
            </w:r>
            <w:r>
              <w:rPr>
                <w:b/>
                <w:spacing w:val="-4"/>
                <w:sz w:val="22"/>
              </w:rPr>
              <w:t> RAMAT</w:t>
            </w:r>
          </w:p>
          <w:p>
            <w:pPr>
              <w:pStyle w:val="TableParagraph"/>
              <w:spacing w:line="252" w:lineRule="exact"/>
              <w:rPr>
                <w:b/>
                <w:sz w:val="22"/>
              </w:rPr>
            </w:pPr>
            <w:hyperlink r:id="rId7">
              <w:r>
                <w:rPr>
                  <w:b/>
                  <w:spacing w:val="-2"/>
                  <w:sz w:val="22"/>
                </w:rPr>
                <w:t>Jean-Herve.RAMAT@ec.europa.eu</w:t>
              </w:r>
            </w:hyperlink>
          </w:p>
          <w:p>
            <w:pPr>
              <w:pStyle w:val="TableParagraph"/>
              <w:spacing w:before="1"/>
              <w:rPr>
                <w:b/>
                <w:sz w:val="22"/>
              </w:rPr>
            </w:pPr>
            <w:r>
              <w:rPr>
                <w:b/>
                <w:sz w:val="22"/>
              </w:rPr>
              <w:t>+32</w:t>
            </w:r>
            <w:r>
              <w:rPr>
                <w:b/>
                <w:spacing w:val="-2"/>
                <w:sz w:val="22"/>
              </w:rPr>
              <w:t> </w:t>
            </w:r>
            <w:r>
              <w:rPr>
                <w:b/>
                <w:sz w:val="22"/>
              </w:rPr>
              <w:t>229-</w:t>
            </w:r>
            <w:r>
              <w:rPr>
                <w:b/>
                <w:spacing w:val="-2"/>
                <w:sz w:val="22"/>
              </w:rPr>
              <w:t>52621</w:t>
            </w:r>
          </w:p>
          <w:p>
            <w:pPr>
              <w:pStyle w:val="TableParagraph"/>
              <w:spacing w:before="9"/>
              <w:ind w:left="0"/>
              <w:rPr>
                <w:b/>
                <w:sz w:val="21"/>
              </w:rPr>
            </w:pPr>
          </w:p>
          <w:p>
            <w:pPr>
              <w:pStyle w:val="TableParagraph"/>
              <w:spacing w:before="1"/>
              <w:rPr>
                <w:b/>
                <w:sz w:val="22"/>
              </w:rPr>
            </w:pPr>
            <w:r>
              <w:rPr>
                <w:b/>
                <w:sz w:val="22"/>
              </w:rPr>
              <w:t>3</w:t>
            </w:r>
            <w:r>
              <w:rPr>
                <w:b/>
                <w:sz w:val="22"/>
                <w:vertAlign w:val="superscript"/>
              </w:rPr>
              <w:t>rd</w:t>
            </w:r>
            <w:r>
              <w:rPr>
                <w:b/>
                <w:spacing w:val="-3"/>
                <w:sz w:val="22"/>
                <w:vertAlign w:val="baseline"/>
              </w:rPr>
              <w:t> </w:t>
            </w:r>
            <w:r>
              <w:rPr>
                <w:b/>
                <w:sz w:val="22"/>
                <w:vertAlign w:val="baseline"/>
              </w:rPr>
              <w:t>quarter</w:t>
            </w:r>
            <w:r>
              <w:rPr>
                <w:b/>
                <w:spacing w:val="-2"/>
                <w:sz w:val="22"/>
                <w:vertAlign w:val="baseline"/>
              </w:rPr>
              <w:t> </w:t>
            </w:r>
            <w:r>
              <w:rPr>
                <w:b/>
                <w:sz w:val="22"/>
                <w:vertAlign w:val="baseline"/>
              </w:rPr>
              <w:t>2023</w:t>
            </w:r>
            <w:r>
              <w:rPr>
                <w:b/>
                <w:spacing w:val="-3"/>
                <w:sz w:val="22"/>
                <w:vertAlign w:val="baseline"/>
              </w:rPr>
              <w:t> </w:t>
            </w:r>
            <w:r>
              <w:rPr>
                <w:b/>
                <w:spacing w:val="-10"/>
                <w:sz w:val="22"/>
                <w:vertAlign w:val="superscript"/>
              </w:rPr>
              <w:t>1</w:t>
            </w:r>
          </w:p>
          <w:p>
            <w:pPr>
              <w:pStyle w:val="TableParagraph"/>
              <w:spacing w:line="252" w:lineRule="exact" w:before="1"/>
              <w:rPr>
                <w:b/>
                <w:sz w:val="22"/>
              </w:rPr>
            </w:pPr>
            <w:r>
              <w:rPr>
                <w:b/>
                <w:sz w:val="22"/>
              </w:rPr>
              <w:t>2 </w:t>
            </w:r>
            <w:r>
              <w:rPr>
                <w:b/>
                <w:spacing w:val="-2"/>
                <w:sz w:val="22"/>
              </w:rPr>
              <w:t>years</w:t>
            </w:r>
            <w:r>
              <w:rPr>
                <w:b/>
                <w:spacing w:val="-2"/>
                <w:sz w:val="22"/>
                <w:vertAlign w:val="superscript"/>
              </w:rPr>
              <w:t>1</w:t>
            </w:r>
          </w:p>
          <w:p>
            <w:pPr>
              <w:pStyle w:val="TableParagraph"/>
              <w:spacing w:line="252"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6"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2" w:hRule="atLeast"/>
        </w:trPr>
        <w:tc>
          <w:tcPr>
            <w:tcW w:w="9956" w:type="dxa"/>
            <w:gridSpan w:val="2"/>
          </w:tcPr>
          <w:p>
            <w:pPr>
              <w:pStyle w:val="TableParagraph"/>
              <w:spacing w:before="111"/>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
              <w:ind w:left="0"/>
              <w:rPr>
                <w:b/>
                <w:sz w:val="22"/>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1"/>
        <w:rPr>
          <w:b/>
          <w:sz w:val="23"/>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1"/>
        <w:ind w:left="1080" w:right="104"/>
        <w:jc w:val="both"/>
      </w:pPr>
      <w:r>
        <w:rPr/>
        <w:t>The SNE will be part of the Directorate-General for International Partnerships (DG INTPA), Unit INTPA.D4 which mission is to improve the quality and enhance the impact of EU development</w:t>
      </w:r>
      <w:r>
        <w:rPr>
          <w:spacing w:val="40"/>
        </w:rPr>
        <w:t> </w:t>
      </w:r>
      <w:r>
        <w:rPr/>
        <w:t>cooperation at each stage of the intervention cycle. The Unit has taken the lead and coordinated the evidence-based results agenda of DG INTPA (in close collaboration with DG NEAR, FPI</w:t>
      </w:r>
      <w:r>
        <w:rPr>
          <w:spacing w:val="-2"/>
        </w:rPr>
        <w:t> </w:t>
      </w:r>
      <w:r>
        <w:rPr/>
        <w:t>and EEAS) from a</w:t>
      </w:r>
      <w:r>
        <w:rPr>
          <w:spacing w:val="-2"/>
        </w:rPr>
        <w:t> </w:t>
      </w:r>
      <w:r>
        <w:rPr/>
        <w:t>methodological</w:t>
      </w:r>
      <w:r>
        <w:rPr>
          <w:spacing w:val="-1"/>
        </w:rPr>
        <w:t> </w:t>
      </w:r>
      <w:r>
        <w:rPr/>
        <w:t>point</w:t>
      </w:r>
      <w:r>
        <w:rPr>
          <w:spacing w:val="-1"/>
        </w:rPr>
        <w:t> </w:t>
      </w:r>
      <w:r>
        <w:rPr/>
        <w:t>of</w:t>
      </w:r>
      <w:r>
        <w:rPr>
          <w:spacing w:val="-2"/>
        </w:rPr>
        <w:t> </w:t>
      </w:r>
      <w:r>
        <w:rPr/>
        <w:t>view</w:t>
      </w:r>
      <w:r>
        <w:rPr>
          <w:spacing w:val="-2"/>
        </w:rPr>
        <w:t> </w:t>
      </w:r>
      <w:r>
        <w:rPr/>
        <w:t>(develop</w:t>
      </w:r>
      <w:r>
        <w:rPr>
          <w:spacing w:val="-2"/>
        </w:rPr>
        <w:t> </w:t>
      </w:r>
      <w:r>
        <w:rPr/>
        <w:t>strategy</w:t>
      </w:r>
      <w:r>
        <w:rPr>
          <w:spacing w:val="-5"/>
        </w:rPr>
        <w:t> </w:t>
      </w:r>
      <w:r>
        <w:rPr/>
        <w:t>and</w:t>
      </w:r>
      <w:r>
        <w:rPr>
          <w:spacing w:val="-2"/>
        </w:rPr>
        <w:t> </w:t>
      </w:r>
      <w:r>
        <w:rPr/>
        <w:t>provide</w:t>
      </w:r>
      <w:r>
        <w:rPr>
          <w:spacing w:val="-2"/>
        </w:rPr>
        <w:t> </w:t>
      </w:r>
      <w:r>
        <w:rPr/>
        <w:t>guidance</w:t>
      </w:r>
      <w:r>
        <w:rPr>
          <w:spacing w:val="-2"/>
        </w:rPr>
        <w:t> </w:t>
      </w:r>
      <w:r>
        <w:rPr/>
        <w:t>on</w:t>
      </w:r>
      <w:r>
        <w:rPr>
          <w:spacing w:val="-2"/>
        </w:rPr>
        <w:t> </w:t>
      </w:r>
      <w:r>
        <w:rPr/>
        <w:t>how</w:t>
      </w:r>
      <w:r>
        <w:rPr>
          <w:spacing w:val="-2"/>
        </w:rPr>
        <w:t> </w:t>
      </w:r>
      <w:r>
        <w:rPr/>
        <w:t>to</w:t>
      </w:r>
      <w:r>
        <w:rPr>
          <w:spacing w:val="-4"/>
        </w:rPr>
        <w:t> </w:t>
      </w:r>
      <w:r>
        <w:rPr/>
        <w:t>design,</w:t>
      </w:r>
      <w:r>
        <w:rPr>
          <w:spacing w:val="-2"/>
        </w:rPr>
        <w:t> </w:t>
      </w:r>
      <w:r>
        <w:rPr/>
        <w:t>monitor,</w:t>
      </w:r>
      <w:r>
        <w:rPr>
          <w:spacing w:val="-5"/>
        </w:rPr>
        <w:t> </w:t>
      </w:r>
      <w:r>
        <w:rPr/>
        <w:t>evaluate interventions and measure their results).</w:t>
      </w:r>
    </w:p>
    <w:p>
      <w:pPr>
        <w:pStyle w:val="BodyText"/>
        <w:spacing w:before="1"/>
      </w:pPr>
    </w:p>
    <w:p>
      <w:pPr>
        <w:pStyle w:val="BodyText"/>
        <w:ind w:left="1080" w:right="113"/>
        <w:jc w:val="both"/>
      </w:pPr>
      <w:r>
        <w:rPr/>
        <w:t>He/she will be responsible for organising and managing activities linked to the development of good practices and methodological improvements in the field of design, monitoring and measuring results and evaluation in particular:</w:t>
      </w:r>
    </w:p>
    <w:p>
      <w:pPr>
        <w:pStyle w:val="BodyText"/>
      </w:pPr>
    </w:p>
    <w:p>
      <w:pPr>
        <w:pStyle w:val="ListParagraph"/>
        <w:numPr>
          <w:ilvl w:val="1"/>
          <w:numId w:val="2"/>
        </w:numPr>
        <w:tabs>
          <w:tab w:pos="1800" w:val="left" w:leader="none"/>
          <w:tab w:pos="1801" w:val="left" w:leader="none"/>
        </w:tabs>
        <w:spacing w:line="269" w:lineRule="exact" w:before="0" w:after="0"/>
        <w:ind w:left="1800" w:right="0" w:hanging="361"/>
        <w:jc w:val="left"/>
        <w:rPr>
          <w:sz w:val="22"/>
        </w:rPr>
      </w:pPr>
      <w:r>
        <w:rPr>
          <w:sz w:val="22"/>
        </w:rPr>
        <w:t>methodologies</w:t>
      </w:r>
      <w:r>
        <w:rPr>
          <w:spacing w:val="-6"/>
          <w:sz w:val="22"/>
        </w:rPr>
        <w:t> </w:t>
      </w:r>
      <w:r>
        <w:rPr>
          <w:sz w:val="22"/>
        </w:rPr>
        <w:t>and</w:t>
      </w:r>
      <w:r>
        <w:rPr>
          <w:spacing w:val="-6"/>
          <w:sz w:val="22"/>
        </w:rPr>
        <w:t> </w:t>
      </w:r>
      <w:r>
        <w:rPr>
          <w:sz w:val="22"/>
        </w:rPr>
        <w:t>tools</w:t>
      </w:r>
      <w:r>
        <w:rPr>
          <w:spacing w:val="-3"/>
          <w:sz w:val="22"/>
        </w:rPr>
        <w:t> </w:t>
      </w:r>
      <w:r>
        <w:rPr>
          <w:sz w:val="22"/>
        </w:rPr>
        <w:t>for</w:t>
      </w:r>
      <w:r>
        <w:rPr>
          <w:spacing w:val="-4"/>
          <w:sz w:val="22"/>
        </w:rPr>
        <w:t> </w:t>
      </w:r>
      <w:r>
        <w:rPr>
          <w:sz w:val="22"/>
        </w:rPr>
        <w:t>evaluation,</w:t>
      </w:r>
      <w:r>
        <w:rPr>
          <w:spacing w:val="-3"/>
          <w:sz w:val="22"/>
        </w:rPr>
        <w:t> </w:t>
      </w:r>
      <w:r>
        <w:rPr>
          <w:sz w:val="22"/>
        </w:rPr>
        <w:t>internal</w:t>
      </w:r>
      <w:r>
        <w:rPr>
          <w:spacing w:val="-3"/>
          <w:sz w:val="22"/>
        </w:rPr>
        <w:t> </w:t>
      </w:r>
      <w:r>
        <w:rPr>
          <w:sz w:val="22"/>
        </w:rPr>
        <w:t>monitoring</w:t>
      </w:r>
      <w:r>
        <w:rPr>
          <w:spacing w:val="-6"/>
          <w:sz w:val="22"/>
        </w:rPr>
        <w:t> </w:t>
      </w:r>
      <w:r>
        <w:rPr>
          <w:sz w:val="22"/>
        </w:rPr>
        <w:t>and</w:t>
      </w:r>
      <w:r>
        <w:rPr>
          <w:spacing w:val="-5"/>
          <w:sz w:val="22"/>
        </w:rPr>
        <w:t> </w:t>
      </w:r>
      <w:r>
        <w:rPr>
          <w:sz w:val="22"/>
        </w:rPr>
        <w:t>reporting</w:t>
      </w:r>
      <w:r>
        <w:rPr>
          <w:spacing w:val="-6"/>
          <w:sz w:val="22"/>
        </w:rPr>
        <w:t> </w:t>
      </w:r>
      <w:r>
        <w:rPr>
          <w:spacing w:val="-2"/>
          <w:sz w:val="22"/>
        </w:rPr>
        <w:t>systems;</w:t>
      </w:r>
    </w:p>
    <w:p>
      <w:pPr>
        <w:pStyle w:val="ListParagraph"/>
        <w:numPr>
          <w:ilvl w:val="1"/>
          <w:numId w:val="2"/>
        </w:numPr>
        <w:tabs>
          <w:tab w:pos="1800" w:val="left" w:leader="none"/>
          <w:tab w:pos="1801" w:val="left" w:leader="none"/>
        </w:tabs>
        <w:spacing w:line="269" w:lineRule="exact" w:before="0" w:after="0"/>
        <w:ind w:left="1800" w:right="0" w:hanging="361"/>
        <w:jc w:val="left"/>
        <w:rPr>
          <w:sz w:val="22"/>
        </w:rPr>
      </w:pPr>
      <w:r>
        <w:rPr>
          <w:sz w:val="22"/>
        </w:rPr>
        <w:t>definition</w:t>
      </w:r>
      <w:r>
        <w:rPr>
          <w:spacing w:val="-5"/>
          <w:sz w:val="22"/>
        </w:rPr>
        <w:t> </w:t>
      </w:r>
      <w:r>
        <w:rPr>
          <w:sz w:val="22"/>
        </w:rPr>
        <w:t>and</w:t>
      </w:r>
      <w:r>
        <w:rPr>
          <w:spacing w:val="-6"/>
          <w:sz w:val="22"/>
        </w:rPr>
        <w:t> </w:t>
      </w:r>
      <w:r>
        <w:rPr>
          <w:sz w:val="22"/>
        </w:rPr>
        <w:t>improvement</w:t>
      </w:r>
      <w:r>
        <w:rPr>
          <w:spacing w:val="-3"/>
          <w:sz w:val="22"/>
        </w:rPr>
        <w:t> </w:t>
      </w:r>
      <w:r>
        <w:rPr>
          <w:sz w:val="22"/>
        </w:rPr>
        <w:t>of</w:t>
      </w:r>
      <w:r>
        <w:rPr>
          <w:spacing w:val="-4"/>
          <w:sz w:val="22"/>
        </w:rPr>
        <w:t> </w:t>
      </w:r>
      <w:r>
        <w:rPr>
          <w:sz w:val="22"/>
        </w:rPr>
        <w:t>business</w:t>
      </w:r>
      <w:r>
        <w:rPr>
          <w:spacing w:val="-3"/>
          <w:sz w:val="22"/>
        </w:rPr>
        <w:t> </w:t>
      </w:r>
      <w:r>
        <w:rPr>
          <w:spacing w:val="-2"/>
          <w:sz w:val="22"/>
        </w:rPr>
        <w:t>processes;</w:t>
      </w:r>
    </w:p>
    <w:p>
      <w:pPr>
        <w:pStyle w:val="ListParagraph"/>
        <w:numPr>
          <w:ilvl w:val="1"/>
          <w:numId w:val="2"/>
        </w:numPr>
        <w:tabs>
          <w:tab w:pos="1800" w:val="left" w:leader="none"/>
          <w:tab w:pos="1801" w:val="left" w:leader="none"/>
        </w:tabs>
        <w:spacing w:line="240" w:lineRule="auto" w:before="0" w:after="0"/>
        <w:ind w:left="1800" w:right="114" w:hanging="360"/>
        <w:jc w:val="left"/>
        <w:rPr>
          <w:sz w:val="22"/>
        </w:rPr>
      </w:pPr>
      <w:r>
        <w:rPr>
          <w:sz w:val="22"/>
        </w:rPr>
        <w:t>systematic</w:t>
      </w:r>
      <w:r>
        <w:rPr>
          <w:spacing w:val="40"/>
          <w:sz w:val="22"/>
        </w:rPr>
        <w:t> </w:t>
      </w:r>
      <w:r>
        <w:rPr>
          <w:sz w:val="22"/>
        </w:rPr>
        <w:t>integration</w:t>
      </w:r>
      <w:r>
        <w:rPr>
          <w:spacing w:val="40"/>
          <w:sz w:val="22"/>
        </w:rPr>
        <w:t> </w:t>
      </w:r>
      <w:r>
        <w:rPr>
          <w:sz w:val="22"/>
        </w:rPr>
        <w:t>of</w:t>
      </w:r>
      <w:r>
        <w:rPr>
          <w:spacing w:val="40"/>
          <w:sz w:val="22"/>
        </w:rPr>
        <w:t> </w:t>
      </w:r>
      <w:r>
        <w:rPr>
          <w:sz w:val="22"/>
        </w:rPr>
        <w:t>findings</w:t>
      </w:r>
      <w:r>
        <w:rPr>
          <w:spacing w:val="40"/>
          <w:sz w:val="22"/>
        </w:rPr>
        <w:t> </w:t>
      </w:r>
      <w:r>
        <w:rPr>
          <w:sz w:val="22"/>
        </w:rPr>
        <w:t>and</w:t>
      </w:r>
      <w:r>
        <w:rPr>
          <w:spacing w:val="40"/>
          <w:sz w:val="22"/>
        </w:rPr>
        <w:t> </w:t>
      </w:r>
      <w:r>
        <w:rPr>
          <w:sz w:val="22"/>
        </w:rPr>
        <w:t>conclusions</w:t>
      </w:r>
      <w:r>
        <w:rPr>
          <w:spacing w:val="40"/>
          <w:sz w:val="22"/>
        </w:rPr>
        <w:t> </w:t>
      </w:r>
      <w:r>
        <w:rPr>
          <w:sz w:val="22"/>
        </w:rPr>
        <w:t>from</w:t>
      </w:r>
      <w:r>
        <w:rPr>
          <w:spacing w:val="40"/>
          <w:sz w:val="22"/>
        </w:rPr>
        <w:t> </w:t>
      </w:r>
      <w:r>
        <w:rPr>
          <w:sz w:val="22"/>
        </w:rPr>
        <w:t>monitoring</w:t>
      </w:r>
      <w:r>
        <w:rPr>
          <w:spacing w:val="40"/>
          <w:sz w:val="22"/>
        </w:rPr>
        <w:t> </w:t>
      </w:r>
      <w:r>
        <w:rPr>
          <w:sz w:val="22"/>
        </w:rPr>
        <w:t>and</w:t>
      </w:r>
      <w:r>
        <w:rPr>
          <w:spacing w:val="40"/>
          <w:sz w:val="22"/>
        </w:rPr>
        <w:t> </w:t>
      </w:r>
      <w:r>
        <w:rPr>
          <w:sz w:val="22"/>
        </w:rPr>
        <w:t>evaluation</w:t>
      </w:r>
      <w:r>
        <w:rPr>
          <w:spacing w:val="40"/>
          <w:sz w:val="22"/>
        </w:rPr>
        <w:t> </w:t>
      </w:r>
      <w:r>
        <w:rPr>
          <w:sz w:val="22"/>
        </w:rPr>
        <w:t>reports</w:t>
      </w:r>
      <w:r>
        <w:rPr>
          <w:spacing w:val="40"/>
          <w:sz w:val="22"/>
        </w:rPr>
        <w:t> </w:t>
      </w:r>
      <w:r>
        <w:rPr>
          <w:sz w:val="22"/>
        </w:rPr>
        <w:t>in intervention design;</w:t>
      </w:r>
    </w:p>
    <w:p>
      <w:pPr>
        <w:pStyle w:val="ListParagraph"/>
        <w:numPr>
          <w:ilvl w:val="1"/>
          <w:numId w:val="2"/>
        </w:numPr>
        <w:tabs>
          <w:tab w:pos="1800" w:val="left" w:leader="none"/>
          <w:tab w:pos="1801" w:val="left" w:leader="none"/>
        </w:tabs>
        <w:spacing w:line="240" w:lineRule="auto" w:before="0" w:after="0"/>
        <w:ind w:left="1800" w:right="109" w:hanging="360"/>
        <w:jc w:val="left"/>
        <w:rPr>
          <w:sz w:val="22"/>
        </w:rPr>
      </w:pPr>
      <w:r>
        <w:rPr>
          <w:sz w:val="22"/>
        </w:rPr>
        <w:t>revisions of results frameworks and results reporting (including for European Fund for Sustainable Development Plus (EFSD+));</w:t>
      </w:r>
    </w:p>
    <w:p>
      <w:pPr>
        <w:pStyle w:val="BodyText"/>
        <w:rPr>
          <w:sz w:val="20"/>
        </w:rPr>
      </w:pPr>
    </w:p>
    <w:p>
      <w:pPr>
        <w:pStyle w:val="BodyText"/>
        <w:rPr>
          <w:sz w:val="20"/>
        </w:rPr>
      </w:pPr>
    </w:p>
    <w:p>
      <w:pPr>
        <w:pStyle w:val="BodyText"/>
        <w:spacing w:before="7"/>
        <w:rPr>
          <w:sz w:val="24"/>
        </w:rPr>
      </w:pPr>
      <w:r>
        <w:rPr/>
        <w:pict>
          <v:rect style="position:absolute;margin-left:42.599998pt;margin-top:15.378741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2"/>
          <w:numId w:val="2"/>
        </w:numPr>
        <w:tabs>
          <w:tab w:pos="2521" w:val="left" w:leader="none"/>
        </w:tabs>
        <w:spacing w:line="240" w:lineRule="auto" w:before="89" w:after="0"/>
        <w:ind w:left="2520" w:right="105" w:hanging="360"/>
        <w:jc w:val="both"/>
        <w:rPr>
          <w:sz w:val="22"/>
        </w:rPr>
      </w:pPr>
      <w:r>
        <w:rPr>
          <w:sz w:val="22"/>
        </w:rPr>
        <w:t>support to EU Delegations and INTPA HQ Units in quality of results and indicators at all stages of the intervention cycle, including in policy documents, programming documents, individual action documents);</w:t>
      </w:r>
    </w:p>
    <w:p>
      <w:pPr>
        <w:pStyle w:val="ListParagraph"/>
        <w:numPr>
          <w:ilvl w:val="2"/>
          <w:numId w:val="2"/>
        </w:numPr>
        <w:tabs>
          <w:tab w:pos="2521" w:val="left" w:leader="none"/>
        </w:tabs>
        <w:spacing w:line="240" w:lineRule="auto" w:before="0" w:after="0"/>
        <w:ind w:left="2520" w:right="104" w:hanging="360"/>
        <w:jc w:val="both"/>
        <w:rPr>
          <w:sz w:val="22"/>
        </w:rPr>
      </w:pPr>
      <w:r>
        <w:rPr>
          <w:sz w:val="22"/>
        </w:rPr>
        <w:t>contribution to thematic networks, working groups and task forces within DG INTPA and the external relations family addressing specific international co-operation and development issues;</w:t>
      </w:r>
    </w:p>
    <w:p>
      <w:pPr>
        <w:pStyle w:val="ListParagraph"/>
        <w:numPr>
          <w:ilvl w:val="2"/>
          <w:numId w:val="2"/>
        </w:numPr>
        <w:tabs>
          <w:tab w:pos="2521" w:val="left" w:leader="none"/>
        </w:tabs>
        <w:spacing w:line="240" w:lineRule="auto" w:before="0" w:after="0"/>
        <w:ind w:left="2520" w:right="105" w:hanging="360"/>
        <w:jc w:val="both"/>
        <w:rPr>
          <w:sz w:val="22"/>
        </w:rPr>
      </w:pPr>
      <w:r>
        <w:rPr>
          <w:sz w:val="22"/>
        </w:rPr>
        <w:t>joint activities with other donors (joint evaluations, results reporting, methodological discussions and other thematic exercises) and monitoring/evaluation-related fora in the</w:t>
      </w:r>
      <w:r>
        <w:rPr>
          <w:spacing w:val="80"/>
          <w:sz w:val="22"/>
        </w:rPr>
        <w:t> </w:t>
      </w:r>
      <w:r>
        <w:rPr>
          <w:sz w:val="22"/>
        </w:rPr>
        <w:t>area of international co-operation and development (OECD/DAC, World Bank, UN).</w:t>
      </w:r>
    </w:p>
    <w:p>
      <w:pPr>
        <w:pStyle w:val="ListParagraph"/>
        <w:numPr>
          <w:ilvl w:val="2"/>
          <w:numId w:val="2"/>
        </w:numPr>
        <w:tabs>
          <w:tab w:pos="2521" w:val="left" w:leader="none"/>
        </w:tabs>
        <w:spacing w:line="240" w:lineRule="auto" w:before="0" w:after="0"/>
        <w:ind w:left="2520" w:right="109" w:hanging="360"/>
        <w:jc w:val="both"/>
        <w:rPr>
          <w:sz w:val="22"/>
        </w:rPr>
      </w:pPr>
      <w:r>
        <w:rPr>
          <w:sz w:val="22"/>
        </w:rPr>
        <w:t>collaboration with EU Member States, other donors, financial institutions and partner countries</w:t>
      </w:r>
      <w:r>
        <w:rPr>
          <w:spacing w:val="-3"/>
          <w:sz w:val="22"/>
        </w:rPr>
        <w:t> </w:t>
      </w:r>
      <w:r>
        <w:rPr>
          <w:sz w:val="22"/>
        </w:rPr>
        <w:t>on</w:t>
      </w:r>
      <w:r>
        <w:rPr>
          <w:spacing w:val="-3"/>
          <w:sz w:val="22"/>
        </w:rPr>
        <w:t> </w:t>
      </w:r>
      <w:r>
        <w:rPr>
          <w:sz w:val="22"/>
        </w:rPr>
        <w:t>evaluation,</w:t>
      </w:r>
      <w:r>
        <w:rPr>
          <w:spacing w:val="-6"/>
          <w:sz w:val="22"/>
        </w:rPr>
        <w:t> </w:t>
      </w:r>
      <w:r>
        <w:rPr>
          <w:sz w:val="22"/>
        </w:rPr>
        <w:t>results</w:t>
      </w:r>
      <w:r>
        <w:rPr>
          <w:spacing w:val="-3"/>
          <w:sz w:val="22"/>
        </w:rPr>
        <w:t> </w:t>
      </w:r>
      <w:r>
        <w:rPr>
          <w:sz w:val="22"/>
        </w:rPr>
        <w:t>based</w:t>
      </w:r>
      <w:r>
        <w:rPr>
          <w:spacing w:val="-3"/>
          <w:sz w:val="22"/>
        </w:rPr>
        <w:t> </w:t>
      </w:r>
      <w:r>
        <w:rPr>
          <w:sz w:val="22"/>
        </w:rPr>
        <w:t>management,</w:t>
      </w:r>
      <w:r>
        <w:rPr>
          <w:spacing w:val="-3"/>
          <w:sz w:val="22"/>
        </w:rPr>
        <w:t> </w:t>
      </w:r>
      <w:r>
        <w:rPr>
          <w:sz w:val="22"/>
        </w:rPr>
        <w:t>quality</w:t>
      </w:r>
      <w:r>
        <w:rPr>
          <w:spacing w:val="-6"/>
          <w:sz w:val="22"/>
        </w:rPr>
        <w:t> </w:t>
      </w:r>
      <w:r>
        <w:rPr>
          <w:sz w:val="22"/>
        </w:rPr>
        <w:t>assurance</w:t>
      </w:r>
      <w:r>
        <w:rPr>
          <w:spacing w:val="-3"/>
          <w:sz w:val="22"/>
        </w:rPr>
        <w:t> </w:t>
      </w:r>
      <w:r>
        <w:rPr>
          <w:sz w:val="22"/>
        </w:rPr>
        <w:t>and</w:t>
      </w:r>
      <w:r>
        <w:rPr>
          <w:spacing w:val="-3"/>
          <w:sz w:val="22"/>
        </w:rPr>
        <w:t> </w:t>
      </w:r>
      <w:r>
        <w:rPr>
          <w:sz w:val="22"/>
        </w:rPr>
        <w:t>capacity</w:t>
      </w:r>
      <w:r>
        <w:rPr>
          <w:spacing w:val="-6"/>
          <w:sz w:val="22"/>
        </w:rPr>
        <w:t> </w:t>
      </w:r>
      <w:r>
        <w:rPr>
          <w:sz w:val="22"/>
        </w:rPr>
        <w:t>building (including twinning pilots);</w:t>
      </w:r>
    </w:p>
    <w:p>
      <w:pPr>
        <w:pStyle w:val="ListParagraph"/>
        <w:numPr>
          <w:ilvl w:val="2"/>
          <w:numId w:val="2"/>
        </w:numPr>
        <w:tabs>
          <w:tab w:pos="2521" w:val="left" w:leader="none"/>
        </w:tabs>
        <w:spacing w:line="240" w:lineRule="auto" w:before="0" w:after="0"/>
        <w:ind w:left="2520" w:right="106" w:hanging="360"/>
        <w:jc w:val="both"/>
        <w:rPr>
          <w:sz w:val="22"/>
        </w:rPr>
      </w:pPr>
      <w:r>
        <w:rPr>
          <w:sz w:val="22"/>
        </w:rPr>
        <w:t>organisation of dissemination activities for stakeholders and the general public and the promotion of feedback into the legislative, budgetary and strategic programming processes in DG INTPA;</w:t>
      </w:r>
    </w:p>
    <w:p>
      <w:pPr>
        <w:pStyle w:val="ListParagraph"/>
        <w:numPr>
          <w:ilvl w:val="2"/>
          <w:numId w:val="2"/>
        </w:numPr>
        <w:tabs>
          <w:tab w:pos="2521" w:val="left" w:leader="none"/>
        </w:tabs>
        <w:spacing w:line="240" w:lineRule="auto" w:before="0" w:after="0"/>
        <w:ind w:left="2520" w:right="110" w:hanging="360"/>
        <w:jc w:val="both"/>
        <w:rPr>
          <w:sz w:val="22"/>
        </w:rPr>
      </w:pPr>
      <w:r>
        <w:rPr>
          <w:sz w:val="22"/>
        </w:rPr>
        <w:t>advice and training on evaluation, design and monitoring procedures, methodologies, techniques and knowledge-sharing activities.</w:t>
      </w:r>
    </w:p>
    <w:p>
      <w:pPr>
        <w:pStyle w:val="BodyText"/>
        <w:rPr>
          <w:sz w:val="24"/>
        </w:rPr>
      </w:pPr>
    </w:p>
    <w:p>
      <w:pPr>
        <w:pStyle w:val="BodyText"/>
        <w:spacing w:before="2"/>
        <w:rPr>
          <w:sz w:val="20"/>
        </w:rPr>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07"/>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0"/>
        <w:rPr>
          <w:sz w:val="21"/>
        </w:rPr>
      </w:pPr>
    </w:p>
    <w:p>
      <w:pPr>
        <w:pStyle w:val="ListParagraph"/>
        <w:numPr>
          <w:ilvl w:val="0"/>
          <w:numId w:val="4"/>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4"/>
        </w:numPr>
        <w:tabs>
          <w:tab w:pos="1081" w:val="left" w:leader="none"/>
        </w:tabs>
        <w:spacing w:line="240" w:lineRule="auto" w:before="1" w:after="0"/>
        <w:ind w:left="1080" w:right="114"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0"/>
          <w:numId w:val="4"/>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7"/>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line="252" w:lineRule="exact" w:before="92"/>
        <w:ind w:left="1080"/>
      </w:pPr>
      <w:r>
        <w:rPr>
          <w:spacing w:val="-2"/>
          <w:u w:val="single"/>
        </w:rPr>
        <w:t>Diploma</w:t>
      </w:r>
    </w:p>
    <w:p>
      <w:pPr>
        <w:pStyle w:val="ListParagraph"/>
        <w:numPr>
          <w:ilvl w:val="1"/>
          <w:numId w:val="3"/>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240" w:lineRule="auto" w:before="1" w:after="0"/>
        <w:ind w:left="1205" w:right="0" w:hanging="126"/>
        <w:jc w:val="left"/>
        <w:rPr>
          <w:sz w:val="22"/>
        </w:rPr>
      </w:pPr>
      <w:r>
        <w:rPr>
          <w:sz w:val="22"/>
        </w:rPr>
        <w:t>professional</w:t>
      </w:r>
      <w:r>
        <w:rPr>
          <w:spacing w:val="-3"/>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pPr>
      <w:r>
        <w:rPr/>
        <w:t>in the field(s): for example: economics, law, development studies, mathematics, statistics, econometrics,</w:t>
      </w:r>
      <w:r>
        <w:rPr>
          <w:spacing w:val="40"/>
        </w:rPr>
        <w:t> </w:t>
      </w:r>
      <w:r>
        <w:rPr/>
        <w:t>finance, engineering, etc.</w:t>
      </w:r>
    </w:p>
    <w:p>
      <w:pPr>
        <w:pStyle w:val="BodyText"/>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1"/>
        <w:ind w:left="1080" w:right="172"/>
        <w:jc w:val="both"/>
      </w:pPr>
      <w:r>
        <w:rPr/>
        <w:t>Three years of experience in EU international and development cooperation policy and programmes is considered important. Experience in the intervention cycle management, in particular implementation and </w:t>
      </w:r>
      <w:r>
        <w:rPr>
          <w:spacing w:val="-2"/>
        </w:rPr>
        <w:t>evaluation.</w:t>
      </w:r>
    </w:p>
    <w:p>
      <w:pPr>
        <w:pStyle w:val="BodyText"/>
        <w:spacing w:before="10"/>
        <w:rPr>
          <w:sz w:val="21"/>
        </w:rPr>
      </w:pPr>
    </w:p>
    <w:p>
      <w:pPr>
        <w:pStyle w:val="BodyText"/>
        <w:spacing w:before="1"/>
        <w:ind w:left="1080"/>
        <w:jc w:val="both"/>
      </w:pPr>
      <w:r>
        <w:rPr/>
        <w:t>Candidates</w:t>
      </w:r>
      <w:r>
        <w:rPr>
          <w:spacing w:val="-4"/>
        </w:rPr>
        <w:t> </w:t>
      </w:r>
      <w:r>
        <w:rPr/>
        <w:t>must</w:t>
      </w:r>
      <w:r>
        <w:rPr>
          <w:spacing w:val="-2"/>
        </w:rPr>
        <w:t> </w:t>
      </w:r>
      <w:r>
        <w:rPr/>
        <w:t>have</w:t>
      </w:r>
      <w:r>
        <w:rPr>
          <w:spacing w:val="-4"/>
        </w:rPr>
        <w:t> </w:t>
      </w:r>
      <w:r>
        <w:rPr/>
        <w:t>solid</w:t>
      </w:r>
      <w:r>
        <w:rPr>
          <w:spacing w:val="-6"/>
        </w:rPr>
        <w:t> </w:t>
      </w:r>
      <w:r>
        <w:rPr/>
        <w:t>drafting</w:t>
      </w:r>
      <w:r>
        <w:rPr>
          <w:spacing w:val="-6"/>
        </w:rPr>
        <w:t> </w:t>
      </w:r>
      <w:r>
        <w:rPr>
          <w:spacing w:val="-2"/>
        </w:rPr>
        <w:t>skills.</w:t>
      </w:r>
    </w:p>
    <w:p>
      <w:pPr>
        <w:spacing w:after="0"/>
        <w:jc w:val="both"/>
        <w:sectPr>
          <w:pgSz w:w="11910" w:h="16840"/>
          <w:pgMar w:header="0" w:footer="690" w:top="1020" w:bottom="880" w:left="480" w:right="740"/>
        </w:sectPr>
      </w:pPr>
    </w:p>
    <w:p>
      <w:pPr>
        <w:pStyle w:val="BodyText"/>
        <w:spacing w:before="68"/>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pPr>
      <w:r>
        <w:rPr/>
        <w:t>Excellent</w:t>
      </w:r>
      <w:r>
        <w:rPr>
          <w:spacing w:val="-6"/>
        </w:rPr>
        <w:t> </w:t>
      </w:r>
      <w:r>
        <w:rPr/>
        <w:t>knowledge</w:t>
      </w:r>
      <w:r>
        <w:rPr>
          <w:spacing w:val="-4"/>
        </w:rPr>
        <w:t> </w:t>
      </w:r>
      <w:r>
        <w:rPr/>
        <w:t>of</w:t>
      </w:r>
      <w:r>
        <w:rPr>
          <w:spacing w:val="-3"/>
        </w:rPr>
        <w:t> </w:t>
      </w:r>
      <w:r>
        <w:rPr/>
        <w:t>English</w:t>
      </w:r>
      <w:r>
        <w:rPr>
          <w:spacing w:val="-4"/>
        </w:rPr>
        <w:t> </w:t>
      </w:r>
      <w:r>
        <w:rPr/>
        <w:t>is</w:t>
      </w:r>
      <w:r>
        <w:rPr>
          <w:spacing w:val="-4"/>
        </w:rPr>
        <w:t> </w:t>
      </w:r>
      <w:r>
        <w:rPr/>
        <w:t>essential.</w:t>
      </w:r>
      <w:r>
        <w:rPr>
          <w:spacing w:val="-4"/>
        </w:rPr>
        <w:t> </w:t>
      </w:r>
      <w:r>
        <w:rPr/>
        <w:t>Good</w:t>
      </w:r>
      <w:r>
        <w:rPr>
          <w:spacing w:val="-4"/>
        </w:rPr>
        <w:t> </w:t>
      </w:r>
      <w:r>
        <w:rPr/>
        <w:t>knowledge</w:t>
      </w:r>
      <w:r>
        <w:rPr>
          <w:spacing w:val="-4"/>
        </w:rPr>
        <w:t> </w:t>
      </w:r>
      <w:r>
        <w:rPr/>
        <w:t>of</w:t>
      </w:r>
      <w:r>
        <w:rPr>
          <w:spacing w:val="-3"/>
        </w:rPr>
        <w:t> </w:t>
      </w:r>
      <w:r>
        <w:rPr/>
        <w:t>French</w:t>
      </w:r>
      <w:r>
        <w:rPr>
          <w:spacing w:val="-4"/>
        </w:rPr>
        <w:t> </w:t>
      </w:r>
      <w:r>
        <w:rPr/>
        <w:t>is</w:t>
      </w:r>
      <w:r>
        <w:rPr>
          <w:spacing w:val="-5"/>
        </w:rPr>
        <w:t> </w:t>
      </w:r>
      <w:r>
        <w:rPr>
          <w:spacing w:val="-2"/>
        </w:rPr>
        <w:t>desirable.</w:t>
      </w:r>
    </w:p>
    <w:p>
      <w:pPr>
        <w:pStyle w:val="BodyText"/>
        <w:spacing w:before="5"/>
      </w:pPr>
    </w:p>
    <w:p>
      <w:pPr>
        <w:pStyle w:val="ListParagraph"/>
        <w:numPr>
          <w:ilvl w:val="0"/>
          <w:numId w:val="2"/>
        </w:numPr>
        <w:tabs>
          <w:tab w:pos="799" w:val="left" w:leader="none"/>
          <w:tab w:pos="800" w:val="left" w:leader="none"/>
        </w:tabs>
        <w:spacing w:line="240" w:lineRule="auto" w:before="1"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6"/>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2"/>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4"/>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9"/>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081" w:val="left" w:leader="none"/>
        </w:tabs>
        <w:spacing w:line="240" w:lineRule="auto" w:before="0" w:after="0"/>
        <w:ind w:left="1080" w:right="0" w:hanging="282"/>
        <w:jc w:val="left"/>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spacing w:after="0" w:line="240" w:lineRule="auto"/>
        <w:jc w:val="left"/>
        <w:rPr>
          <w:sz w:val="22"/>
        </w:rPr>
        <w:sectPr>
          <w:pgSz w:w="11910" w:h="16840"/>
          <w:pgMar w:header="0" w:footer="690" w:top="1040" w:bottom="880" w:left="480" w:right="740"/>
        </w:sectPr>
      </w:pPr>
    </w:p>
    <w:p>
      <w:pPr>
        <w:pStyle w:val="BodyText"/>
        <w:spacing w:before="68"/>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7"/>
      </w:pPr>
    </w:p>
    <w:p>
      <w:pPr>
        <w:pStyle w:val="Heading1"/>
        <w:numPr>
          <w:ilvl w:val="0"/>
          <w:numId w:val="5"/>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01pt;width:5.16pt;height:.4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16pt;width:3.72pt;height:.4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5920"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800"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520"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3540" w:hanging="360"/>
      </w:pPr>
      <w:rPr>
        <w:rFonts w:hint="default"/>
        <w:lang w:val="en-US" w:eastAsia="en-US" w:bidi="ar-SA"/>
      </w:rPr>
    </w:lvl>
    <w:lvl w:ilvl="4">
      <w:start w:val="0"/>
      <w:numFmt w:val="bullet"/>
      <w:lvlText w:val="•"/>
      <w:lvlJc w:val="left"/>
      <w:pPr>
        <w:ind w:left="4561" w:hanging="360"/>
      </w:pPr>
      <w:rPr>
        <w:rFonts w:hint="default"/>
        <w:lang w:val="en-US" w:eastAsia="en-US" w:bidi="ar-SA"/>
      </w:rPr>
    </w:lvl>
    <w:lvl w:ilvl="5">
      <w:start w:val="0"/>
      <w:numFmt w:val="bullet"/>
      <w:lvlText w:val="•"/>
      <w:lvlJc w:val="left"/>
      <w:pPr>
        <w:ind w:left="5582" w:hanging="360"/>
      </w:pPr>
      <w:rPr>
        <w:rFonts w:hint="default"/>
        <w:lang w:val="en-US" w:eastAsia="en-US" w:bidi="ar-SA"/>
      </w:rPr>
    </w:lvl>
    <w:lvl w:ilvl="6">
      <w:start w:val="0"/>
      <w:numFmt w:val="bullet"/>
      <w:lvlText w:val="•"/>
      <w:lvlJc w:val="left"/>
      <w:pPr>
        <w:ind w:left="6603" w:hanging="360"/>
      </w:pPr>
      <w:rPr>
        <w:rFonts w:hint="default"/>
        <w:lang w:val="en-US" w:eastAsia="en-US" w:bidi="ar-SA"/>
      </w:rPr>
    </w:lvl>
    <w:lvl w:ilvl="7">
      <w:start w:val="0"/>
      <w:numFmt w:val="bullet"/>
      <w:lvlText w:val="•"/>
      <w:lvlJc w:val="left"/>
      <w:pPr>
        <w:ind w:left="7624" w:hanging="360"/>
      </w:pPr>
      <w:rPr>
        <w:rFonts w:hint="default"/>
        <w:lang w:val="en-US" w:eastAsia="en-US" w:bidi="ar-SA"/>
      </w:rPr>
    </w:lvl>
    <w:lvl w:ilvl="8">
      <w:start w:val="0"/>
      <w:numFmt w:val="bullet"/>
      <w:lvlText w:val="•"/>
      <w:lvlJc w:val="left"/>
      <w:pPr>
        <w:ind w:left="8644" w:hanging="360"/>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Jean-Herve.RAMA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2023-02-16T16:49:39Z</dcterms:created>
  <dcterms:modified xsi:type="dcterms:W3CDTF">2023-02-16T16:49:39Z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