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830"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line="270" w:lineRule="atLeast"/>
              <w:ind w:right="149"/>
              <w:rPr>
                <w:b/>
                <w:sz w:val="24"/>
              </w:rPr>
            </w:pPr>
            <w:r>
              <w:rPr>
                <w:b/>
                <w:sz w:val="24"/>
              </w:rPr>
              <w:t>Directorate</w:t>
            </w:r>
            <w:r>
              <w:rPr>
                <w:b/>
                <w:spacing w:val="-9"/>
                <w:sz w:val="24"/>
              </w:rPr>
              <w:t> </w:t>
            </w:r>
            <w:r>
              <w:rPr>
                <w:b/>
                <w:sz w:val="24"/>
              </w:rPr>
              <w:t>General</w:t>
            </w:r>
            <w:r>
              <w:rPr>
                <w:b/>
                <w:spacing w:val="-8"/>
                <w:sz w:val="24"/>
              </w:rPr>
              <w:t> </w:t>
            </w:r>
            <w:r>
              <w:rPr>
                <w:b/>
                <w:sz w:val="24"/>
              </w:rPr>
              <w:t>for</w:t>
            </w:r>
            <w:r>
              <w:rPr>
                <w:b/>
                <w:spacing w:val="-7"/>
                <w:sz w:val="24"/>
              </w:rPr>
              <w:t> </w:t>
            </w:r>
            <w:r>
              <w:rPr>
                <w:b/>
                <w:sz w:val="24"/>
              </w:rPr>
              <w:t>International</w:t>
            </w:r>
            <w:r>
              <w:rPr>
                <w:b/>
                <w:spacing w:val="-8"/>
                <w:sz w:val="24"/>
              </w:rPr>
              <w:t> </w:t>
            </w:r>
            <w:r>
              <w:rPr>
                <w:b/>
                <w:sz w:val="24"/>
              </w:rPr>
              <w:t>Partnership</w:t>
            </w:r>
            <w:r>
              <w:rPr>
                <w:b/>
                <w:spacing w:val="-3"/>
                <w:sz w:val="24"/>
              </w:rPr>
              <w:t> </w:t>
            </w:r>
            <w:r>
              <w:rPr>
                <w:b/>
                <w:sz w:val="24"/>
              </w:rPr>
              <w:t>– Directorate F – Green Deal, Digital agenda – Unit F2 – Environment, Sustainable Natural Resources</w:t>
            </w:r>
          </w:p>
        </w:tc>
      </w:tr>
      <w:tr>
        <w:trPr>
          <w:trHeight w:val="1975"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ind w:right="2826"/>
              <w:rPr>
                <w:b/>
                <w:sz w:val="22"/>
              </w:rPr>
            </w:pPr>
            <w:r>
              <w:rPr>
                <w:b/>
                <w:sz w:val="22"/>
              </w:rPr>
              <w:t>Email</w:t>
            </w:r>
            <w:r>
              <w:rPr>
                <w:b/>
                <w:spacing w:val="-14"/>
                <w:sz w:val="22"/>
              </w:rPr>
              <w:t> </w:t>
            </w:r>
            <w:r>
              <w:rPr>
                <w:b/>
                <w:sz w:val="22"/>
              </w:rPr>
              <w:t>address: </w:t>
            </w:r>
            <w:r>
              <w:rPr>
                <w:b/>
                <w:spacing w:val="-2"/>
                <w:sz w:val="22"/>
              </w:rPr>
              <w:t>Telephone:</w:t>
            </w:r>
          </w:p>
          <w:p>
            <w:pPr>
              <w:pStyle w:val="TableParagraph"/>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spacing w:line="251" w:lineRule="exact"/>
              <w:rPr>
                <w:b/>
                <w:sz w:val="22"/>
              </w:rPr>
            </w:pPr>
            <w:r>
              <w:rPr>
                <w:b/>
                <w:sz w:val="22"/>
              </w:rPr>
              <w:t>Chantal</w:t>
            </w:r>
            <w:r>
              <w:rPr>
                <w:b/>
                <w:spacing w:val="-5"/>
                <w:sz w:val="22"/>
              </w:rPr>
              <w:t> </w:t>
            </w:r>
            <w:r>
              <w:rPr>
                <w:b/>
                <w:spacing w:val="-2"/>
                <w:sz w:val="22"/>
              </w:rPr>
              <w:t>Marijnissen</w:t>
            </w:r>
          </w:p>
          <w:p>
            <w:pPr>
              <w:pStyle w:val="TableParagraph"/>
              <w:ind w:left="0"/>
              <w:rPr>
                <w:b/>
                <w:sz w:val="22"/>
              </w:rPr>
            </w:pPr>
          </w:p>
          <w:p>
            <w:pPr>
              <w:pStyle w:val="TableParagraph"/>
              <w:spacing w:line="252" w:lineRule="exact"/>
              <w:rPr>
                <w:b/>
                <w:sz w:val="22"/>
              </w:rPr>
            </w:pPr>
            <w:r>
              <w:rPr>
                <w:b/>
                <w:sz w:val="22"/>
              </w:rPr>
              <w:t>+32</w:t>
            </w:r>
            <w:r>
              <w:rPr>
                <w:b/>
                <w:spacing w:val="-1"/>
                <w:sz w:val="22"/>
              </w:rPr>
              <w:t> </w:t>
            </w:r>
            <w:r>
              <w:rPr>
                <w:b/>
                <w:sz w:val="22"/>
              </w:rPr>
              <w:t>2</w:t>
            </w:r>
            <w:r>
              <w:rPr>
                <w:b/>
                <w:spacing w:val="-1"/>
                <w:sz w:val="22"/>
              </w:rPr>
              <w:t> </w:t>
            </w:r>
            <w:r>
              <w:rPr>
                <w:b/>
                <w:spacing w:val="-2"/>
                <w:sz w:val="22"/>
              </w:rPr>
              <w:t>2986565</w:t>
            </w:r>
          </w:p>
          <w:p>
            <w:pPr>
              <w:pStyle w:val="TableParagraph"/>
              <w:spacing w:line="252" w:lineRule="exact"/>
              <w:rPr>
                <w:b/>
                <w:sz w:val="22"/>
              </w:rPr>
            </w:pPr>
            <w:r>
              <w:rPr>
                <w:b/>
                <w:w w:val="100"/>
                <w:sz w:val="22"/>
              </w:rPr>
              <w:t>1</w:t>
            </w:r>
          </w:p>
          <w:p>
            <w:pPr>
              <w:pStyle w:val="TableParagraph"/>
              <w:rPr>
                <w:b/>
                <w:sz w:val="22"/>
              </w:rPr>
            </w:pPr>
            <w:r>
              <w:rPr>
                <w:b/>
                <w:sz w:val="22"/>
              </w:rPr>
              <w:t>As</w:t>
            </w:r>
            <w:r>
              <w:rPr>
                <w:b/>
                <w:spacing w:val="-2"/>
                <w:sz w:val="22"/>
              </w:rPr>
              <w:t> </w:t>
            </w:r>
            <w:r>
              <w:rPr>
                <w:b/>
                <w:sz w:val="22"/>
              </w:rPr>
              <w:t>soon</w:t>
            </w:r>
            <w:r>
              <w:rPr>
                <w:b/>
                <w:spacing w:val="-2"/>
                <w:sz w:val="22"/>
              </w:rPr>
              <w:t> </w:t>
            </w:r>
            <w:r>
              <w:rPr>
                <w:b/>
                <w:sz w:val="22"/>
              </w:rPr>
              <w:t>as</w:t>
            </w:r>
            <w:r>
              <w:rPr>
                <w:b/>
                <w:spacing w:val="-3"/>
                <w:sz w:val="22"/>
              </w:rPr>
              <w:t> </w:t>
            </w:r>
            <w:r>
              <w:rPr>
                <w:b/>
                <w:sz w:val="22"/>
              </w:rPr>
              <w:t>possible</w:t>
            </w:r>
            <w:r>
              <w:rPr>
                <w:b/>
                <w:spacing w:val="-2"/>
                <w:sz w:val="22"/>
              </w:rPr>
              <w:t> </w:t>
            </w:r>
            <w:r>
              <w:rPr>
                <w:b/>
                <w:spacing w:val="-10"/>
                <w:sz w:val="22"/>
                <w:vertAlign w:val="superscript"/>
              </w:rPr>
              <w:t>1</w:t>
            </w:r>
          </w:p>
          <w:p>
            <w:pPr>
              <w:pStyle w:val="TableParagraph"/>
              <w:spacing w:line="252" w:lineRule="exact" w:before="1"/>
              <w:rPr>
                <w:b/>
                <w:sz w:val="22"/>
              </w:rPr>
            </w:pPr>
            <w:r>
              <w:rPr>
                <w:b/>
                <w:sz w:val="22"/>
              </w:rPr>
              <w:t>2 </w:t>
            </w:r>
            <w:r>
              <w:rPr>
                <w:b/>
                <w:spacing w:val="-2"/>
                <w:sz w:val="22"/>
              </w:rPr>
              <w:t>years</w:t>
            </w:r>
            <w:r>
              <w:rPr>
                <w:b/>
                <w:spacing w:val="-2"/>
                <w:sz w:val="22"/>
                <w:vertAlign w:val="superscript"/>
              </w:rPr>
              <w:t>1</w:t>
            </w:r>
          </w:p>
          <w:p>
            <w:pPr>
              <w:pStyle w:val="TableParagraph"/>
              <w:spacing w:line="252"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 </w:t>
            </w:r>
            <w:r>
              <w:rPr>
                <w:b/>
                <w:spacing w:val="-2"/>
                <w:sz w:val="22"/>
              </w:rPr>
              <w:t>……………..</w:t>
            </w:r>
          </w:p>
        </w:tc>
      </w:tr>
      <w:tr>
        <w:trPr>
          <w:trHeight w:val="546" w:hRule="atLeast"/>
        </w:trPr>
        <w:tc>
          <w:tcPr>
            <w:tcW w:w="4359" w:type="dxa"/>
            <w:vMerge/>
            <w:tcBorders>
              <w:top w:val="nil"/>
            </w:tcBorders>
          </w:tcPr>
          <w:p>
            <w:pPr>
              <w:rPr>
                <w:sz w:val="2"/>
                <w:szCs w:val="2"/>
              </w:rPr>
            </w:pPr>
          </w:p>
        </w:tc>
        <w:tc>
          <w:tcPr>
            <w:tcW w:w="5597" w:type="dxa"/>
          </w:tcPr>
          <w:p>
            <w:pPr>
              <w:pStyle w:val="TableParagraph"/>
              <w:numPr>
                <w:ilvl w:val="0"/>
                <w:numId w:val="1"/>
              </w:numPr>
              <w:tabs>
                <w:tab w:pos="523" w:val="left" w:leader="none"/>
                <w:tab w:pos="524" w:val="left" w:leader="none"/>
                <w:tab w:pos="2947" w:val="left" w:leader="none"/>
                <w:tab w:pos="3367" w:val="left" w:leader="none"/>
              </w:tabs>
              <w:spacing w:line="240" w:lineRule="auto" w:before="147" w:after="0"/>
              <w:ind w:left="523" w:right="0" w:hanging="419"/>
              <w:jc w:val="left"/>
              <w:rPr>
                <w:b/>
                <w:sz w:val="22"/>
              </w:rPr>
            </w:pPr>
            <w:r>
              <w:rPr>
                <w:b/>
                <w:sz w:val="22"/>
              </w:rPr>
              <w:t>With</w:t>
            </w:r>
            <w:r>
              <w:rPr>
                <w:b/>
                <w:spacing w:val="-2"/>
                <w:sz w:val="22"/>
              </w:rPr>
              <w:t> allowances</w:t>
            </w:r>
            <w:r>
              <w:rPr>
                <w:b/>
                <w:sz w:val="22"/>
              </w:rPr>
              <w:tab/>
            </w:r>
            <w:r>
              <w:rPr>
                <w:rFonts w:ascii="Wingdings 2" w:hAnsi="Wingdings 2"/>
                <w:b/>
                <w:spacing w:val="-10"/>
                <w:sz w:val="22"/>
              </w:rPr>
              <w:t></w:t>
            </w:r>
            <w:r>
              <w:rPr>
                <w:sz w:val="22"/>
              </w:rPr>
              <w:tab/>
            </w:r>
            <w:r>
              <w:rPr>
                <w:b/>
                <w:spacing w:val="-2"/>
                <w:sz w:val="22"/>
              </w:rPr>
              <w:t>Cost-</w:t>
            </w:r>
            <w:r>
              <w:rPr>
                <w:b/>
                <w:spacing w:val="-4"/>
                <w:sz w:val="22"/>
              </w:rPr>
              <w:t>free</w:t>
            </w:r>
          </w:p>
        </w:tc>
      </w:tr>
      <w:tr>
        <w:trPr>
          <w:trHeight w:val="2112" w:hRule="atLeast"/>
        </w:trPr>
        <w:tc>
          <w:tcPr>
            <w:tcW w:w="9956" w:type="dxa"/>
            <w:gridSpan w:val="2"/>
          </w:tcPr>
          <w:p>
            <w:pPr>
              <w:pStyle w:val="TableParagraph"/>
              <w:spacing w:before="111"/>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
              <w:ind w:left="0"/>
              <w:rPr>
                <w:b/>
                <w:sz w:val="22"/>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1"/>
        <w:rPr>
          <w:b/>
          <w:sz w:val="23"/>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1"/>
        <w:ind w:left="799" w:right="111"/>
        <w:jc w:val="both"/>
      </w:pPr>
      <w:r>
        <w:rPr/>
        <w:t>Unit F2 – environment, sustainable natural resources is offering a seconded national expert position under the responsibility of the Head of Unit.</w:t>
      </w:r>
    </w:p>
    <w:p>
      <w:pPr>
        <w:pStyle w:val="BodyText"/>
      </w:pPr>
    </w:p>
    <w:p>
      <w:pPr>
        <w:pStyle w:val="BodyText"/>
        <w:ind w:left="799" w:right="111"/>
        <w:jc w:val="both"/>
      </w:pPr>
      <w:r>
        <w:rPr/>
        <w:t>The EU is at a crucial juncture, with a new Commission, a new and ambitious European Green Deal, a new Multi-annual Financial Framework, programming and implementation of the EU’s new multiannual financial framework in the area of cooperation for the years 2021 to 2027.</w:t>
      </w:r>
    </w:p>
    <w:p>
      <w:pPr>
        <w:pStyle w:val="BodyText"/>
        <w:spacing w:before="1"/>
      </w:pPr>
    </w:p>
    <w:p>
      <w:pPr>
        <w:pStyle w:val="BodyText"/>
        <w:ind w:left="799" w:right="114"/>
        <w:jc w:val="both"/>
      </w:pPr>
      <w:r>
        <w:rPr/>
        <w:t>The mandate of INTPA Unit F2 is to support developing countries in addressing challenges related to environment, forest (biodiversity, climate change and sustainable management and use), water as well as the transition to a green economy.</w:t>
      </w:r>
    </w:p>
    <w:p>
      <w:pPr>
        <w:pStyle w:val="BodyText"/>
        <w:spacing w:before="1"/>
      </w:pPr>
    </w:p>
    <w:p>
      <w:pPr>
        <w:pStyle w:val="BodyText"/>
        <w:ind w:left="799" w:right="111"/>
        <w:jc w:val="both"/>
      </w:pPr>
      <w:r>
        <w:rPr/>
        <w:t>With this aim, INTPA F2 develops three main areas of work: policy development; thematic and methodological support to EU Delegations and counterparts; programming and implementation. This also includes networking, collaborating, policy dialogue and exchange of experience and information.</w:t>
      </w:r>
    </w:p>
    <w:p>
      <w:pPr>
        <w:pStyle w:val="BodyText"/>
        <w:spacing w:before="10"/>
        <w:rPr>
          <w:sz w:val="21"/>
        </w:rPr>
      </w:pPr>
    </w:p>
    <w:p>
      <w:pPr>
        <w:pStyle w:val="BodyText"/>
        <w:ind w:left="799" w:right="106"/>
        <w:jc w:val="both"/>
      </w:pPr>
      <w:r>
        <w:rPr/>
        <w:t>Unit F2 promotes the design and implementation of the external dimension of the European Green Deal.</w:t>
      </w:r>
      <w:r>
        <w:rPr>
          <w:spacing w:val="40"/>
        </w:rPr>
        <w:t> </w:t>
      </w:r>
      <w:r>
        <w:rPr/>
        <w:t>In order to improve impact of its support to forest and to effectively contribute to implementing the Green Deal, Unit F2 is proposing to develop and implement EU Forest Partnerships with partner countries or regions through a Team Europe approach. This new, comprehensive and integrated approach will deliver on EU commitments, notably climate and biodiversity, while enabling partners to meet their socio-economic development objectives through the transition to a greener economy.</w:t>
      </w:r>
    </w:p>
    <w:p>
      <w:pPr>
        <w:pStyle w:val="BodyText"/>
        <w:spacing w:before="1"/>
      </w:pPr>
    </w:p>
    <w:p>
      <w:pPr>
        <w:pStyle w:val="BodyText"/>
        <w:ind w:left="799" w:right="111"/>
        <w:jc w:val="both"/>
      </w:pPr>
      <w:r>
        <w:rPr/>
        <w:t>The Forest Partnerships will represent the overarching framework to implement the EU forest policy framework</w:t>
      </w:r>
      <w:r>
        <w:rPr>
          <w:spacing w:val="-6"/>
        </w:rPr>
        <w:t> </w:t>
      </w:r>
      <w:r>
        <w:rPr/>
        <w:t>under</w:t>
      </w:r>
      <w:r>
        <w:rPr>
          <w:spacing w:val="-2"/>
        </w:rPr>
        <w:t> </w:t>
      </w:r>
      <w:r>
        <w:rPr/>
        <w:t>the</w:t>
      </w:r>
      <w:r>
        <w:rPr>
          <w:spacing w:val="-1"/>
        </w:rPr>
        <w:t> </w:t>
      </w:r>
      <w:r>
        <w:rPr/>
        <w:t>responsibility</w:t>
      </w:r>
      <w:r>
        <w:rPr>
          <w:spacing w:val="-4"/>
        </w:rPr>
        <w:t> </w:t>
      </w:r>
      <w:r>
        <w:rPr/>
        <w:t>of</w:t>
      </w:r>
      <w:r>
        <w:rPr>
          <w:spacing w:val="-3"/>
        </w:rPr>
        <w:t> </w:t>
      </w:r>
      <w:r>
        <w:rPr/>
        <w:t>Unit F2,</w:t>
      </w:r>
      <w:r>
        <w:rPr>
          <w:spacing w:val="-3"/>
        </w:rPr>
        <w:t> </w:t>
      </w:r>
      <w:r>
        <w:rPr/>
        <w:t>notably</w:t>
      </w:r>
      <w:r>
        <w:rPr>
          <w:spacing w:val="-4"/>
        </w:rPr>
        <w:t> </w:t>
      </w:r>
      <w:r>
        <w:rPr/>
        <w:t>the</w:t>
      </w:r>
      <w:r>
        <w:rPr>
          <w:spacing w:val="-2"/>
        </w:rPr>
        <w:t> </w:t>
      </w:r>
      <w:r>
        <w:rPr/>
        <w:t>Action</w:t>
      </w:r>
      <w:r>
        <w:rPr>
          <w:spacing w:val="-1"/>
        </w:rPr>
        <w:t> </w:t>
      </w:r>
      <w:r>
        <w:rPr/>
        <w:t>Plan</w:t>
      </w:r>
      <w:r>
        <w:rPr>
          <w:spacing w:val="-3"/>
        </w:rPr>
        <w:t> </w:t>
      </w:r>
      <w:r>
        <w:rPr/>
        <w:t>(Forest Law</w:t>
      </w:r>
      <w:r>
        <w:rPr>
          <w:spacing w:val="-2"/>
        </w:rPr>
        <w:t> </w:t>
      </w:r>
      <w:r>
        <w:rPr/>
        <w:t>Enforcement,</w:t>
      </w:r>
      <w:r>
        <w:rPr>
          <w:spacing w:val="-1"/>
        </w:rPr>
        <w:t> </w:t>
      </w:r>
      <w:r>
        <w:rPr>
          <w:spacing w:val="-2"/>
        </w:rPr>
        <w:t>Governance</w:t>
      </w:r>
    </w:p>
    <w:p>
      <w:pPr>
        <w:pStyle w:val="BodyText"/>
        <w:spacing w:before="3"/>
        <w:rPr>
          <w:sz w:val="12"/>
        </w:rPr>
      </w:pPr>
      <w:r>
        <w:rPr/>
        <w:pict>
          <v:rect style="position:absolute;margin-left:42.599998pt;margin-top:8.263735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8"/>
        <w:ind w:left="799" w:right="103"/>
        <w:jc w:val="both"/>
      </w:pPr>
      <w:r>
        <w:rPr/>
        <w:t>and Trade) and the Communication COM/2019/352 “Stepping up EU action to protect and restore world’s forests” and to promote private sector investments through sustainable forest-based value chains. Unit F2 will also help address deforestation and forest degradation in partner countries, through mechanisms under the</w:t>
      </w:r>
      <w:r>
        <w:rPr>
          <w:spacing w:val="40"/>
        </w:rPr>
        <w:t> </w:t>
      </w:r>
      <w:r>
        <w:rPr/>
        <w:t>Paris Agreement on climate including on innovative financing. Unit F2 also contributes to the design and implementation of the EU Regulation for deforestation free products, with a focus on article 27 “benchmarking” and article 28 “Cooperation with third countries”.</w:t>
      </w:r>
    </w:p>
    <w:p>
      <w:pPr>
        <w:pStyle w:val="BodyText"/>
        <w:spacing w:before="5"/>
      </w:pPr>
    </w:p>
    <w:p>
      <w:pPr>
        <w:pStyle w:val="Heading1"/>
        <w:ind w:left="799" w:firstLine="0"/>
      </w:pPr>
      <w:r>
        <w:rPr/>
        <w:t>Job </w:t>
      </w:r>
      <w:r>
        <w:rPr>
          <w:spacing w:val="-2"/>
        </w:rPr>
        <w:t>description</w:t>
      </w:r>
    </w:p>
    <w:p>
      <w:pPr>
        <w:pStyle w:val="BodyText"/>
        <w:spacing w:before="7"/>
        <w:rPr>
          <w:b/>
          <w:sz w:val="21"/>
        </w:rPr>
      </w:pPr>
    </w:p>
    <w:p>
      <w:pPr>
        <w:pStyle w:val="BodyText"/>
        <w:spacing w:before="1"/>
        <w:ind w:left="799" w:right="107"/>
        <w:jc w:val="both"/>
      </w:pPr>
      <w:r>
        <w:rPr/>
        <w:t>Under the responsibility of the Head of Unit, the successful candidate will support INTPA's work in the area</w:t>
      </w:r>
      <w:r>
        <w:rPr>
          <w:spacing w:val="40"/>
        </w:rPr>
        <w:t> </w:t>
      </w:r>
      <w:r>
        <w:rPr/>
        <w:t>of sustainable forest management. The geographic areas would principally be Africa, South-East Asia, the Pacific and South/Central America.</w:t>
      </w:r>
    </w:p>
    <w:p>
      <w:pPr>
        <w:pStyle w:val="BodyText"/>
      </w:pPr>
    </w:p>
    <w:p>
      <w:pPr>
        <w:pStyle w:val="BodyText"/>
        <w:ind w:left="799"/>
        <w:jc w:val="both"/>
      </w:pPr>
      <w:r>
        <w:rPr/>
        <w:t>In</w:t>
      </w:r>
      <w:r>
        <w:rPr>
          <w:spacing w:val="-4"/>
        </w:rPr>
        <w:t> </w:t>
      </w:r>
      <w:r>
        <w:rPr/>
        <w:t>this</w:t>
      </w:r>
      <w:r>
        <w:rPr>
          <w:spacing w:val="-4"/>
        </w:rPr>
        <w:t> </w:t>
      </w:r>
      <w:r>
        <w:rPr/>
        <w:t>context,</w:t>
      </w:r>
      <w:r>
        <w:rPr>
          <w:spacing w:val="-3"/>
        </w:rPr>
        <w:t> </w:t>
      </w:r>
      <w:r>
        <w:rPr/>
        <w:t>the</w:t>
      </w:r>
      <w:r>
        <w:rPr>
          <w:spacing w:val="-4"/>
        </w:rPr>
        <w:t> </w:t>
      </w:r>
      <w:r>
        <w:rPr/>
        <w:t>successful</w:t>
      </w:r>
      <w:r>
        <w:rPr>
          <w:spacing w:val="-3"/>
        </w:rPr>
        <w:t> </w:t>
      </w:r>
      <w:r>
        <w:rPr/>
        <w:t>candidate</w:t>
      </w:r>
      <w:r>
        <w:rPr>
          <w:spacing w:val="-3"/>
        </w:rPr>
        <w:t> </w:t>
      </w:r>
      <w:r>
        <w:rPr/>
        <w:t>will</w:t>
      </w:r>
      <w:r>
        <w:rPr>
          <w:spacing w:val="-3"/>
        </w:rPr>
        <w:t> </w:t>
      </w:r>
      <w:r>
        <w:rPr/>
        <w:t>carry</w:t>
      </w:r>
      <w:r>
        <w:rPr>
          <w:spacing w:val="-7"/>
        </w:rPr>
        <w:t> </w:t>
      </w:r>
      <w:r>
        <w:rPr/>
        <w:t>out</w:t>
      </w:r>
      <w:r>
        <w:rPr>
          <w:spacing w:val="-2"/>
        </w:rPr>
        <w:t> </w:t>
      </w:r>
      <w:r>
        <w:rPr/>
        <w:t>the</w:t>
      </w:r>
      <w:r>
        <w:rPr>
          <w:spacing w:val="-4"/>
        </w:rPr>
        <w:t> </w:t>
      </w:r>
      <w:r>
        <w:rPr/>
        <w:t>following</w:t>
      </w:r>
      <w:r>
        <w:rPr>
          <w:spacing w:val="-6"/>
        </w:rPr>
        <w:t> </w:t>
      </w:r>
      <w:r>
        <w:rPr>
          <w:spacing w:val="-2"/>
        </w:rPr>
        <w:t>tasks:</w:t>
      </w:r>
    </w:p>
    <w:p>
      <w:pPr>
        <w:pStyle w:val="BodyText"/>
        <w:spacing w:before="1"/>
      </w:pPr>
    </w:p>
    <w:p>
      <w:pPr>
        <w:pStyle w:val="ListParagraph"/>
        <w:numPr>
          <w:ilvl w:val="1"/>
          <w:numId w:val="3"/>
        </w:numPr>
        <w:tabs>
          <w:tab w:pos="1520" w:val="left" w:leader="none"/>
        </w:tabs>
        <w:spacing w:line="240" w:lineRule="auto" w:before="1" w:after="0"/>
        <w:ind w:left="1519" w:right="110" w:hanging="360"/>
        <w:jc w:val="both"/>
        <w:rPr>
          <w:sz w:val="22"/>
        </w:rPr>
      </w:pPr>
      <w:r>
        <w:rPr>
          <w:sz w:val="22"/>
        </w:rPr>
        <w:t>support the programming and implementation of future EU country and regional programmes, with particular focus</w:t>
      </w:r>
      <w:r>
        <w:rPr>
          <w:spacing w:val="-2"/>
          <w:sz w:val="22"/>
        </w:rPr>
        <w:t> </w:t>
      </w:r>
      <w:r>
        <w:rPr>
          <w:sz w:val="22"/>
        </w:rPr>
        <w:t>on</w:t>
      </w:r>
      <w:r>
        <w:rPr>
          <w:spacing w:val="-2"/>
          <w:sz w:val="22"/>
        </w:rPr>
        <w:t> </w:t>
      </w:r>
      <w:r>
        <w:rPr>
          <w:sz w:val="22"/>
        </w:rPr>
        <w:t>the</w:t>
      </w:r>
      <w:r>
        <w:rPr>
          <w:spacing w:val="-2"/>
          <w:sz w:val="22"/>
        </w:rPr>
        <w:t> </w:t>
      </w:r>
      <w:r>
        <w:rPr>
          <w:sz w:val="22"/>
        </w:rPr>
        <w:t>external</w:t>
      </w:r>
      <w:r>
        <w:rPr>
          <w:spacing w:val="-1"/>
          <w:sz w:val="22"/>
        </w:rPr>
        <w:t> </w:t>
      </w:r>
      <w:r>
        <w:rPr>
          <w:sz w:val="22"/>
        </w:rPr>
        <w:t>dimension of the Green Deal</w:t>
      </w:r>
      <w:r>
        <w:rPr>
          <w:spacing w:val="-1"/>
          <w:sz w:val="22"/>
        </w:rPr>
        <w:t> </w:t>
      </w:r>
      <w:r>
        <w:rPr>
          <w:sz w:val="22"/>
        </w:rPr>
        <w:t>and</w:t>
      </w:r>
      <w:r>
        <w:rPr>
          <w:spacing w:val="-2"/>
          <w:sz w:val="22"/>
        </w:rPr>
        <w:t> </w:t>
      </w:r>
      <w:r>
        <w:rPr>
          <w:sz w:val="22"/>
        </w:rPr>
        <w:t>the</w:t>
      </w:r>
      <w:r>
        <w:rPr>
          <w:spacing w:val="-2"/>
          <w:sz w:val="22"/>
        </w:rPr>
        <w:t> </w:t>
      </w:r>
      <w:r>
        <w:rPr>
          <w:sz w:val="22"/>
        </w:rPr>
        <w:t>development and</w:t>
      </w:r>
      <w:r>
        <w:rPr>
          <w:spacing w:val="-2"/>
          <w:sz w:val="22"/>
        </w:rPr>
        <w:t> </w:t>
      </w:r>
      <w:r>
        <w:rPr>
          <w:sz w:val="22"/>
        </w:rPr>
        <w:t>implementation of the EU Forest Partnerships, from policy dialogue to programmes;</w:t>
      </w:r>
    </w:p>
    <w:p>
      <w:pPr>
        <w:pStyle w:val="ListParagraph"/>
        <w:numPr>
          <w:ilvl w:val="1"/>
          <w:numId w:val="3"/>
        </w:numPr>
        <w:tabs>
          <w:tab w:pos="1520" w:val="left" w:leader="none"/>
        </w:tabs>
        <w:spacing w:line="240" w:lineRule="auto" w:before="0" w:after="0"/>
        <w:ind w:left="1519" w:right="111" w:hanging="360"/>
        <w:jc w:val="both"/>
        <w:rPr>
          <w:sz w:val="22"/>
        </w:rPr>
      </w:pPr>
      <w:r>
        <w:rPr>
          <w:sz w:val="22"/>
        </w:rPr>
        <w:t>contribute</w:t>
      </w:r>
      <w:r>
        <w:rPr>
          <w:spacing w:val="-2"/>
          <w:sz w:val="22"/>
        </w:rPr>
        <w:t> </w:t>
      </w:r>
      <w:r>
        <w:rPr>
          <w:sz w:val="22"/>
        </w:rPr>
        <w:t>to</w:t>
      </w:r>
      <w:r>
        <w:rPr>
          <w:spacing w:val="-3"/>
          <w:sz w:val="22"/>
        </w:rPr>
        <w:t> </w:t>
      </w:r>
      <w:r>
        <w:rPr>
          <w:sz w:val="22"/>
        </w:rPr>
        <w:t>analytical work</w:t>
      </w:r>
      <w:r>
        <w:rPr>
          <w:spacing w:val="-3"/>
          <w:sz w:val="22"/>
        </w:rPr>
        <w:t> </w:t>
      </w:r>
      <w:r>
        <w:rPr>
          <w:sz w:val="22"/>
        </w:rPr>
        <w:t>and</w:t>
      </w:r>
      <w:r>
        <w:rPr>
          <w:spacing w:val="-1"/>
          <w:sz w:val="22"/>
        </w:rPr>
        <w:t> </w:t>
      </w:r>
      <w:r>
        <w:rPr>
          <w:sz w:val="22"/>
        </w:rPr>
        <w:t>the</w:t>
      </w:r>
      <w:r>
        <w:rPr>
          <w:spacing w:val="-1"/>
          <w:sz w:val="22"/>
        </w:rPr>
        <w:t> </w:t>
      </w:r>
      <w:r>
        <w:rPr>
          <w:sz w:val="22"/>
        </w:rPr>
        <w:t>development of knowledge,</w:t>
      </w:r>
      <w:r>
        <w:rPr>
          <w:spacing w:val="-2"/>
          <w:sz w:val="22"/>
        </w:rPr>
        <w:t> </w:t>
      </w:r>
      <w:r>
        <w:rPr>
          <w:sz w:val="22"/>
        </w:rPr>
        <w:t>tools</w:t>
      </w:r>
      <w:r>
        <w:rPr>
          <w:spacing w:val="-2"/>
          <w:sz w:val="22"/>
        </w:rPr>
        <w:t> </w:t>
      </w:r>
      <w:r>
        <w:rPr>
          <w:sz w:val="22"/>
        </w:rPr>
        <w:t>and</w:t>
      </w:r>
      <w:r>
        <w:rPr>
          <w:spacing w:val="-2"/>
          <w:sz w:val="22"/>
        </w:rPr>
        <w:t> </w:t>
      </w:r>
      <w:r>
        <w:rPr>
          <w:sz w:val="22"/>
        </w:rPr>
        <w:t>approaches</w:t>
      </w:r>
      <w:r>
        <w:rPr>
          <w:spacing w:val="-2"/>
          <w:sz w:val="22"/>
        </w:rPr>
        <w:t> </w:t>
      </w:r>
      <w:r>
        <w:rPr>
          <w:sz w:val="22"/>
        </w:rPr>
        <w:t>in</w:t>
      </w:r>
      <w:r>
        <w:rPr>
          <w:spacing w:val="-3"/>
          <w:sz w:val="22"/>
        </w:rPr>
        <w:t> </w:t>
      </w:r>
      <w:r>
        <w:rPr>
          <w:sz w:val="22"/>
        </w:rPr>
        <w:t>relation</w:t>
      </w:r>
      <w:r>
        <w:rPr>
          <w:spacing w:val="-1"/>
          <w:sz w:val="22"/>
        </w:rPr>
        <w:t> </w:t>
      </w:r>
      <w:r>
        <w:rPr>
          <w:sz w:val="22"/>
        </w:rPr>
        <w:t>with policies, strategies and methodologies for sustainable forest management and the fight against </w:t>
      </w:r>
      <w:r>
        <w:rPr>
          <w:spacing w:val="-2"/>
          <w:sz w:val="22"/>
        </w:rPr>
        <w:t>deforestation;</w:t>
      </w:r>
    </w:p>
    <w:p>
      <w:pPr>
        <w:pStyle w:val="ListParagraph"/>
        <w:numPr>
          <w:ilvl w:val="1"/>
          <w:numId w:val="3"/>
        </w:numPr>
        <w:tabs>
          <w:tab w:pos="1520" w:val="left" w:leader="none"/>
        </w:tabs>
        <w:spacing w:line="252" w:lineRule="exact" w:before="0" w:after="0"/>
        <w:ind w:left="1519" w:right="0" w:hanging="361"/>
        <w:jc w:val="both"/>
        <w:rPr>
          <w:sz w:val="22"/>
        </w:rPr>
      </w:pPr>
      <w:r>
        <w:rPr>
          <w:sz w:val="22"/>
        </w:rPr>
        <w:t>analyse</w:t>
      </w:r>
      <w:r>
        <w:rPr>
          <w:spacing w:val="-6"/>
          <w:sz w:val="22"/>
        </w:rPr>
        <w:t> </w:t>
      </w:r>
      <w:r>
        <w:rPr>
          <w:sz w:val="22"/>
        </w:rPr>
        <w:t>and</w:t>
      </w:r>
      <w:r>
        <w:rPr>
          <w:spacing w:val="-3"/>
          <w:sz w:val="22"/>
        </w:rPr>
        <w:t> </w:t>
      </w:r>
      <w:r>
        <w:rPr>
          <w:sz w:val="22"/>
        </w:rPr>
        <w:t>develop</w:t>
      </w:r>
      <w:r>
        <w:rPr>
          <w:spacing w:val="-4"/>
          <w:sz w:val="22"/>
        </w:rPr>
        <w:t> </w:t>
      </w:r>
      <w:r>
        <w:rPr>
          <w:sz w:val="22"/>
        </w:rPr>
        <w:t>sustainable</w:t>
      </w:r>
      <w:r>
        <w:rPr>
          <w:spacing w:val="-5"/>
          <w:sz w:val="22"/>
        </w:rPr>
        <w:t> </w:t>
      </w:r>
      <w:r>
        <w:rPr>
          <w:sz w:val="22"/>
        </w:rPr>
        <w:t>forest-related</w:t>
      </w:r>
      <w:r>
        <w:rPr>
          <w:spacing w:val="-4"/>
          <w:sz w:val="22"/>
        </w:rPr>
        <w:t> </w:t>
      </w:r>
      <w:r>
        <w:rPr>
          <w:sz w:val="22"/>
        </w:rPr>
        <w:t>value</w:t>
      </w:r>
      <w:r>
        <w:rPr>
          <w:spacing w:val="-5"/>
          <w:sz w:val="22"/>
        </w:rPr>
        <w:t> </w:t>
      </w:r>
      <w:r>
        <w:rPr>
          <w:sz w:val="22"/>
        </w:rPr>
        <w:t>chains</w:t>
      </w:r>
      <w:r>
        <w:rPr>
          <w:spacing w:val="-5"/>
          <w:sz w:val="22"/>
        </w:rPr>
        <w:t> </w:t>
      </w:r>
      <w:r>
        <w:rPr>
          <w:sz w:val="22"/>
        </w:rPr>
        <w:t>(timber</w:t>
      </w:r>
      <w:r>
        <w:rPr>
          <w:spacing w:val="-3"/>
          <w:sz w:val="22"/>
        </w:rPr>
        <w:t> </w:t>
      </w:r>
      <w:r>
        <w:rPr>
          <w:sz w:val="22"/>
        </w:rPr>
        <w:t>and</w:t>
      </w:r>
      <w:r>
        <w:rPr>
          <w:spacing w:val="-5"/>
          <w:sz w:val="22"/>
        </w:rPr>
        <w:t> </w:t>
      </w:r>
      <w:r>
        <w:rPr>
          <w:sz w:val="22"/>
        </w:rPr>
        <w:t>non-timber</w:t>
      </w:r>
      <w:r>
        <w:rPr>
          <w:spacing w:val="-3"/>
          <w:sz w:val="22"/>
        </w:rPr>
        <w:t> </w:t>
      </w:r>
      <w:r>
        <w:rPr>
          <w:sz w:val="22"/>
        </w:rPr>
        <w:t>forest</w:t>
      </w:r>
      <w:r>
        <w:rPr>
          <w:spacing w:val="-2"/>
          <w:sz w:val="22"/>
        </w:rPr>
        <w:t> products);</w:t>
      </w:r>
    </w:p>
    <w:p>
      <w:pPr>
        <w:pStyle w:val="ListParagraph"/>
        <w:numPr>
          <w:ilvl w:val="1"/>
          <w:numId w:val="3"/>
        </w:numPr>
        <w:tabs>
          <w:tab w:pos="1520" w:val="left" w:leader="none"/>
        </w:tabs>
        <w:spacing w:line="240" w:lineRule="auto" w:before="0" w:after="0"/>
        <w:ind w:left="1519" w:right="104" w:hanging="360"/>
        <w:jc w:val="both"/>
        <w:rPr>
          <w:sz w:val="22"/>
        </w:rPr>
      </w:pPr>
      <w:r>
        <w:rPr>
          <w:sz w:val="22"/>
        </w:rPr>
        <w:t>contribute</w:t>
      </w:r>
      <w:r>
        <w:rPr>
          <w:spacing w:val="-1"/>
          <w:sz w:val="22"/>
        </w:rPr>
        <w:t> </w:t>
      </w:r>
      <w:r>
        <w:rPr>
          <w:sz w:val="22"/>
        </w:rPr>
        <w:t>to</w:t>
      </w:r>
      <w:r>
        <w:rPr>
          <w:spacing w:val="-1"/>
          <w:sz w:val="22"/>
        </w:rPr>
        <w:t> </w:t>
      </w:r>
      <w:r>
        <w:rPr>
          <w:sz w:val="22"/>
        </w:rPr>
        <w:t>the</w:t>
      </w:r>
      <w:r>
        <w:rPr>
          <w:spacing w:val="-1"/>
          <w:sz w:val="22"/>
        </w:rPr>
        <w:t> </w:t>
      </w:r>
      <w:r>
        <w:rPr>
          <w:sz w:val="22"/>
        </w:rPr>
        <w:t>implementation of</w:t>
      </w:r>
      <w:r>
        <w:rPr>
          <w:spacing w:val="-1"/>
          <w:sz w:val="22"/>
        </w:rPr>
        <w:t> </w:t>
      </w:r>
      <w:r>
        <w:rPr>
          <w:sz w:val="22"/>
        </w:rPr>
        <w:t>the EU</w:t>
      </w:r>
      <w:r>
        <w:rPr>
          <w:spacing w:val="-1"/>
          <w:sz w:val="22"/>
        </w:rPr>
        <w:t> </w:t>
      </w:r>
      <w:r>
        <w:rPr>
          <w:sz w:val="22"/>
        </w:rPr>
        <w:t>regulation</w:t>
      </w:r>
      <w:r>
        <w:rPr>
          <w:spacing w:val="-1"/>
          <w:sz w:val="22"/>
        </w:rPr>
        <w:t> </w:t>
      </w:r>
      <w:r>
        <w:rPr>
          <w:sz w:val="22"/>
        </w:rPr>
        <w:t>for deforestation</w:t>
      </w:r>
      <w:r>
        <w:rPr>
          <w:spacing w:val="-1"/>
          <w:sz w:val="22"/>
        </w:rPr>
        <w:t> </w:t>
      </w:r>
      <w:r>
        <w:rPr>
          <w:sz w:val="22"/>
        </w:rPr>
        <w:t>free products, specifically</w:t>
      </w:r>
      <w:r>
        <w:rPr>
          <w:spacing w:val="-2"/>
          <w:sz w:val="22"/>
        </w:rPr>
        <w:t> </w:t>
      </w:r>
      <w:r>
        <w:rPr>
          <w:sz w:val="22"/>
        </w:rPr>
        <w:t>with a view to facilitating trade in legal and sustainable timber/wood products between partner countries and the EU;</w:t>
      </w:r>
    </w:p>
    <w:p>
      <w:pPr>
        <w:pStyle w:val="ListParagraph"/>
        <w:numPr>
          <w:ilvl w:val="1"/>
          <w:numId w:val="3"/>
        </w:numPr>
        <w:tabs>
          <w:tab w:pos="1520" w:val="left" w:leader="none"/>
        </w:tabs>
        <w:spacing w:line="240" w:lineRule="auto" w:before="0" w:after="0"/>
        <w:ind w:left="1519" w:right="111" w:hanging="360"/>
        <w:jc w:val="both"/>
        <w:rPr>
          <w:sz w:val="22"/>
        </w:rPr>
      </w:pPr>
      <w:r>
        <w:rPr>
          <w:sz w:val="22"/>
        </w:rPr>
        <w:t>support investment operations (blending, guarantees, green/climate finance, carbon markets), public private partnerships and private sector involvement in the area sustainable forest management and reforestation, including afforestation and forest ecosystem restoration;</w:t>
      </w:r>
    </w:p>
    <w:p>
      <w:pPr>
        <w:pStyle w:val="ListParagraph"/>
        <w:numPr>
          <w:ilvl w:val="1"/>
          <w:numId w:val="3"/>
        </w:numPr>
        <w:tabs>
          <w:tab w:pos="1520" w:val="left" w:leader="none"/>
        </w:tabs>
        <w:spacing w:line="240" w:lineRule="auto" w:before="0" w:after="0"/>
        <w:ind w:left="1519" w:right="103" w:hanging="360"/>
        <w:jc w:val="both"/>
        <w:rPr>
          <w:sz w:val="22"/>
        </w:rPr>
      </w:pPr>
      <w:r>
        <w:rPr>
          <w:sz w:val="22"/>
        </w:rPr>
        <w:t>support capacity development activities to enhance the capacity of EU staff on forest,</w:t>
      </w:r>
      <w:r>
        <w:rPr>
          <w:spacing w:val="40"/>
          <w:sz w:val="22"/>
        </w:rPr>
        <w:t> </w:t>
      </w:r>
      <w:r>
        <w:rPr>
          <w:sz w:val="22"/>
        </w:rPr>
        <w:t>from a holistic perspective as an socio-economic driver but also for their role an value for biodiversity and climate </w:t>
      </w:r>
      <w:r>
        <w:rPr>
          <w:spacing w:val="-2"/>
          <w:sz w:val="22"/>
        </w:rPr>
        <w:t>change;</w:t>
      </w:r>
    </w:p>
    <w:p>
      <w:pPr>
        <w:pStyle w:val="ListParagraph"/>
        <w:numPr>
          <w:ilvl w:val="1"/>
          <w:numId w:val="3"/>
        </w:numPr>
        <w:tabs>
          <w:tab w:pos="1520" w:val="left" w:leader="none"/>
        </w:tabs>
        <w:spacing w:line="252" w:lineRule="exact" w:before="0" w:after="0"/>
        <w:ind w:left="1519" w:right="0" w:hanging="361"/>
        <w:jc w:val="both"/>
        <w:rPr>
          <w:sz w:val="22"/>
        </w:rPr>
      </w:pPr>
      <w:r>
        <w:rPr>
          <w:sz w:val="22"/>
        </w:rPr>
        <w:t>conduct</w:t>
      </w:r>
      <w:r>
        <w:rPr>
          <w:spacing w:val="-4"/>
          <w:sz w:val="22"/>
        </w:rPr>
        <w:t> </w:t>
      </w:r>
      <w:r>
        <w:rPr>
          <w:sz w:val="22"/>
        </w:rPr>
        <w:t>support</w:t>
      </w:r>
      <w:r>
        <w:rPr>
          <w:spacing w:val="-2"/>
          <w:sz w:val="22"/>
        </w:rPr>
        <w:t> </w:t>
      </w:r>
      <w:r>
        <w:rPr>
          <w:sz w:val="22"/>
        </w:rPr>
        <w:t>missions</w:t>
      </w:r>
      <w:r>
        <w:rPr>
          <w:spacing w:val="-5"/>
          <w:sz w:val="22"/>
        </w:rPr>
        <w:t> </w:t>
      </w:r>
      <w:r>
        <w:rPr>
          <w:sz w:val="22"/>
        </w:rPr>
        <w:t>in</w:t>
      </w:r>
      <w:r>
        <w:rPr>
          <w:spacing w:val="-3"/>
          <w:sz w:val="22"/>
        </w:rPr>
        <w:t> </w:t>
      </w:r>
      <w:r>
        <w:rPr>
          <w:sz w:val="22"/>
        </w:rPr>
        <w:t>partner</w:t>
      </w:r>
      <w:r>
        <w:rPr>
          <w:spacing w:val="-3"/>
          <w:sz w:val="22"/>
        </w:rPr>
        <w:t> </w:t>
      </w:r>
      <w:r>
        <w:rPr>
          <w:sz w:val="22"/>
        </w:rPr>
        <w:t>countries</w:t>
      </w:r>
      <w:r>
        <w:rPr>
          <w:spacing w:val="-2"/>
          <w:sz w:val="22"/>
        </w:rPr>
        <w:t> </w:t>
      </w:r>
      <w:r>
        <w:rPr>
          <w:sz w:val="22"/>
        </w:rPr>
        <w:t>to</w:t>
      </w:r>
      <w:r>
        <w:rPr>
          <w:spacing w:val="-6"/>
          <w:sz w:val="22"/>
        </w:rPr>
        <w:t> </w:t>
      </w:r>
      <w:r>
        <w:rPr>
          <w:sz w:val="22"/>
        </w:rPr>
        <w:t>provide</w:t>
      </w:r>
      <w:r>
        <w:rPr>
          <w:spacing w:val="-3"/>
          <w:sz w:val="22"/>
        </w:rPr>
        <w:t> </w:t>
      </w:r>
      <w:r>
        <w:rPr>
          <w:sz w:val="22"/>
        </w:rPr>
        <w:t>policy</w:t>
      </w:r>
      <w:r>
        <w:rPr>
          <w:spacing w:val="-5"/>
          <w:sz w:val="22"/>
        </w:rPr>
        <w:t> </w:t>
      </w:r>
      <w:r>
        <w:rPr>
          <w:sz w:val="22"/>
        </w:rPr>
        <w:t>and</w:t>
      </w:r>
      <w:r>
        <w:rPr>
          <w:spacing w:val="-4"/>
          <w:sz w:val="22"/>
        </w:rPr>
        <w:t> </w:t>
      </w:r>
      <w:r>
        <w:rPr>
          <w:sz w:val="22"/>
        </w:rPr>
        <w:t>technical</w:t>
      </w:r>
      <w:r>
        <w:rPr>
          <w:spacing w:val="-5"/>
          <w:sz w:val="22"/>
        </w:rPr>
        <w:t> </w:t>
      </w:r>
      <w:r>
        <w:rPr>
          <w:sz w:val="22"/>
        </w:rPr>
        <w:t>support</w:t>
      </w:r>
      <w:r>
        <w:rPr>
          <w:spacing w:val="-5"/>
          <w:sz w:val="22"/>
        </w:rPr>
        <w:t> </w:t>
      </w:r>
      <w:r>
        <w:rPr>
          <w:sz w:val="22"/>
        </w:rPr>
        <w:t>on</w:t>
      </w:r>
      <w:r>
        <w:rPr>
          <w:spacing w:val="-2"/>
          <w:sz w:val="22"/>
        </w:rPr>
        <w:t> forests;</w:t>
      </w:r>
    </w:p>
    <w:p>
      <w:pPr>
        <w:pStyle w:val="ListParagraph"/>
        <w:numPr>
          <w:ilvl w:val="1"/>
          <w:numId w:val="3"/>
        </w:numPr>
        <w:tabs>
          <w:tab w:pos="1520" w:val="left" w:leader="none"/>
        </w:tabs>
        <w:spacing w:line="240" w:lineRule="auto" w:before="2" w:after="0"/>
        <w:ind w:left="1519" w:right="113" w:hanging="360"/>
        <w:jc w:val="both"/>
        <w:rPr>
          <w:sz w:val="22"/>
        </w:rPr>
      </w:pPr>
      <w:r>
        <w:rPr>
          <w:sz w:val="22"/>
        </w:rPr>
        <w:t>provide technical support to colleagues in INTPA and EU delegations in the area of sustainable forest management, forest conservation and restoration;</w:t>
      </w:r>
    </w:p>
    <w:p>
      <w:pPr>
        <w:pStyle w:val="ListParagraph"/>
        <w:numPr>
          <w:ilvl w:val="1"/>
          <w:numId w:val="3"/>
        </w:numPr>
        <w:tabs>
          <w:tab w:pos="1520" w:val="left" w:leader="none"/>
        </w:tabs>
        <w:spacing w:line="240" w:lineRule="auto" w:before="0" w:after="0"/>
        <w:ind w:left="1519" w:right="109" w:hanging="360"/>
        <w:jc w:val="both"/>
        <w:rPr>
          <w:sz w:val="22"/>
        </w:rPr>
      </w:pPr>
      <w:r>
        <w:rPr>
          <w:sz w:val="22"/>
        </w:rPr>
        <w:t>engage in and promote sector and thematic coordination within the Commission and other EU institutions, Member States and other stakeholders;</w:t>
      </w:r>
    </w:p>
    <w:p>
      <w:pPr>
        <w:pStyle w:val="ListParagraph"/>
        <w:numPr>
          <w:ilvl w:val="1"/>
          <w:numId w:val="3"/>
        </w:numPr>
        <w:tabs>
          <w:tab w:pos="1520" w:val="left" w:leader="none"/>
        </w:tabs>
        <w:spacing w:line="240" w:lineRule="auto" w:before="0" w:after="0"/>
        <w:ind w:left="1519" w:right="114" w:hanging="360"/>
        <w:jc w:val="both"/>
        <w:rPr>
          <w:sz w:val="22"/>
        </w:rPr>
      </w:pPr>
      <w:r>
        <w:rPr>
          <w:sz w:val="22"/>
        </w:rPr>
        <w:t>contribute to the identification and formulation of forest sector programmes and perform related analysis, provide thematic guidance and training &amp; knowledge sharing;</w:t>
      </w:r>
    </w:p>
    <w:p>
      <w:pPr>
        <w:pStyle w:val="ListParagraph"/>
        <w:numPr>
          <w:ilvl w:val="1"/>
          <w:numId w:val="3"/>
        </w:numPr>
        <w:tabs>
          <w:tab w:pos="1520" w:val="left" w:leader="none"/>
        </w:tabs>
        <w:spacing w:line="240" w:lineRule="auto" w:before="0" w:after="0"/>
        <w:ind w:left="1519" w:right="105" w:hanging="360"/>
        <w:jc w:val="both"/>
        <w:rPr>
          <w:sz w:val="22"/>
        </w:rPr>
      </w:pPr>
      <w:r>
        <w:rPr>
          <w:sz w:val="22"/>
        </w:rPr>
        <w:t>support the mainstreaming of climate change and biodiversity throughout the forest portfolio in line with the Commission’s proposal for the new financial framework (2021-2027) of 30% climate</w:t>
      </w:r>
      <w:r>
        <w:rPr>
          <w:spacing w:val="40"/>
          <w:sz w:val="22"/>
        </w:rPr>
        <w:t> </w:t>
      </w:r>
      <w:r>
        <w:rPr>
          <w:sz w:val="22"/>
        </w:rPr>
        <w:t>relevant actions and the President’s commitment to double biodiversity financing.</w:t>
      </w:r>
    </w:p>
    <w:p>
      <w:pPr>
        <w:pStyle w:val="BodyText"/>
      </w:pPr>
    </w:p>
    <w:p>
      <w:pPr>
        <w:pStyle w:val="BodyText"/>
        <w:ind w:left="799" w:right="104"/>
        <w:jc w:val="both"/>
      </w:pPr>
      <w:r>
        <w:rPr/>
        <w:t>The Seconded National Expert will also undertake any other relevant tasks assigned by the Head of Unit and could be called to participate in other areas of work such as private sector in particular circular and bio- economy, integrated landscape approaches,</w:t>
      </w:r>
      <w:r>
        <w:rPr>
          <w:spacing w:val="40"/>
        </w:rPr>
        <w:t> </w:t>
      </w:r>
      <w:r>
        <w:rPr/>
        <w:t>forest tenure and access rights, Human Rights, innovative financing mechanisms for forest ecosystems, policy dialogue with partner countries, , more broadly, to contribute to the environmental dimension of INTPA's work</w:t>
      </w:r>
    </w:p>
    <w:p>
      <w:pPr>
        <w:pStyle w:val="BodyText"/>
        <w:spacing w:before="4"/>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10"/>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spacing w:after="0"/>
        <w:jc w:val="both"/>
        <w:sectPr>
          <w:pgSz w:w="11910" w:h="16840"/>
          <w:pgMar w:header="0" w:footer="690" w:top="1040" w:bottom="880" w:left="480" w:right="740"/>
        </w:sectPr>
      </w:pPr>
    </w:p>
    <w:p>
      <w:pPr>
        <w:pStyle w:val="ListParagraph"/>
        <w:numPr>
          <w:ilvl w:val="0"/>
          <w:numId w:val="5"/>
        </w:numPr>
        <w:tabs>
          <w:tab w:pos="1081" w:val="left" w:leader="none"/>
        </w:tabs>
        <w:spacing w:line="240" w:lineRule="auto" w:before="68"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2"/>
      </w:pPr>
    </w:p>
    <w:p>
      <w:pPr>
        <w:pStyle w:val="ListParagraph"/>
        <w:numPr>
          <w:ilvl w:val="0"/>
          <w:numId w:val="5"/>
        </w:numPr>
        <w:tabs>
          <w:tab w:pos="1081" w:val="left" w:leader="none"/>
        </w:tabs>
        <w:spacing w:line="240" w:lineRule="auto" w:before="0"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0"/>
          <w:numId w:val="5"/>
        </w:numPr>
        <w:tabs>
          <w:tab w:pos="1081" w:val="left" w:leader="none"/>
        </w:tabs>
        <w:spacing w:line="240" w:lineRule="auto" w:before="0" w:after="0"/>
        <w:ind w:left="1080" w:right="114"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40"/>
          <w:sz w:val="22"/>
        </w:rPr>
        <w:t> </w:t>
      </w:r>
      <w:r>
        <w:rPr>
          <w:spacing w:val="-2"/>
          <w:sz w:val="22"/>
        </w:rPr>
        <w:t>duties.</w:t>
      </w:r>
    </w:p>
    <w:p>
      <w:pPr>
        <w:pStyle w:val="BodyText"/>
        <w:spacing w:before="6"/>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7"/>
        <w:rPr>
          <w:b/>
          <w:sz w:val="15"/>
        </w:rPr>
      </w:pPr>
    </w:p>
    <w:p>
      <w:pPr>
        <w:pStyle w:val="BodyText"/>
        <w:spacing w:before="91"/>
        <w:ind w:left="1080"/>
      </w:pPr>
      <w:r>
        <w:rPr>
          <w:spacing w:val="-2"/>
          <w:u w:val="single"/>
        </w:rPr>
        <w:t>Diploma</w:t>
      </w:r>
    </w:p>
    <w:p>
      <w:pPr>
        <w:pStyle w:val="ListParagraph"/>
        <w:numPr>
          <w:ilvl w:val="1"/>
          <w:numId w:val="4"/>
        </w:numPr>
        <w:tabs>
          <w:tab w:pos="1206" w:val="left" w:leader="none"/>
        </w:tabs>
        <w:spacing w:line="252" w:lineRule="exact" w:before="2"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252" w:lineRule="exact" w:before="0"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spacing w:line="480" w:lineRule="auto"/>
        <w:ind w:left="1080"/>
      </w:pPr>
      <w:r>
        <w:rPr/>
        <w:t>in</w:t>
      </w:r>
      <w:r>
        <w:rPr>
          <w:spacing w:val="-3"/>
        </w:rPr>
        <w:t> </w:t>
      </w:r>
      <w:r>
        <w:rPr/>
        <w:t>the</w:t>
      </w:r>
      <w:r>
        <w:rPr>
          <w:spacing w:val="-3"/>
        </w:rPr>
        <w:t> </w:t>
      </w:r>
      <w:r>
        <w:rPr/>
        <w:t>field(s):</w:t>
      </w:r>
      <w:r>
        <w:rPr>
          <w:spacing w:val="-2"/>
        </w:rPr>
        <w:t> </w:t>
      </w:r>
      <w:r>
        <w:rPr/>
        <w:t>environmental</w:t>
      </w:r>
      <w:r>
        <w:rPr>
          <w:spacing w:val="-1"/>
        </w:rPr>
        <w:t> </w:t>
      </w:r>
      <w:r>
        <w:rPr/>
        <w:t>studies,</w:t>
      </w:r>
      <w:r>
        <w:rPr>
          <w:spacing w:val="-6"/>
        </w:rPr>
        <w:t> </w:t>
      </w:r>
      <w:r>
        <w:rPr/>
        <w:t>ecology,</w:t>
      </w:r>
      <w:r>
        <w:rPr>
          <w:spacing w:val="-3"/>
        </w:rPr>
        <w:t> </w:t>
      </w:r>
      <w:r>
        <w:rPr/>
        <w:t>biology,</w:t>
      </w:r>
      <w:r>
        <w:rPr>
          <w:spacing w:val="-3"/>
        </w:rPr>
        <w:t> </w:t>
      </w:r>
      <w:r>
        <w:rPr/>
        <w:t>agriculture,</w:t>
      </w:r>
      <w:r>
        <w:rPr>
          <w:spacing w:val="-5"/>
        </w:rPr>
        <w:t> </w:t>
      </w:r>
      <w:r>
        <w:rPr/>
        <w:t>forestry,</w:t>
      </w:r>
      <w:r>
        <w:rPr>
          <w:spacing w:val="-3"/>
        </w:rPr>
        <w:t> </w:t>
      </w:r>
      <w:r>
        <w:rPr/>
        <w:t>economics</w:t>
      </w:r>
      <w:r>
        <w:rPr>
          <w:spacing w:val="-3"/>
        </w:rPr>
        <w:t> </w:t>
      </w:r>
      <w:r>
        <w:rPr/>
        <w:t>or</w:t>
      </w:r>
      <w:r>
        <w:rPr>
          <w:spacing w:val="-3"/>
        </w:rPr>
        <w:t> </w:t>
      </w:r>
      <w:r>
        <w:rPr/>
        <w:t>similar. </w:t>
      </w:r>
      <w:r>
        <w:rPr>
          <w:u w:val="single"/>
        </w:rPr>
        <w:t>Professional experience</w:t>
      </w:r>
    </w:p>
    <w:p>
      <w:pPr>
        <w:pStyle w:val="BodyText"/>
        <w:spacing w:before="1"/>
        <w:ind w:left="1080" w:right="173"/>
        <w:jc w:val="both"/>
      </w:pPr>
      <w:r>
        <w:rPr/>
        <w:t>At least 5 years of proven full-time professional experience in areas relevant to sustainable forest management: particularly in the design of sector strategies/policies and/or projects/programmes;</w:t>
      </w:r>
    </w:p>
    <w:p>
      <w:pPr>
        <w:pStyle w:val="BodyText"/>
        <w:spacing w:before="11"/>
        <w:rPr>
          <w:sz w:val="21"/>
        </w:rPr>
      </w:pPr>
    </w:p>
    <w:p>
      <w:pPr>
        <w:pStyle w:val="BodyText"/>
        <w:ind w:left="1080" w:right="176"/>
        <w:jc w:val="both"/>
      </w:pPr>
      <w:r>
        <w:rPr/>
        <w:t>experience in the field of sustainable finance mechanisms for forests would be appreciated (blending, trust fund, Payment for Ecosystem Services);</w:t>
      </w:r>
    </w:p>
    <w:p>
      <w:pPr>
        <w:pStyle w:val="BodyText"/>
      </w:pPr>
    </w:p>
    <w:p>
      <w:pPr>
        <w:pStyle w:val="BodyText"/>
        <w:ind w:left="1080" w:right="167"/>
        <w:jc w:val="both"/>
      </w:pPr>
      <w:r>
        <w:rPr/>
        <w:t>experience in the analysis and development of sector value chains, including involvement of the private </w:t>
      </w:r>
      <w:r>
        <w:rPr>
          <w:spacing w:val="-2"/>
        </w:rPr>
        <w:t>sector;</w:t>
      </w:r>
    </w:p>
    <w:p>
      <w:pPr>
        <w:pStyle w:val="BodyText"/>
        <w:spacing w:before="11"/>
        <w:rPr>
          <w:sz w:val="21"/>
        </w:rPr>
      </w:pPr>
    </w:p>
    <w:p>
      <w:pPr>
        <w:pStyle w:val="BodyText"/>
        <w:ind w:left="1080"/>
        <w:jc w:val="both"/>
      </w:pPr>
      <w:r>
        <w:rPr/>
        <w:t>field</w:t>
      </w:r>
      <w:r>
        <w:rPr>
          <w:spacing w:val="-5"/>
        </w:rPr>
        <w:t> </w:t>
      </w:r>
      <w:r>
        <w:rPr/>
        <w:t>experience</w:t>
      </w:r>
      <w:r>
        <w:rPr>
          <w:spacing w:val="-5"/>
        </w:rPr>
        <w:t> </w:t>
      </w:r>
      <w:r>
        <w:rPr/>
        <w:t>in</w:t>
      </w:r>
      <w:r>
        <w:rPr>
          <w:spacing w:val="-6"/>
        </w:rPr>
        <w:t> </w:t>
      </w:r>
      <w:r>
        <w:rPr/>
        <w:t>the</w:t>
      </w:r>
      <w:r>
        <w:rPr>
          <w:spacing w:val="-2"/>
        </w:rPr>
        <w:t> </w:t>
      </w:r>
      <w:r>
        <w:rPr/>
        <w:t>African</w:t>
      </w:r>
      <w:r>
        <w:rPr>
          <w:spacing w:val="-3"/>
        </w:rPr>
        <w:t> </w:t>
      </w:r>
      <w:r>
        <w:rPr/>
        <w:t>and/or</w:t>
      </w:r>
      <w:r>
        <w:rPr>
          <w:spacing w:val="-3"/>
        </w:rPr>
        <w:t> </w:t>
      </w:r>
      <w:r>
        <w:rPr/>
        <w:t>South</w:t>
      </w:r>
      <w:r>
        <w:rPr>
          <w:spacing w:val="-3"/>
        </w:rPr>
        <w:t> </w:t>
      </w:r>
      <w:r>
        <w:rPr/>
        <w:t>America</w:t>
      </w:r>
      <w:r>
        <w:rPr>
          <w:spacing w:val="-5"/>
        </w:rPr>
        <w:t> </w:t>
      </w:r>
      <w:r>
        <w:rPr/>
        <w:t>region</w:t>
      </w:r>
      <w:r>
        <w:rPr>
          <w:spacing w:val="-2"/>
        </w:rPr>
        <w:t> </w:t>
      </w:r>
      <w:r>
        <w:rPr/>
        <w:t>is</w:t>
      </w:r>
      <w:r>
        <w:rPr>
          <w:spacing w:val="-5"/>
        </w:rPr>
        <w:t> </w:t>
      </w:r>
      <w:r>
        <w:rPr/>
        <w:t>considered</w:t>
      </w:r>
      <w:r>
        <w:rPr>
          <w:spacing w:val="-5"/>
        </w:rPr>
        <w:t> </w:t>
      </w:r>
      <w:r>
        <w:rPr/>
        <w:t>as</w:t>
      </w:r>
      <w:r>
        <w:rPr>
          <w:spacing w:val="-3"/>
        </w:rPr>
        <w:t> </w:t>
      </w:r>
      <w:r>
        <w:rPr/>
        <w:t>an</w:t>
      </w:r>
      <w:r>
        <w:rPr>
          <w:spacing w:val="-2"/>
        </w:rPr>
        <w:t> asset;</w:t>
      </w:r>
    </w:p>
    <w:p>
      <w:pPr>
        <w:pStyle w:val="BodyText"/>
      </w:pPr>
    </w:p>
    <w:p>
      <w:pPr>
        <w:pStyle w:val="BodyText"/>
        <w:ind w:left="1080" w:right="174"/>
        <w:jc w:val="both"/>
      </w:pPr>
      <w:r>
        <w:rPr/>
        <w:t>experience in international conventions on biodiversity, climate and forests will be an advantage. Knowledge of EU development policies and biodiversity/forest strategy would be appreciated;</w:t>
      </w:r>
    </w:p>
    <w:p>
      <w:pPr>
        <w:pStyle w:val="BodyText"/>
        <w:spacing w:before="11"/>
        <w:rPr>
          <w:sz w:val="21"/>
        </w:rPr>
      </w:pPr>
    </w:p>
    <w:p>
      <w:pPr>
        <w:pStyle w:val="BodyText"/>
        <w:ind w:left="1080" w:right="166"/>
        <w:jc w:val="both"/>
      </w:pPr>
      <w:r>
        <w:rPr/>
        <w:t>capacity to handle complex files; team worker with a strong sense of initiative and ability to work in a multi-disciplinary environment. Proven capacity to analyse, synthetize reports and draft recommendations would be an asset. Negotiations skills/experience would be an advantage.</w:t>
      </w:r>
    </w:p>
    <w:p>
      <w:pPr>
        <w:pStyle w:val="BodyText"/>
        <w:spacing w:before="1"/>
      </w:pPr>
    </w:p>
    <w:p>
      <w:pPr>
        <w:pStyle w:val="BodyText"/>
        <w:spacing w:before="1"/>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1"/>
        <w:ind w:left="1080"/>
      </w:pPr>
      <w:r>
        <w:rPr/>
        <w:t>Excellent</w:t>
      </w:r>
      <w:r>
        <w:rPr>
          <w:spacing w:val="-4"/>
        </w:rPr>
        <w:t> </w:t>
      </w:r>
      <w:r>
        <w:rPr/>
        <w:t>writing</w:t>
      </w:r>
      <w:r>
        <w:rPr>
          <w:spacing w:val="-6"/>
        </w:rPr>
        <w:t> </w:t>
      </w:r>
      <w:r>
        <w:rPr/>
        <w:t>and</w:t>
      </w:r>
      <w:r>
        <w:rPr>
          <w:spacing w:val="-3"/>
        </w:rPr>
        <w:t> </w:t>
      </w:r>
      <w:r>
        <w:rPr/>
        <w:t>oral</w:t>
      </w:r>
      <w:r>
        <w:rPr>
          <w:spacing w:val="-4"/>
        </w:rPr>
        <w:t> </w:t>
      </w:r>
      <w:r>
        <w:rPr/>
        <w:t>communication</w:t>
      </w:r>
      <w:r>
        <w:rPr>
          <w:spacing w:val="-6"/>
        </w:rPr>
        <w:t> </w:t>
      </w:r>
      <w:r>
        <w:rPr/>
        <w:t>skills</w:t>
      </w:r>
      <w:r>
        <w:rPr>
          <w:spacing w:val="-5"/>
        </w:rPr>
        <w:t> </w:t>
      </w:r>
      <w:r>
        <w:rPr/>
        <w:t>in</w:t>
      </w:r>
      <w:r>
        <w:rPr>
          <w:spacing w:val="-3"/>
        </w:rPr>
        <w:t> </w:t>
      </w:r>
      <w:r>
        <w:rPr/>
        <w:t>English</w:t>
      </w:r>
      <w:r>
        <w:rPr>
          <w:spacing w:val="-2"/>
        </w:rPr>
        <w:t> </w:t>
      </w:r>
      <w:r>
        <w:rPr/>
        <w:t>and/or</w:t>
      </w:r>
      <w:r>
        <w:rPr>
          <w:spacing w:val="-5"/>
        </w:rPr>
        <w:t> </w:t>
      </w:r>
      <w:r>
        <w:rPr/>
        <w:t>in</w:t>
      </w:r>
      <w:r>
        <w:rPr>
          <w:spacing w:val="-3"/>
        </w:rPr>
        <w:t> </w:t>
      </w:r>
      <w:r>
        <w:rPr/>
        <w:t>French.</w:t>
      </w:r>
      <w:r>
        <w:rPr>
          <w:spacing w:val="-3"/>
        </w:rPr>
        <w:t> </w:t>
      </w:r>
      <w:r>
        <w:rPr/>
        <w:t>Spanish</w:t>
      </w:r>
      <w:r>
        <w:rPr>
          <w:spacing w:val="-2"/>
        </w:rPr>
        <w:t> </w:t>
      </w:r>
      <w:r>
        <w:rPr/>
        <w:t>would</w:t>
      </w:r>
      <w:r>
        <w:rPr>
          <w:spacing w:val="-5"/>
        </w:rPr>
        <w:t> </w:t>
      </w:r>
      <w:r>
        <w:rPr/>
        <w:t>be</w:t>
      </w:r>
      <w:r>
        <w:rPr>
          <w:spacing w:val="-3"/>
        </w:rPr>
        <w:t> </w:t>
      </w:r>
      <w:r>
        <w:rPr/>
        <w:t>an</w:t>
      </w:r>
      <w:r>
        <w:rPr>
          <w:spacing w:val="-5"/>
        </w:rPr>
        <w:t> </w:t>
      </w:r>
      <w:r>
        <w:rPr>
          <w:spacing w:val="-2"/>
        </w:rPr>
        <w:t>asset.</w:t>
      </w:r>
    </w:p>
    <w:p>
      <w:pPr>
        <w:pStyle w:val="BodyText"/>
        <w:spacing w:before="6"/>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6"/>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7">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0"/>
        <w:rPr>
          <w:b/>
          <w:sz w:val="21"/>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ind w:left="799"/>
        <w:jc w:val="both"/>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spacing w:after="0"/>
        <w:jc w:val="both"/>
        <w:sectPr>
          <w:pgSz w:w="11910" w:h="16840"/>
          <w:pgMar w:header="0" w:footer="690" w:top="1040" w:bottom="880" w:left="480" w:right="740"/>
        </w:sectPr>
      </w:pPr>
    </w:p>
    <w:p>
      <w:pPr>
        <w:pStyle w:val="ListParagraph"/>
        <w:numPr>
          <w:ilvl w:val="0"/>
          <w:numId w:val="3"/>
        </w:numPr>
        <w:tabs>
          <w:tab w:pos="799" w:val="left" w:leader="none"/>
          <w:tab w:pos="800" w:val="left" w:leader="none"/>
        </w:tabs>
        <w:spacing w:line="240" w:lineRule="auto" w:before="73"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3"/>
          <w:sz w:val="24"/>
          <w:u w:val="single"/>
        </w:rPr>
        <w:t> </w:t>
      </w:r>
      <w:r>
        <w:rPr>
          <w:b/>
          <w:sz w:val="24"/>
          <w:u w:val="single"/>
        </w:rPr>
        <w:t>the</w:t>
      </w:r>
      <w:r>
        <w:rPr>
          <w:b/>
          <w:spacing w:val="-6"/>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2"/>
        <w:ind w:left="799" w:right="285"/>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spacing w:before="1"/>
        <w:ind w:left="799"/>
        <w:jc w:val="both"/>
      </w:pPr>
      <w:r>
        <w:rPr/>
        <w:t>If</w:t>
      </w:r>
      <w:r>
        <w:rPr>
          <w:spacing w:val="-3"/>
        </w:rPr>
        <w:t> </w:t>
      </w:r>
      <w:r>
        <w:rPr/>
        <w:t>any</w:t>
      </w:r>
      <w:r>
        <w:rPr>
          <w:spacing w:val="-4"/>
        </w:rPr>
        <w:t> </w:t>
      </w:r>
      <w:r>
        <w:rPr/>
        <w:t>document</w:t>
      </w:r>
      <w:r>
        <w:rPr>
          <w:spacing w:val="-2"/>
        </w:rPr>
        <w:t> </w:t>
      </w:r>
      <w:r>
        <w:rPr/>
        <w:t>is</w:t>
      </w:r>
      <w:r>
        <w:rPr>
          <w:spacing w:val="-5"/>
        </w:rPr>
        <w:t> </w:t>
      </w:r>
      <w:r>
        <w:rPr/>
        <w:t>inexact,</w:t>
      </w:r>
      <w:r>
        <w:rPr>
          <w:spacing w:val="-5"/>
        </w:rPr>
        <w:t> </w:t>
      </w:r>
      <w:r>
        <w:rPr/>
        <w:t>incomplete</w:t>
      </w:r>
      <w:r>
        <w:rPr>
          <w:spacing w:val="-2"/>
        </w:rPr>
        <w:t> </w:t>
      </w:r>
      <w:r>
        <w:rPr/>
        <w:t>or</w:t>
      </w:r>
      <w:r>
        <w:rPr>
          <w:spacing w:val="-4"/>
        </w:rPr>
        <w:t> </w:t>
      </w:r>
      <w:r>
        <w:rPr/>
        <w:t>missing,</w:t>
      </w:r>
      <w:r>
        <w:rPr>
          <w:spacing w:val="-3"/>
        </w:rPr>
        <w:t> </w:t>
      </w:r>
      <w:r>
        <w:rPr/>
        <w:t>the</w:t>
      </w:r>
      <w:r>
        <w:rPr>
          <w:spacing w:val="-4"/>
        </w:rPr>
        <w:t> </w:t>
      </w:r>
      <w:r>
        <w:rPr/>
        <w:t>application</w:t>
      </w:r>
      <w:r>
        <w:rPr>
          <w:spacing w:val="-2"/>
        </w:rPr>
        <w:t> </w:t>
      </w:r>
      <w:r>
        <w:rPr/>
        <w:t>may</w:t>
      </w:r>
      <w:r>
        <w:rPr>
          <w:spacing w:val="-5"/>
        </w:rPr>
        <w:t> </w:t>
      </w:r>
      <w:r>
        <w:rPr/>
        <w:t>be</w:t>
      </w:r>
      <w:r>
        <w:rPr>
          <w:spacing w:val="-2"/>
        </w:rPr>
        <w:t> cancelled.</w:t>
      </w:r>
    </w:p>
    <w:p>
      <w:pPr>
        <w:pStyle w:val="BodyText"/>
        <w:spacing w:before="10"/>
        <w:rPr>
          <w:sz w:val="21"/>
        </w:rPr>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2"/>
        <w:ind w:left="799" w:right="116"/>
        <w:jc w:val="both"/>
      </w:pPr>
      <w:r>
        <w:rPr/>
        <w:t>The selected candidate has the obligation to launch the vetting procedure before getting the secondment </w:t>
      </w:r>
      <w:r>
        <w:rPr>
          <w:spacing w:val="-2"/>
        </w:rPr>
        <w:t>confirmation.</w:t>
      </w:r>
    </w:p>
    <w:p>
      <w:pPr>
        <w:pStyle w:val="BodyText"/>
        <w:spacing w:before="3"/>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spacing w:before="1"/>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5"/>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6"/>
      </w:pPr>
    </w:p>
    <w:p>
      <w:pPr>
        <w:pStyle w:val="Heading1"/>
        <w:ind w:left="799" w:firstLine="0"/>
        <w:jc w:val="left"/>
      </w:pPr>
      <w:r>
        <w:rPr>
          <w:u w:val="single"/>
        </w:rPr>
        <w:t>Contact</w:t>
      </w:r>
      <w:r>
        <w:rPr>
          <w:spacing w:val="-4"/>
          <w:u w:val="single"/>
        </w:rPr>
        <w:t> </w:t>
      </w:r>
      <w:r>
        <w:rPr>
          <w:spacing w:val="-2"/>
          <w:u w:val="single"/>
        </w:rPr>
        <w:t>information</w:t>
      </w:r>
    </w:p>
    <w:p>
      <w:pPr>
        <w:pStyle w:val="BodyText"/>
        <w:spacing w:before="10"/>
        <w:rPr>
          <w:b/>
          <w:sz w:val="21"/>
        </w:rPr>
      </w:pPr>
    </w:p>
    <w:p>
      <w:pPr>
        <w:pStyle w:val="ListParagraph"/>
        <w:numPr>
          <w:ilvl w:val="0"/>
          <w:numId w:val="6"/>
        </w:numPr>
        <w:tabs>
          <w:tab w:pos="1081" w:val="left" w:leader="none"/>
        </w:tabs>
        <w:spacing w:line="266" w:lineRule="exact" w:before="1"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8">
        <w:r>
          <w:rPr>
            <w:color w:val="0000FF"/>
            <w:u w:val="single" w:color="0000FF"/>
          </w:rPr>
          <w:t>HR-B1-DPR@ec.europa.eu</w:t>
        </w:r>
        <w:r>
          <w:rPr/>
          <w:t>.</w:t>
        </w:r>
      </w:hyperlink>
    </w:p>
    <w:p>
      <w:pPr>
        <w:pStyle w:val="BodyText"/>
        <w:spacing w:before="4"/>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pict>
          <v:rect style="position:absolute;margin-left:519.580017pt;margin-top:11.469554pt;width:5.16pt;height:.47998pt;mso-position-horizontal-relative:page;mso-position-vertical-relative:paragraph;z-index:15729152" id="docshape3" filled="true" fillcolor="#000000" stroked="false">
            <v:fill type="solid"/>
            <w10:wrap type="none"/>
          </v:rect>
        </w:pict>
      </w:r>
      <w:r>
        <w:rPr/>
        <w:t>You may contact the Data Protection Officer (</w:t>
      </w:r>
      <w:hyperlink r:id="rId9">
        <w:r>
          <w:rPr>
            <w:color w:val="0000FF"/>
            <w:u w:val="single" w:color="0000FF"/>
          </w:rPr>
          <w:t>DATA-PROTECTION-OFFICER@ec.europa.eu</w:t>
        </w:r>
      </w:hyperlink>
      <w:r>
        <w:rPr/>
        <w:t>) with regard to issues related to the processing of your personal data under Regulation (EU) 2018/1725.</w:t>
      </w:r>
    </w:p>
    <w:p>
      <w:pPr>
        <w:pStyle w:val="BodyText"/>
        <w:spacing w:before="9"/>
        <w:rPr>
          <w:sz w:val="21"/>
        </w:rPr>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6"/>
        <w:jc w:val="both"/>
      </w:pPr>
      <w:r>
        <w:rPr/>
        <w:pict>
          <v:rect style="position:absolute;margin-left:230.330002pt;margin-top:24.189493pt;width:3.72pt;height:.48004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0">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34624" type="#_x0000_t202" id="docshape1" filled="false" stroked="false">
          <v:textbox inset="0,0,0,0">
            <w:txbxContent>
              <w:p>
                <w:pPr>
                  <w:spacing w:before="14"/>
                  <w:ind w:left="20" w:right="0" w:firstLine="0"/>
                  <w:jc w:val="left"/>
                  <w:rPr>
                    <w:sz w:val="16"/>
                  </w:rPr>
                </w:pPr>
                <w:r>
                  <w:rPr>
                    <w:sz w:val="16"/>
                  </w:rPr>
                  <w:t>Version</w:t>
                </w:r>
                <w:r>
                  <w:rPr>
                    <w:spacing w:val="-8"/>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523" w:hanging="418"/>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026" w:hanging="418"/>
      </w:pPr>
      <w:rPr>
        <w:rFonts w:hint="default"/>
        <w:lang w:val="en-US" w:eastAsia="en-US" w:bidi="ar-SA"/>
      </w:rPr>
    </w:lvl>
    <w:lvl w:ilvl="2">
      <w:start w:val="0"/>
      <w:numFmt w:val="bullet"/>
      <w:lvlText w:val="•"/>
      <w:lvlJc w:val="left"/>
      <w:pPr>
        <w:ind w:left="1533" w:hanging="418"/>
      </w:pPr>
      <w:rPr>
        <w:rFonts w:hint="default"/>
        <w:lang w:val="en-US" w:eastAsia="en-US" w:bidi="ar-SA"/>
      </w:rPr>
    </w:lvl>
    <w:lvl w:ilvl="3">
      <w:start w:val="0"/>
      <w:numFmt w:val="bullet"/>
      <w:lvlText w:val="•"/>
      <w:lvlJc w:val="left"/>
      <w:pPr>
        <w:ind w:left="2040" w:hanging="418"/>
      </w:pPr>
      <w:rPr>
        <w:rFonts w:hint="default"/>
        <w:lang w:val="en-US" w:eastAsia="en-US" w:bidi="ar-SA"/>
      </w:rPr>
    </w:lvl>
    <w:lvl w:ilvl="4">
      <w:start w:val="0"/>
      <w:numFmt w:val="bullet"/>
      <w:lvlText w:val="•"/>
      <w:lvlJc w:val="left"/>
      <w:pPr>
        <w:ind w:left="2546" w:hanging="418"/>
      </w:pPr>
      <w:rPr>
        <w:rFonts w:hint="default"/>
        <w:lang w:val="en-US" w:eastAsia="en-US" w:bidi="ar-SA"/>
      </w:rPr>
    </w:lvl>
    <w:lvl w:ilvl="5">
      <w:start w:val="0"/>
      <w:numFmt w:val="bullet"/>
      <w:lvlText w:val="•"/>
      <w:lvlJc w:val="left"/>
      <w:pPr>
        <w:ind w:left="3053" w:hanging="418"/>
      </w:pPr>
      <w:rPr>
        <w:rFonts w:hint="default"/>
        <w:lang w:val="en-US" w:eastAsia="en-US" w:bidi="ar-SA"/>
      </w:rPr>
    </w:lvl>
    <w:lvl w:ilvl="6">
      <w:start w:val="0"/>
      <w:numFmt w:val="bullet"/>
      <w:lvlText w:val="•"/>
      <w:lvlJc w:val="left"/>
      <w:pPr>
        <w:ind w:left="3560" w:hanging="418"/>
      </w:pPr>
      <w:rPr>
        <w:rFonts w:hint="default"/>
        <w:lang w:val="en-US" w:eastAsia="en-US" w:bidi="ar-SA"/>
      </w:rPr>
    </w:lvl>
    <w:lvl w:ilvl="7">
      <w:start w:val="0"/>
      <w:numFmt w:val="bullet"/>
      <w:lvlText w:val="•"/>
      <w:lvlJc w:val="left"/>
      <w:pPr>
        <w:ind w:left="4066" w:hanging="418"/>
      </w:pPr>
      <w:rPr>
        <w:rFonts w:hint="default"/>
        <w:lang w:val="en-US" w:eastAsia="en-US" w:bidi="ar-SA"/>
      </w:rPr>
    </w:lvl>
    <w:lvl w:ilvl="8">
      <w:start w:val="0"/>
      <w:numFmt w:val="bullet"/>
      <w:lvlText w:val="•"/>
      <w:lvlJc w:val="left"/>
      <w:pPr>
        <w:ind w:left="4573" w:hanging="418"/>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decimal"/>
      <w:lvlText w:val="%2."/>
      <w:lvlJc w:val="left"/>
      <w:pPr>
        <w:ind w:left="1519" w:hanging="360"/>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538" w:hanging="360"/>
      </w:pPr>
      <w:rPr>
        <w:rFonts w:hint="default"/>
        <w:lang w:val="en-US" w:eastAsia="en-US" w:bidi="ar-SA"/>
      </w:rPr>
    </w:lvl>
    <w:lvl w:ilvl="3">
      <w:start w:val="0"/>
      <w:numFmt w:val="bullet"/>
      <w:lvlText w:val="•"/>
      <w:lvlJc w:val="left"/>
      <w:pPr>
        <w:ind w:left="3556" w:hanging="360"/>
      </w:pPr>
      <w:rPr>
        <w:rFonts w:hint="default"/>
        <w:lang w:val="en-US" w:eastAsia="en-US" w:bidi="ar-SA"/>
      </w:rPr>
    </w:lvl>
    <w:lvl w:ilvl="4">
      <w:start w:val="0"/>
      <w:numFmt w:val="bullet"/>
      <w:lvlText w:val="•"/>
      <w:lvlJc w:val="left"/>
      <w:pPr>
        <w:ind w:left="4575"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612"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649" w:hanging="360"/>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519"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europass.cedefop.europa.eu/en/documents/curriculum-vitae" TargetMode="External"/><Relationship Id="rId8" Type="http://schemas.openxmlformats.org/officeDocument/2006/relationships/hyperlink" Target="mailto:HR-B1-DPR@ec.europa.eu" TargetMode="External"/><Relationship Id="rId9" Type="http://schemas.openxmlformats.org/officeDocument/2006/relationships/hyperlink" Target="mailto:DATA-PROTECTION-OFFICER@ec.europa.eu" TargetMode="External"/><Relationship Id="rId10" Type="http://schemas.openxmlformats.org/officeDocument/2006/relationships/hyperlink" Target="mailto:edps@edps.europa.eu"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2023-02-16T16:50:01Z</dcterms:created>
  <dcterms:modified xsi:type="dcterms:W3CDTF">2023-02-16T16:50:01Z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