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9"/>
        <w:gridCol w:w="308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6" w:type="dxa"/>
            <w:gridSpan w:val="2"/>
          </w:tcPr>
          <w:p>
            <w:pPr>
              <w:pStyle w:val="TableParagraph"/>
              <w:spacing w:before="167"/>
              <w:rPr>
                <w:b/>
                <w:sz w:val="24"/>
              </w:rPr>
            </w:pPr>
            <w:r>
              <w:rPr>
                <w:b/>
                <w:spacing w:val="-2"/>
                <w:sz w:val="24"/>
              </w:rPr>
              <w:t>INTPA-G-</w:t>
            </w:r>
            <w:r>
              <w:rPr>
                <w:b/>
                <w:spacing w:val="-10"/>
                <w:sz w:val="24"/>
              </w:rPr>
              <w:t>5</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6" w:type="dxa"/>
            <w:gridSpan w:val="2"/>
            <w:tcBorders>
              <w:bottom w:val="nil"/>
            </w:tcBorders>
          </w:tcPr>
          <w:p>
            <w:pPr>
              <w:pStyle w:val="TableParagraph"/>
              <w:spacing w:line="237" w:lineRule="exact"/>
              <w:rPr>
                <w:b/>
                <w:sz w:val="22"/>
              </w:rPr>
            </w:pPr>
            <w:r>
              <w:rPr>
                <w:b/>
                <w:sz w:val="22"/>
              </w:rPr>
              <w:t>Olivier</w:t>
            </w:r>
            <w:r>
              <w:rPr>
                <w:b/>
                <w:spacing w:val="-4"/>
                <w:sz w:val="22"/>
              </w:rPr>
              <w:t> </w:t>
            </w:r>
            <w:r>
              <w:rPr>
                <w:b/>
                <w:spacing w:val="-2"/>
                <w:sz w:val="22"/>
              </w:rPr>
              <w:t>Luyckx</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6" w:type="dxa"/>
            <w:gridSpan w:val="2"/>
            <w:tcBorders>
              <w:top w:val="nil"/>
              <w:bottom w:val="nil"/>
            </w:tcBorders>
          </w:tcPr>
          <w:p>
            <w:pPr>
              <w:pStyle w:val="TableParagraph"/>
              <w:spacing w:line="233" w:lineRule="exact"/>
              <w:rPr>
                <w:b/>
                <w:sz w:val="22"/>
              </w:rPr>
            </w:pPr>
            <w:hyperlink r:id="rId7">
              <w:r>
                <w:rPr>
                  <w:b/>
                  <w:spacing w:val="-2"/>
                  <w:sz w:val="22"/>
                </w:rPr>
                <w:t>Olivier.Luyckx@ec.europa.eu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6" w:type="dxa"/>
            <w:gridSpan w:val="2"/>
            <w:tcBorders>
              <w:top w:val="nil"/>
              <w:bottom w:val="nil"/>
            </w:tcBorders>
          </w:tcPr>
          <w:p>
            <w:pPr>
              <w:pStyle w:val="TableParagraph"/>
              <w:spacing w:line="233" w:lineRule="exact"/>
              <w:rPr>
                <w:b/>
                <w:sz w:val="22"/>
              </w:rPr>
            </w:pPr>
            <w:r>
              <w:rPr>
                <w:b/>
                <w:sz w:val="22"/>
              </w:rPr>
              <w:t>+32</w:t>
            </w:r>
            <w:r>
              <w:rPr>
                <w:b/>
                <w:spacing w:val="-2"/>
                <w:sz w:val="22"/>
              </w:rPr>
              <w:t> </w:t>
            </w:r>
            <w:r>
              <w:rPr>
                <w:b/>
                <w:sz w:val="22"/>
              </w:rPr>
              <w:t>229-</w:t>
            </w:r>
            <w:r>
              <w:rPr>
                <w:b/>
                <w:spacing w:val="-2"/>
                <w:sz w:val="22"/>
              </w:rPr>
              <w:t>64110</w:t>
            </w:r>
          </w:p>
        </w:tc>
      </w:tr>
      <w:tr>
        <w:trPr>
          <w:trHeight w:val="253" w:hRule="atLeast"/>
        </w:trPr>
        <w:tc>
          <w:tcPr>
            <w:tcW w:w="4359" w:type="dxa"/>
            <w:tcBorders>
              <w:top w:val="nil"/>
              <w:bottom w:val="nil"/>
            </w:tcBorders>
          </w:tcPr>
          <w:p>
            <w:pPr>
              <w:pStyle w:val="TableParagraph"/>
              <w:spacing w:line="233"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6" w:type="dxa"/>
            <w:gridSpan w:val="2"/>
            <w:tcBorders>
              <w:top w:val="nil"/>
              <w:bottom w:val="nil"/>
            </w:tcBorders>
          </w:tcPr>
          <w:p>
            <w:pPr>
              <w:pStyle w:val="TableParagraph"/>
              <w:spacing w:line="233" w:lineRule="exact"/>
              <w:rPr>
                <w:b/>
                <w:sz w:val="22"/>
              </w:rPr>
            </w:pPr>
            <w:r>
              <w:rPr>
                <w:b/>
                <w:w w:val="100"/>
                <w:sz w:val="22"/>
              </w:rPr>
              <w:t>1</w:t>
            </w:r>
          </w:p>
        </w:tc>
      </w:tr>
      <w:tr>
        <w:trPr>
          <w:trHeight w:val="252" w:hRule="atLeast"/>
        </w:trPr>
        <w:tc>
          <w:tcPr>
            <w:tcW w:w="4359" w:type="dxa"/>
            <w:tcBorders>
              <w:top w:val="nil"/>
              <w:bottom w:val="nil"/>
            </w:tcBorders>
          </w:tcPr>
          <w:p>
            <w:pPr>
              <w:pStyle w:val="TableParagraph"/>
              <w:spacing w:line="232"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6" w:type="dxa"/>
            <w:gridSpan w:val="2"/>
            <w:tcBorders>
              <w:top w:val="nil"/>
              <w:bottom w:val="nil"/>
            </w:tcBorders>
          </w:tcPr>
          <w:p>
            <w:pPr>
              <w:pStyle w:val="TableParagraph"/>
              <w:spacing w:line="232" w:lineRule="exact"/>
              <w:rPr>
                <w:b/>
                <w:sz w:val="22"/>
              </w:rPr>
            </w:pPr>
            <w:r>
              <w:rPr>
                <w:b/>
                <w:sz w:val="22"/>
              </w:rPr>
              <w:t>3rd</w:t>
            </w:r>
            <w:r>
              <w:rPr>
                <w:b/>
                <w:spacing w:val="-5"/>
                <w:sz w:val="22"/>
              </w:rPr>
              <w:t> </w:t>
            </w:r>
            <w:r>
              <w:rPr>
                <w:b/>
                <w:sz w:val="22"/>
              </w:rPr>
              <w:t>quarter</w:t>
            </w:r>
            <w:r>
              <w:rPr>
                <w:b/>
                <w:spacing w:val="-1"/>
                <w:sz w:val="22"/>
              </w:rPr>
              <w:t> </w:t>
            </w:r>
            <w:r>
              <w:rPr>
                <w:b/>
                <w:sz w:val="22"/>
              </w:rPr>
              <w:t>2023</w:t>
            </w:r>
            <w:r>
              <w:rPr>
                <w:b/>
                <w:spacing w:val="-4"/>
                <w:sz w:val="22"/>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6" w:type="dxa"/>
            <w:gridSpan w:val="2"/>
            <w:tcBorders>
              <w:top w:val="nil"/>
              <w:bottom w:val="nil"/>
            </w:tcBorders>
          </w:tcPr>
          <w:p>
            <w:pPr>
              <w:pStyle w:val="TableParagraph"/>
              <w:spacing w:line="233" w:lineRule="exact"/>
              <w:rPr>
                <w:b/>
                <w:sz w:val="22"/>
              </w:rPr>
            </w:pPr>
            <w:r>
              <w:rPr>
                <w:b/>
                <w:sz w:val="22"/>
              </w:rPr>
              <w:t>2 </w:t>
            </w:r>
            <w:r>
              <w:rPr>
                <w:b/>
                <w:spacing w:val="-2"/>
                <w:sz w:val="22"/>
              </w:rPr>
              <w:t>years</w:t>
            </w:r>
            <w:r>
              <w:rPr>
                <w:b/>
                <w:spacing w:val="-2"/>
                <w:sz w:val="22"/>
                <w:vertAlign w:val="superscript"/>
              </w:rPr>
              <w:t>1</w:t>
            </w:r>
          </w:p>
        </w:tc>
      </w:tr>
      <w:tr>
        <w:trPr>
          <w:trHeight w:val="455" w:hRule="atLeast"/>
        </w:trPr>
        <w:tc>
          <w:tcPr>
            <w:tcW w:w="4359" w:type="dxa"/>
            <w:tcBorders>
              <w:top w:val="nil"/>
              <w:bottom w:val="nil"/>
            </w:tcBorders>
          </w:tcPr>
          <w:p>
            <w:pPr>
              <w:pStyle w:val="TableParagraph"/>
              <w:spacing w:line="249" w:lineRule="exact"/>
              <w:rPr>
                <w:b/>
                <w:sz w:val="22"/>
              </w:rPr>
            </w:pPr>
            <w:r>
              <w:rPr>
                <w:b/>
                <w:sz w:val="22"/>
              </w:rPr>
              <w:t>Place</w:t>
            </w:r>
            <w:r>
              <w:rPr>
                <w:b/>
                <w:spacing w:val="-4"/>
                <w:sz w:val="22"/>
              </w:rPr>
              <w:t> </w:t>
            </w:r>
            <w:r>
              <w:rPr>
                <w:b/>
                <w:sz w:val="22"/>
              </w:rPr>
              <w:t>of</w:t>
            </w:r>
            <w:r>
              <w:rPr>
                <w:b/>
                <w:spacing w:val="3"/>
                <w:sz w:val="22"/>
              </w:rPr>
              <w:t> </w:t>
            </w:r>
            <w:r>
              <w:rPr>
                <w:b/>
                <w:spacing w:val="-2"/>
                <w:sz w:val="22"/>
              </w:rPr>
              <w:t>secondment:</w:t>
            </w:r>
          </w:p>
        </w:tc>
        <w:tc>
          <w:tcPr>
            <w:tcW w:w="5596" w:type="dxa"/>
            <w:gridSpan w:val="2"/>
            <w:tcBorders>
              <w:top w:val="nil"/>
            </w:tcBorders>
          </w:tcPr>
          <w:p>
            <w:pPr>
              <w:pStyle w:val="TableParagraph"/>
              <w:spacing w:line="249"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9" w:type="dxa"/>
            <w:tcBorders>
              <w:right w:val="nil"/>
            </w:tcBorders>
          </w:tcPr>
          <w:p>
            <w:pPr>
              <w:pStyle w:val="TableParagraph"/>
              <w:tabs>
                <w:tab w:pos="523"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p>
        </w:tc>
        <w:tc>
          <w:tcPr>
            <w:tcW w:w="3087" w:type="dxa"/>
            <w:tcBorders>
              <w:left w:val="nil"/>
            </w:tcBorders>
          </w:tcPr>
          <w:p>
            <w:pPr>
              <w:pStyle w:val="TableParagraph"/>
              <w:numPr>
                <w:ilvl w:val="0"/>
                <w:numId w:val="1"/>
              </w:numPr>
              <w:tabs>
                <w:tab w:pos="918" w:val="left" w:leader="none"/>
                <w:tab w:pos="919" w:val="left" w:leader="none"/>
              </w:tabs>
              <w:spacing w:line="240" w:lineRule="auto" w:before="145" w:after="0"/>
              <w:ind w:left="919" w:right="0" w:hanging="473"/>
              <w:jc w:val="left"/>
              <w:rPr>
                <w:b/>
                <w:sz w:val="22"/>
              </w:rPr>
            </w:pPr>
            <w:r>
              <w:rPr>
                <w:b/>
                <w:spacing w:val="-2"/>
                <w:sz w:val="22"/>
              </w:rPr>
              <w:t>Cost-</w:t>
            </w:r>
            <w:r>
              <w:rPr>
                <w:b/>
                <w:spacing w:val="-4"/>
                <w:sz w:val="22"/>
              </w:rPr>
              <w:t>free</w:t>
            </w:r>
          </w:p>
        </w:tc>
      </w:tr>
      <w:tr>
        <w:trPr>
          <w:trHeight w:val="2114" w:hRule="atLeast"/>
        </w:trPr>
        <w:tc>
          <w:tcPr>
            <w:tcW w:w="9955"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6"/>
                <w:sz w:val="24"/>
              </w:rPr>
              <w:t> </w:t>
            </w:r>
            <w:r>
              <w:rPr>
                <w:b/>
                <w:sz w:val="24"/>
              </w:rPr>
              <w:t>countries</w:t>
            </w:r>
            <w:r>
              <w:rPr>
                <w:b/>
                <w:spacing w:val="-6"/>
                <w:sz w:val="24"/>
              </w:rPr>
              <w:t> </w:t>
            </w:r>
            <w:r>
              <w:rPr>
                <w:b/>
                <w:spacing w:val="-10"/>
                <w:sz w:val="24"/>
              </w:rPr>
              <w:t>:</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2"/>
        <w:rPr>
          <w:b/>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6"/>
        <w:rPr>
          <w:b/>
          <w:sz w:val="15"/>
        </w:rPr>
      </w:pPr>
    </w:p>
    <w:p>
      <w:pPr>
        <w:pStyle w:val="BodyText"/>
        <w:spacing w:before="92"/>
        <w:ind w:left="799" w:right="103"/>
        <w:jc w:val="both"/>
      </w:pPr>
      <w:r>
        <w:rPr/>
        <w:t>Within the European Commission, the Directorate-General for International Partnerships is in charge of development cooperation policy in a wider framework of international cooperation, adapting to the evolving needs of partner countries. This encompasses cooperation with developing countries at different stages of development, including with countries graduated from bilateral development assistance to cover the specific needs of these countries during the transition period between low income countries and upper middle income countries. In the framework of DG INTPA’s general mission, Unit G5 formulates sectoral policies in the field of Peace, Resilience, Stability, and Security.</w:t>
      </w:r>
    </w:p>
    <w:p>
      <w:pPr>
        <w:pStyle w:val="BodyText"/>
      </w:pPr>
    </w:p>
    <w:p>
      <w:pPr>
        <w:pStyle w:val="BodyText"/>
        <w:ind w:left="799"/>
      </w:pPr>
      <w:r>
        <w:rPr/>
        <w:t>Within Directorate G 'Human Development, Migration, Governance and Peace’, the thematic Unit G5 'Resilience,</w:t>
      </w:r>
      <w:r>
        <w:rPr>
          <w:spacing w:val="-3"/>
        </w:rPr>
        <w:t> </w:t>
      </w:r>
      <w:r>
        <w:rPr/>
        <w:t>Peace,</w:t>
      </w:r>
      <w:r>
        <w:rPr>
          <w:spacing w:val="-3"/>
        </w:rPr>
        <w:t> </w:t>
      </w:r>
      <w:r>
        <w:rPr/>
        <w:t>Security'</w:t>
      </w:r>
      <w:r>
        <w:rPr>
          <w:spacing w:val="-7"/>
        </w:rPr>
        <w:t> </w:t>
      </w:r>
      <w:r>
        <w:rPr/>
        <w:t>has</w:t>
      </w:r>
      <w:r>
        <w:rPr>
          <w:spacing w:val="-3"/>
        </w:rPr>
        <w:t> </w:t>
      </w:r>
      <w:r>
        <w:rPr/>
        <w:t>as</w:t>
      </w:r>
      <w:r>
        <w:rPr>
          <w:spacing w:val="-3"/>
        </w:rPr>
        <w:t> </w:t>
      </w:r>
      <w:r>
        <w:rPr/>
        <w:t>mission</w:t>
      </w:r>
      <w:r>
        <w:rPr>
          <w:spacing w:val="-3"/>
        </w:rPr>
        <w:t> </w:t>
      </w:r>
      <w:r>
        <w:rPr/>
        <w:t>to</w:t>
      </w:r>
      <w:r>
        <w:rPr>
          <w:spacing w:val="-3"/>
        </w:rPr>
        <w:t> </w:t>
      </w:r>
      <w:r>
        <w:rPr/>
        <w:t>contribute</w:t>
      </w:r>
      <w:r>
        <w:rPr>
          <w:spacing w:val="-3"/>
        </w:rPr>
        <w:t> </w:t>
      </w:r>
      <w:r>
        <w:rPr/>
        <w:t>to</w:t>
      </w:r>
      <w:r>
        <w:rPr>
          <w:spacing w:val="-3"/>
        </w:rPr>
        <w:t> </w:t>
      </w:r>
      <w:r>
        <w:rPr/>
        <w:t>sustainable</w:t>
      </w:r>
      <w:r>
        <w:rPr>
          <w:spacing w:val="-3"/>
        </w:rPr>
        <w:t> </w:t>
      </w:r>
      <w:r>
        <w:rPr/>
        <w:t>development,</w:t>
      </w:r>
      <w:r>
        <w:rPr>
          <w:spacing w:val="-3"/>
        </w:rPr>
        <w:t> </w:t>
      </w:r>
      <w:r>
        <w:rPr/>
        <w:t>peace</w:t>
      </w:r>
      <w:r>
        <w:rPr>
          <w:spacing w:val="-5"/>
        </w:rPr>
        <w:t> </w:t>
      </w:r>
      <w:r>
        <w:rPr/>
        <w:t>and</w:t>
      </w:r>
      <w:r>
        <w:rPr>
          <w:spacing w:val="-3"/>
        </w:rPr>
        <w:t> </w:t>
      </w:r>
      <w:r>
        <w:rPr/>
        <w:t>stability</w:t>
      </w:r>
      <w:r>
        <w:rPr>
          <w:spacing w:val="-6"/>
        </w:rPr>
        <w:t> </w:t>
      </w:r>
      <w:r>
        <w:rPr/>
        <w:t>by:</w:t>
      </w:r>
    </w:p>
    <w:p>
      <w:pPr>
        <w:pStyle w:val="BodyText"/>
      </w:pPr>
    </w:p>
    <w:p>
      <w:pPr>
        <w:pStyle w:val="ListParagraph"/>
        <w:numPr>
          <w:ilvl w:val="1"/>
          <w:numId w:val="3"/>
        </w:numPr>
        <w:tabs>
          <w:tab w:pos="1093" w:val="left" w:leader="none"/>
        </w:tabs>
        <w:spacing w:line="240" w:lineRule="auto" w:before="0" w:after="0"/>
        <w:ind w:left="1092" w:right="107" w:hanging="361"/>
        <w:jc w:val="both"/>
        <w:rPr>
          <w:sz w:val="22"/>
        </w:rPr>
      </w:pPr>
      <w:r>
        <w:rPr>
          <w:sz w:val="22"/>
        </w:rPr>
        <w:t>providing expertise and support to capacity building to strengthen regional and national security, including the entire criminal justice chain (law enforcement, judiciary, border management, customs) and to military actors in support of development and security for development (CBDSD)</w:t>
      </w:r>
    </w:p>
    <w:p>
      <w:pPr>
        <w:pStyle w:val="ListParagraph"/>
        <w:numPr>
          <w:ilvl w:val="1"/>
          <w:numId w:val="3"/>
        </w:numPr>
        <w:tabs>
          <w:tab w:pos="1093" w:val="left" w:leader="none"/>
        </w:tabs>
        <w:spacing w:line="240" w:lineRule="auto" w:before="1" w:after="0"/>
        <w:ind w:left="1092" w:right="104" w:hanging="361"/>
        <w:jc w:val="both"/>
        <w:rPr>
          <w:sz w:val="22"/>
        </w:rPr>
      </w:pPr>
      <w:r>
        <w:rPr>
          <w:sz w:val="22"/>
        </w:rPr>
        <w:t>providing expertise and support to capacity building for ensuring conflict sensitivity, peace-building and resilience approaches in countries affected by crises and/or fragility(ies) and undergoing transitions</w:t>
      </w:r>
    </w:p>
    <w:p>
      <w:pPr>
        <w:pStyle w:val="BodyText"/>
        <w:spacing w:before="11"/>
        <w:rPr>
          <w:sz w:val="21"/>
        </w:rPr>
      </w:pPr>
    </w:p>
    <w:p>
      <w:pPr>
        <w:pStyle w:val="BodyText"/>
        <w:ind w:left="799" w:right="107"/>
        <w:jc w:val="both"/>
      </w:pPr>
      <w:r>
        <w:rPr/>
        <w:t>The</w:t>
      </w:r>
      <w:r>
        <w:rPr>
          <w:spacing w:val="-1"/>
        </w:rPr>
        <w:t> </w:t>
      </w:r>
      <w:r>
        <w:rPr/>
        <w:t>Unit is</w:t>
      </w:r>
      <w:r>
        <w:rPr>
          <w:spacing w:val="-1"/>
        </w:rPr>
        <w:t> </w:t>
      </w:r>
      <w:r>
        <w:rPr/>
        <w:t>a Centre</w:t>
      </w:r>
      <w:r>
        <w:rPr>
          <w:spacing w:val="-1"/>
        </w:rPr>
        <w:t> </w:t>
      </w:r>
      <w:r>
        <w:rPr/>
        <w:t>for Expertise for</w:t>
      </w:r>
      <w:r>
        <w:rPr>
          <w:spacing w:val="-1"/>
        </w:rPr>
        <w:t> </w:t>
      </w:r>
      <w:r>
        <w:rPr/>
        <w:t>cooperation</w:t>
      </w:r>
      <w:r>
        <w:rPr>
          <w:spacing w:val="-1"/>
        </w:rPr>
        <w:t> </w:t>
      </w:r>
      <w:r>
        <w:rPr/>
        <w:t>regarding</w:t>
      </w:r>
      <w:r>
        <w:rPr>
          <w:spacing w:val="-2"/>
        </w:rPr>
        <w:t> </w:t>
      </w:r>
      <w:r>
        <w:rPr/>
        <w:t>resilience, peace</w:t>
      </w:r>
      <w:r>
        <w:rPr>
          <w:spacing w:val="-1"/>
        </w:rPr>
        <w:t> </w:t>
      </w:r>
      <w:r>
        <w:rPr/>
        <w:t>and</w:t>
      </w:r>
      <w:r>
        <w:rPr>
          <w:spacing w:val="-3"/>
        </w:rPr>
        <w:t> </w:t>
      </w:r>
      <w:r>
        <w:rPr/>
        <w:t>security, including</w:t>
      </w:r>
      <w:r>
        <w:rPr>
          <w:spacing w:val="-2"/>
        </w:rPr>
        <w:t> </w:t>
      </w:r>
      <w:r>
        <w:rPr/>
        <w:t>for</w:t>
      </w:r>
      <w:r>
        <w:rPr>
          <w:spacing w:val="-1"/>
        </w:rPr>
        <w:t> </w:t>
      </w:r>
      <w:r>
        <w:rPr/>
        <w:t>issues related to women, youth and children. This includes also providing expertise for cooperation on Security Sector Reforms (SSR): transnational organised crime (including environmental crime, illicit trafficking and cybercrime);</w:t>
      </w:r>
      <w:r>
        <w:rPr>
          <w:spacing w:val="-1"/>
        </w:rPr>
        <w:t> </w:t>
      </w:r>
      <w:r>
        <w:rPr/>
        <w:t>protection</w:t>
      </w:r>
      <w:r>
        <w:rPr>
          <w:spacing w:val="-2"/>
        </w:rPr>
        <w:t> </w:t>
      </w:r>
      <w:r>
        <w:rPr/>
        <w:t>of</w:t>
      </w:r>
      <w:r>
        <w:rPr>
          <w:spacing w:val="-4"/>
        </w:rPr>
        <w:t> </w:t>
      </w:r>
      <w:r>
        <w:rPr/>
        <w:t>critical</w:t>
      </w:r>
      <w:r>
        <w:rPr>
          <w:spacing w:val="-1"/>
        </w:rPr>
        <w:t> </w:t>
      </w:r>
      <w:r>
        <w:rPr/>
        <w:t>infrastructure</w:t>
      </w:r>
      <w:r>
        <w:rPr>
          <w:spacing w:val="-2"/>
        </w:rPr>
        <w:t> </w:t>
      </w:r>
      <w:r>
        <w:rPr/>
        <w:t>(such</w:t>
      </w:r>
      <w:r>
        <w:rPr>
          <w:spacing w:val="-4"/>
        </w:rPr>
        <w:t> </w:t>
      </w:r>
      <w:r>
        <w:rPr/>
        <w:t>as</w:t>
      </w:r>
      <w:r>
        <w:rPr>
          <w:spacing w:val="-2"/>
        </w:rPr>
        <w:t> </w:t>
      </w:r>
      <w:r>
        <w:rPr/>
        <w:t>maritime,</w:t>
      </w:r>
      <w:r>
        <w:rPr>
          <w:spacing w:val="-2"/>
        </w:rPr>
        <w:t> </w:t>
      </w:r>
      <w:r>
        <w:rPr/>
        <w:t>ports</w:t>
      </w:r>
      <w:r>
        <w:rPr>
          <w:spacing w:val="-4"/>
        </w:rPr>
        <w:t> </w:t>
      </w:r>
      <w:r>
        <w:rPr/>
        <w:t>and</w:t>
      </w:r>
      <w:r>
        <w:rPr>
          <w:spacing w:val="-2"/>
        </w:rPr>
        <w:t> </w:t>
      </w:r>
      <w:r>
        <w:rPr/>
        <w:t>aviation</w:t>
      </w:r>
      <w:r>
        <w:rPr>
          <w:spacing w:val="-2"/>
        </w:rPr>
        <w:t> </w:t>
      </w:r>
      <w:r>
        <w:rPr/>
        <w:t>security);</w:t>
      </w:r>
      <w:r>
        <w:rPr>
          <w:spacing w:val="-1"/>
        </w:rPr>
        <w:t> </w:t>
      </w:r>
      <w:r>
        <w:rPr/>
        <w:t>preventing</w:t>
      </w:r>
      <w:r>
        <w:rPr>
          <w:spacing w:val="-5"/>
        </w:rPr>
        <w:t> </w:t>
      </w:r>
      <w:r>
        <w:rPr/>
        <w:t>and countering violent extremism, anti-money laundering and countering terrorist financing; etc.</w:t>
      </w:r>
    </w:p>
    <w:p>
      <w:pPr>
        <w:pStyle w:val="BodyText"/>
        <w:rPr>
          <w:sz w:val="20"/>
        </w:rPr>
      </w:pPr>
    </w:p>
    <w:p>
      <w:pPr>
        <w:pStyle w:val="BodyText"/>
        <w:rPr>
          <w:sz w:val="20"/>
        </w:rPr>
      </w:pPr>
    </w:p>
    <w:p>
      <w:pPr>
        <w:pStyle w:val="BodyText"/>
        <w:rPr>
          <w:sz w:val="20"/>
        </w:rPr>
      </w:pPr>
    </w:p>
    <w:p>
      <w:pPr>
        <w:pStyle w:val="BodyText"/>
        <w:spacing w:before="4"/>
        <w:rPr>
          <w:sz w:val="12"/>
        </w:rPr>
      </w:pPr>
      <w:r>
        <w:rPr/>
        <w:pict>
          <v:rect style="position:absolute;margin-left:42.599998pt;margin-top:8.310458pt;width:144.020pt;height:.72003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8"/>
          <w:sz w:val="20"/>
          <w:vertAlign w:val="baseline"/>
        </w:rPr>
        <w:t> </w:t>
      </w:r>
      <w:r>
        <w:rPr>
          <w:sz w:val="20"/>
          <w:vertAlign w:val="baseline"/>
        </w:rPr>
        <w:t>(Art.4</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8"/>
        <w:ind w:left="799"/>
      </w:pPr>
      <w:r>
        <w:rPr/>
        <w:t>The successful candidate will be part of the Security team, which is currently comprised of eight colleagues</w:t>
      </w:r>
      <w:r>
        <w:rPr>
          <w:spacing w:val="80"/>
        </w:rPr>
        <w:t> </w:t>
      </w:r>
      <w:r>
        <w:rPr/>
        <w:t>under a head of sector.</w:t>
      </w:r>
    </w:p>
    <w:p>
      <w:pPr>
        <w:pStyle w:val="BodyText"/>
        <w:spacing w:before="2"/>
      </w:pPr>
    </w:p>
    <w:p>
      <w:pPr>
        <w:pStyle w:val="BodyText"/>
        <w:ind w:left="799"/>
      </w:pPr>
      <w:r>
        <w:rPr/>
        <w:t>He/She</w:t>
      </w:r>
      <w:r>
        <w:rPr>
          <w:spacing w:val="-3"/>
        </w:rPr>
        <w:t> </w:t>
      </w:r>
      <w:r>
        <w:rPr>
          <w:spacing w:val="-4"/>
        </w:rPr>
        <w:t>will</w:t>
      </w:r>
    </w:p>
    <w:p>
      <w:pPr>
        <w:pStyle w:val="BodyText"/>
        <w:spacing w:before="1"/>
      </w:pPr>
    </w:p>
    <w:p>
      <w:pPr>
        <w:pStyle w:val="ListParagraph"/>
        <w:numPr>
          <w:ilvl w:val="2"/>
          <w:numId w:val="3"/>
        </w:numPr>
        <w:tabs>
          <w:tab w:pos="1520" w:val="left" w:leader="none"/>
        </w:tabs>
        <w:spacing w:line="240" w:lineRule="auto" w:before="1" w:after="0"/>
        <w:ind w:left="1519" w:right="103" w:hanging="360"/>
        <w:jc w:val="both"/>
        <w:rPr>
          <w:sz w:val="22"/>
        </w:rPr>
      </w:pPr>
      <w:r>
        <w:rPr>
          <w:sz w:val="22"/>
        </w:rPr>
        <w:t>advise on and support the conception and management of projects and programs related to the reform of the security sector and capacity building to support partner countries addressing issues such as security service reforms, including the structure, competencies, legal framework, and capacity needs, and gathering and exchange of information following EU standards and procedures. These actions are then to be implemented in cooperation with relevant organisations (such as law enforcement agencies, public safety units, criminal investigation units, intelligence or CT units, etc.), and authorities (such as the Ministry of Defense, Ministry of Interior, Boarder guards, etc.) in partner countries and fully in</w:t>
      </w:r>
      <w:r>
        <w:rPr>
          <w:spacing w:val="40"/>
          <w:sz w:val="22"/>
        </w:rPr>
        <w:t> </w:t>
      </w:r>
      <w:r>
        <w:rPr>
          <w:sz w:val="22"/>
        </w:rPr>
        <w:t>line with the European Commission’s priorities.</w:t>
      </w:r>
    </w:p>
    <w:p>
      <w:pPr>
        <w:pStyle w:val="ListParagraph"/>
        <w:numPr>
          <w:ilvl w:val="2"/>
          <w:numId w:val="3"/>
        </w:numPr>
        <w:tabs>
          <w:tab w:pos="1520" w:val="left" w:leader="none"/>
        </w:tabs>
        <w:spacing w:line="240" w:lineRule="auto" w:before="0" w:after="0"/>
        <w:ind w:left="1519" w:right="112" w:hanging="360"/>
        <w:jc w:val="both"/>
        <w:rPr>
          <w:sz w:val="22"/>
        </w:rPr>
      </w:pPr>
      <w:r>
        <w:rPr>
          <w:sz w:val="22"/>
        </w:rPr>
        <w:t>contribute to the consistency of EU external action in relation to the security and development nexus, particularly with regard to the cooperation with Latin America and the Caribbean partnerships, with a focus on sectors of the European Security Strategy that have an impact on development outcomes.</w:t>
      </w:r>
    </w:p>
    <w:p>
      <w:pPr>
        <w:pStyle w:val="ListParagraph"/>
        <w:numPr>
          <w:ilvl w:val="2"/>
          <w:numId w:val="3"/>
        </w:numPr>
        <w:tabs>
          <w:tab w:pos="1520" w:val="left" w:leader="none"/>
        </w:tabs>
        <w:spacing w:line="240" w:lineRule="auto" w:before="0" w:after="0"/>
        <w:ind w:left="1519" w:right="111" w:hanging="360"/>
        <w:jc w:val="both"/>
        <w:rPr>
          <w:sz w:val="22"/>
        </w:rPr>
      </w:pPr>
      <w:r>
        <w:rPr>
          <w:sz w:val="22"/>
        </w:rPr>
        <w:t>provide interface and follow up with European External Action Service (EEAS), Council of the European Union, European Parliament (EP) and other relevant partners such as International Organisations (UNODC, UNDCT, Interpol, etc.) as well as with third parties in the areas mentioned </w:t>
      </w:r>
      <w:r>
        <w:rPr>
          <w:spacing w:val="-2"/>
          <w:sz w:val="22"/>
        </w:rPr>
        <w:t>above.</w:t>
      </w:r>
    </w:p>
    <w:p>
      <w:pPr>
        <w:pStyle w:val="ListParagraph"/>
        <w:numPr>
          <w:ilvl w:val="2"/>
          <w:numId w:val="3"/>
        </w:numPr>
        <w:tabs>
          <w:tab w:pos="1520" w:val="left" w:leader="none"/>
        </w:tabs>
        <w:spacing w:line="240" w:lineRule="auto" w:before="0" w:after="0"/>
        <w:ind w:left="1519" w:right="105" w:hanging="360"/>
        <w:jc w:val="both"/>
        <w:rPr>
          <w:sz w:val="22"/>
        </w:rPr>
      </w:pPr>
      <w:r>
        <w:rPr>
          <w:sz w:val="22"/>
        </w:rPr>
        <w:t>Contribute to defining EU security policies and programs, including those related to collecting data and exchanging classified information between services according to EU standards and human rights </w:t>
      </w:r>
      <w:r>
        <w:rPr>
          <w:spacing w:val="-2"/>
          <w:sz w:val="22"/>
        </w:rPr>
        <w:t>principles.</w:t>
      </w:r>
    </w:p>
    <w:p>
      <w:pPr>
        <w:pStyle w:val="ListParagraph"/>
        <w:numPr>
          <w:ilvl w:val="2"/>
          <w:numId w:val="3"/>
        </w:numPr>
        <w:tabs>
          <w:tab w:pos="1520" w:val="left" w:leader="none"/>
        </w:tabs>
        <w:spacing w:line="240" w:lineRule="auto" w:before="0" w:after="0"/>
        <w:ind w:left="1519" w:right="108" w:hanging="360"/>
        <w:jc w:val="both"/>
        <w:rPr>
          <w:sz w:val="22"/>
        </w:rPr>
      </w:pPr>
      <w:r>
        <w:rPr>
          <w:sz w:val="22"/>
        </w:rPr>
        <w:t>In particular, the SNE will advise on the implementation of programmes and projects financed from the EU’s Neighbourhood, Development for International Cooperation Instrument (NDICI). The SNE will ensure that a range of programmes are designed and delivered in line with the requirements of relevant EU policies, strategies and action plans.</w:t>
      </w:r>
    </w:p>
    <w:p>
      <w:pPr>
        <w:pStyle w:val="ListParagraph"/>
        <w:numPr>
          <w:ilvl w:val="2"/>
          <w:numId w:val="3"/>
        </w:numPr>
        <w:tabs>
          <w:tab w:pos="1520" w:val="left" w:leader="none"/>
        </w:tabs>
        <w:spacing w:line="240" w:lineRule="auto" w:before="0" w:after="0"/>
        <w:ind w:left="1519" w:right="101" w:hanging="360"/>
        <w:jc w:val="both"/>
        <w:rPr>
          <w:sz w:val="22"/>
        </w:rPr>
      </w:pPr>
      <w:r>
        <w:rPr>
          <w:sz w:val="22"/>
        </w:rPr>
        <w:t>He/She will help coordinate across the European Union and with international partners and Member- States</w:t>
      </w:r>
      <w:r>
        <w:rPr>
          <w:spacing w:val="-1"/>
          <w:sz w:val="22"/>
        </w:rPr>
        <w:t> </w:t>
      </w:r>
      <w:r>
        <w:rPr>
          <w:sz w:val="22"/>
        </w:rPr>
        <w:t>to</w:t>
      </w:r>
      <w:r>
        <w:rPr>
          <w:spacing w:val="-2"/>
          <w:sz w:val="22"/>
        </w:rPr>
        <w:t> </w:t>
      </w:r>
      <w:r>
        <w:rPr>
          <w:sz w:val="22"/>
        </w:rPr>
        <w:t>achieve EU</w:t>
      </w:r>
      <w:r>
        <w:rPr>
          <w:spacing w:val="-3"/>
          <w:sz w:val="22"/>
        </w:rPr>
        <w:t> </w:t>
      </w:r>
      <w:r>
        <w:rPr>
          <w:sz w:val="22"/>
        </w:rPr>
        <w:t>policy objectives,</w:t>
      </w:r>
      <w:r>
        <w:rPr>
          <w:spacing w:val="-1"/>
          <w:sz w:val="22"/>
        </w:rPr>
        <w:t> </w:t>
      </w:r>
      <w:r>
        <w:rPr>
          <w:sz w:val="22"/>
        </w:rPr>
        <w:t>avoid duplication and</w:t>
      </w:r>
      <w:r>
        <w:rPr>
          <w:spacing w:val="-1"/>
          <w:sz w:val="22"/>
        </w:rPr>
        <w:t> </w:t>
      </w:r>
      <w:r>
        <w:rPr>
          <w:sz w:val="22"/>
        </w:rPr>
        <w:t>share</w:t>
      </w:r>
      <w:r>
        <w:rPr>
          <w:spacing w:val="-1"/>
          <w:sz w:val="22"/>
        </w:rPr>
        <w:t> </w:t>
      </w:r>
      <w:r>
        <w:rPr>
          <w:sz w:val="22"/>
        </w:rPr>
        <w:t>best practice.</w:t>
      </w:r>
      <w:r>
        <w:rPr>
          <w:spacing w:val="-1"/>
          <w:sz w:val="22"/>
        </w:rPr>
        <w:t> </w:t>
      </w:r>
      <w:r>
        <w:rPr>
          <w:sz w:val="22"/>
        </w:rPr>
        <w:t>Lead or</w:t>
      </w:r>
      <w:r>
        <w:rPr>
          <w:spacing w:val="-1"/>
          <w:sz w:val="22"/>
        </w:rPr>
        <w:t> </w:t>
      </w:r>
      <w:r>
        <w:rPr>
          <w:sz w:val="22"/>
        </w:rPr>
        <w:t>contribute</w:t>
      </w:r>
      <w:r>
        <w:rPr>
          <w:spacing w:val="-1"/>
          <w:sz w:val="22"/>
        </w:rPr>
        <w:t> </w:t>
      </w:r>
      <w:r>
        <w:rPr>
          <w:sz w:val="22"/>
        </w:rPr>
        <w:t>to the design and delivery of programmes addressing security threats and security related components of other cooperation programs, using judgement to identify priority areas for EU support, i.e.</w:t>
      </w:r>
      <w:r>
        <w:rPr>
          <w:spacing w:val="40"/>
          <w:sz w:val="22"/>
        </w:rPr>
        <w:t> </w:t>
      </w:r>
      <w:r>
        <w:rPr>
          <w:sz w:val="22"/>
        </w:rPr>
        <w:t>contributing to the development and implementation of relevant programs at national, regional or trans-regional level.</w:t>
      </w:r>
    </w:p>
    <w:p>
      <w:pPr>
        <w:pStyle w:val="ListParagraph"/>
        <w:numPr>
          <w:ilvl w:val="2"/>
          <w:numId w:val="3"/>
        </w:numPr>
        <w:tabs>
          <w:tab w:pos="1520" w:val="left" w:leader="none"/>
        </w:tabs>
        <w:spacing w:line="240" w:lineRule="auto" w:before="0" w:after="0"/>
        <w:ind w:left="1519" w:right="106" w:hanging="360"/>
        <w:jc w:val="both"/>
        <w:rPr>
          <w:sz w:val="22"/>
        </w:rPr>
      </w:pPr>
      <w:r>
        <w:rPr>
          <w:sz w:val="22"/>
        </w:rPr>
        <w:t>In addition,</w:t>
      </w:r>
      <w:r>
        <w:rPr>
          <w:spacing w:val="-1"/>
          <w:sz w:val="22"/>
        </w:rPr>
        <w:t> </w:t>
      </w:r>
      <w:r>
        <w:rPr>
          <w:sz w:val="22"/>
        </w:rPr>
        <w:t>the</w:t>
      </w:r>
      <w:r>
        <w:rPr>
          <w:spacing w:val="-3"/>
          <w:sz w:val="22"/>
        </w:rPr>
        <w:t> </w:t>
      </w:r>
      <w:r>
        <w:rPr>
          <w:sz w:val="22"/>
        </w:rPr>
        <w:t>job</w:t>
      </w:r>
      <w:r>
        <w:rPr>
          <w:spacing w:val="-1"/>
          <w:sz w:val="22"/>
        </w:rPr>
        <w:t> </w:t>
      </w:r>
      <w:r>
        <w:rPr>
          <w:sz w:val="22"/>
        </w:rPr>
        <w:t>holder</w:t>
      </w:r>
      <w:r>
        <w:rPr>
          <w:spacing w:val="-1"/>
          <w:sz w:val="22"/>
        </w:rPr>
        <w:t> </w:t>
      </w:r>
      <w:r>
        <w:rPr>
          <w:sz w:val="22"/>
        </w:rPr>
        <w:t>will be</w:t>
      </w:r>
      <w:r>
        <w:rPr>
          <w:spacing w:val="-1"/>
          <w:sz w:val="22"/>
        </w:rPr>
        <w:t> </w:t>
      </w:r>
      <w:r>
        <w:rPr>
          <w:sz w:val="22"/>
        </w:rPr>
        <w:t>available</w:t>
      </w:r>
      <w:r>
        <w:rPr>
          <w:spacing w:val="-3"/>
          <w:sz w:val="22"/>
        </w:rPr>
        <w:t> </w:t>
      </w:r>
      <w:r>
        <w:rPr>
          <w:sz w:val="22"/>
        </w:rPr>
        <w:t>to</w:t>
      </w:r>
      <w:r>
        <w:rPr>
          <w:spacing w:val="-1"/>
          <w:sz w:val="22"/>
        </w:rPr>
        <w:t> </w:t>
      </w:r>
      <w:r>
        <w:rPr>
          <w:sz w:val="22"/>
        </w:rPr>
        <w:t>support</w:t>
      </w:r>
      <w:r>
        <w:rPr>
          <w:spacing w:val="-3"/>
          <w:sz w:val="22"/>
        </w:rPr>
        <w:t> </w:t>
      </w:r>
      <w:r>
        <w:rPr>
          <w:sz w:val="22"/>
        </w:rPr>
        <w:t>INTPA</w:t>
      </w:r>
      <w:r>
        <w:rPr>
          <w:spacing w:val="-3"/>
          <w:sz w:val="22"/>
        </w:rPr>
        <w:t> </w:t>
      </w:r>
      <w:r>
        <w:rPr>
          <w:sz w:val="22"/>
        </w:rPr>
        <w:t>with</w:t>
      </w:r>
      <w:r>
        <w:rPr>
          <w:spacing w:val="-1"/>
          <w:sz w:val="22"/>
        </w:rPr>
        <w:t> </w:t>
      </w:r>
      <w:r>
        <w:rPr>
          <w:sz w:val="22"/>
        </w:rPr>
        <w:t>on-going</w:t>
      </w:r>
      <w:r>
        <w:rPr>
          <w:spacing w:val="-4"/>
          <w:sz w:val="22"/>
        </w:rPr>
        <w:t> </w:t>
      </w:r>
      <w:r>
        <w:rPr>
          <w:sz w:val="22"/>
        </w:rPr>
        <w:t>analysis</w:t>
      </w:r>
      <w:r>
        <w:rPr>
          <w:spacing w:val="-1"/>
          <w:sz w:val="22"/>
        </w:rPr>
        <w:t> </w:t>
      </w:r>
      <w:r>
        <w:rPr>
          <w:sz w:val="22"/>
        </w:rPr>
        <w:t>of crisis/political contexts and, where appropriate, the associated identification/preparation of further actions globally.</w:t>
      </w:r>
    </w:p>
    <w:p>
      <w:pPr>
        <w:pStyle w:val="BodyText"/>
        <w:rPr>
          <w:sz w:val="24"/>
        </w:rPr>
      </w:pPr>
    </w:p>
    <w:p>
      <w:pPr>
        <w:pStyle w:val="BodyText"/>
        <w:spacing w:before="5"/>
        <w:rPr>
          <w:sz w:val="20"/>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4"/>
        <w:rPr>
          <w:b/>
          <w:sz w:val="21"/>
        </w:rPr>
      </w:pPr>
    </w:p>
    <w:p>
      <w:pPr>
        <w:pStyle w:val="BodyText"/>
        <w:spacing w:before="1"/>
        <w:ind w:left="799" w:right="114"/>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pPr>
    </w:p>
    <w:p>
      <w:pPr>
        <w:pStyle w:val="ListParagraph"/>
        <w:numPr>
          <w:ilvl w:val="0"/>
          <w:numId w:val="5"/>
        </w:numPr>
        <w:tabs>
          <w:tab w:pos="1081" w:val="left" w:leader="none"/>
        </w:tabs>
        <w:spacing w:line="240" w:lineRule="auto" w:before="0"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pPr>
    </w:p>
    <w:p>
      <w:pPr>
        <w:pStyle w:val="ListParagraph"/>
        <w:numPr>
          <w:ilvl w:val="0"/>
          <w:numId w:val="5"/>
        </w:numPr>
        <w:tabs>
          <w:tab w:pos="1081" w:val="left" w:leader="none"/>
        </w:tabs>
        <w:spacing w:line="240" w:lineRule="auto" w:before="0" w:after="0"/>
        <w:ind w:left="1080" w:right="112"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0"/>
          <w:numId w:val="5"/>
        </w:numPr>
        <w:tabs>
          <w:tab w:pos="1081" w:val="left" w:leader="none"/>
        </w:tabs>
        <w:spacing w:line="240" w:lineRule="auto" w:before="0" w:after="0"/>
        <w:ind w:left="1080" w:right="109"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spacing w:after="0" w:line="240" w:lineRule="auto"/>
        <w:jc w:val="both"/>
        <w:rPr>
          <w:sz w:val="22"/>
        </w:rPr>
        <w:sectPr>
          <w:pgSz w:w="11910" w:h="16840"/>
          <w:pgMar w:header="0" w:footer="690" w:top="1040" w:bottom="880" w:left="480" w:right="740"/>
        </w:sectPr>
      </w:pPr>
    </w:p>
    <w:p>
      <w:pPr>
        <w:pStyle w:val="Heading1"/>
        <w:numPr>
          <w:ilvl w:val="0"/>
          <w:numId w:val="4"/>
        </w:numPr>
        <w:tabs>
          <w:tab w:pos="1081" w:val="left" w:leader="none"/>
        </w:tabs>
        <w:spacing w:line="240" w:lineRule="auto" w:before="69" w:after="0"/>
        <w:ind w:left="1080" w:right="0" w:hanging="282"/>
        <w:jc w:val="left"/>
      </w:pPr>
      <w:r>
        <w:rPr>
          <w:u w:val="single"/>
        </w:rPr>
        <w:t>Selection</w:t>
      </w:r>
      <w:r>
        <w:rPr>
          <w:spacing w:val="-4"/>
          <w:u w:val="single"/>
        </w:rPr>
        <w:t> </w:t>
      </w:r>
      <w:r>
        <w:rPr>
          <w:spacing w:val="-2"/>
          <w:u w:val="single"/>
        </w:rPr>
        <w:t>criteria</w:t>
      </w:r>
    </w:p>
    <w:p>
      <w:pPr>
        <w:pStyle w:val="BodyText"/>
        <w:spacing w:before="9"/>
        <w:rPr>
          <w:b/>
          <w:sz w:val="15"/>
        </w:rPr>
      </w:pPr>
    </w:p>
    <w:p>
      <w:pPr>
        <w:pStyle w:val="BodyText"/>
        <w:spacing w:line="252" w:lineRule="exact" w:before="91"/>
        <w:ind w:left="1080"/>
      </w:pPr>
      <w:r>
        <w:rPr>
          <w:spacing w:val="-2"/>
          <w:u w:val="single"/>
        </w:rPr>
        <w:t>Diploma</w:t>
      </w:r>
    </w:p>
    <w:p>
      <w:pPr>
        <w:pStyle w:val="ListParagraph"/>
        <w:numPr>
          <w:ilvl w:val="1"/>
          <w:numId w:val="4"/>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240" w:lineRule="auto" w:before="2" w:after="0"/>
        <w:ind w:left="1205" w:right="0" w:hanging="126"/>
        <w:jc w:val="left"/>
        <w:rPr>
          <w:sz w:val="22"/>
        </w:rPr>
      </w:pPr>
      <w:r>
        <w:rPr>
          <w:sz w:val="22"/>
        </w:rPr>
        <w:t>professional</w:t>
      </w:r>
      <w:r>
        <w:rPr>
          <w:spacing w:val="-3"/>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pPr>
    </w:p>
    <w:p>
      <w:pPr>
        <w:pStyle w:val="BodyText"/>
        <w:ind w:left="1080"/>
      </w:pPr>
      <w:r>
        <w:rPr/>
        <w:t>in</w:t>
      </w:r>
      <w:r>
        <w:rPr>
          <w:spacing w:val="26"/>
        </w:rPr>
        <w:t> </w:t>
      </w:r>
      <w:r>
        <w:rPr/>
        <w:t>the</w:t>
      </w:r>
      <w:r>
        <w:rPr>
          <w:spacing w:val="25"/>
        </w:rPr>
        <w:t> </w:t>
      </w:r>
      <w:r>
        <w:rPr/>
        <w:t>field(s):</w:t>
      </w:r>
      <w:r>
        <w:rPr>
          <w:spacing w:val="21"/>
        </w:rPr>
        <w:t> </w:t>
      </w:r>
      <w:r>
        <w:rPr/>
        <w:t>security</w:t>
      </w:r>
      <w:r>
        <w:rPr>
          <w:spacing w:val="25"/>
        </w:rPr>
        <w:t> </w:t>
      </w:r>
      <w:r>
        <w:rPr/>
        <w:t>policies,</w:t>
      </w:r>
      <w:r>
        <w:rPr>
          <w:spacing w:val="25"/>
        </w:rPr>
        <w:t> </w:t>
      </w:r>
      <w:r>
        <w:rPr/>
        <w:t>including</w:t>
      </w:r>
      <w:r>
        <w:rPr>
          <w:spacing w:val="25"/>
        </w:rPr>
        <w:t> </w:t>
      </w:r>
      <w:r>
        <w:rPr/>
        <w:t>at</w:t>
      </w:r>
      <w:r>
        <w:rPr>
          <w:spacing w:val="26"/>
        </w:rPr>
        <w:t> </w:t>
      </w:r>
      <w:r>
        <w:rPr/>
        <w:t>least</w:t>
      </w:r>
      <w:r>
        <w:rPr>
          <w:spacing w:val="26"/>
        </w:rPr>
        <w:t> </w:t>
      </w:r>
      <w:r>
        <w:rPr/>
        <w:t>5</w:t>
      </w:r>
      <w:r>
        <w:rPr>
          <w:spacing w:val="25"/>
        </w:rPr>
        <w:t> </w:t>
      </w:r>
      <w:r>
        <w:rPr/>
        <w:t>years</w:t>
      </w:r>
      <w:r>
        <w:rPr>
          <w:spacing w:val="27"/>
        </w:rPr>
        <w:t> </w:t>
      </w:r>
      <w:r>
        <w:rPr/>
        <w:t>in</w:t>
      </w:r>
      <w:r>
        <w:rPr>
          <w:spacing w:val="26"/>
        </w:rPr>
        <w:t> </w:t>
      </w:r>
      <w:r>
        <w:rPr/>
        <w:t>the</w:t>
      </w:r>
      <w:r>
        <w:rPr>
          <w:spacing w:val="25"/>
        </w:rPr>
        <w:t> </w:t>
      </w:r>
      <w:r>
        <w:rPr/>
        <w:t>field</w:t>
      </w:r>
      <w:r>
        <w:rPr>
          <w:spacing w:val="25"/>
        </w:rPr>
        <w:t> </w:t>
      </w:r>
      <w:r>
        <w:rPr/>
        <w:t>of</w:t>
      </w:r>
      <w:r>
        <w:rPr>
          <w:spacing w:val="26"/>
        </w:rPr>
        <w:t> </w:t>
      </w:r>
      <w:r>
        <w:rPr/>
        <w:t>international</w:t>
      </w:r>
      <w:r>
        <w:rPr>
          <w:spacing w:val="27"/>
        </w:rPr>
        <w:t> </w:t>
      </w:r>
      <w:r>
        <w:rPr/>
        <w:t>cooperation</w:t>
      </w:r>
      <w:r>
        <w:rPr>
          <w:spacing w:val="26"/>
        </w:rPr>
        <w:t> </w:t>
      </w:r>
      <w:r>
        <w:rPr/>
        <w:t>with authorities on security policy, and ideally field experience in EU partner countries.</w:t>
      </w:r>
    </w:p>
    <w:p>
      <w:pPr>
        <w:pStyle w:val="BodyText"/>
        <w:spacing w:before="11"/>
        <w:rPr>
          <w:sz w:val="21"/>
        </w:rPr>
      </w:pPr>
    </w:p>
    <w:p>
      <w:pPr>
        <w:pStyle w:val="BodyText"/>
        <w:ind w:left="1080"/>
      </w:pPr>
      <w:r>
        <w:rPr>
          <w:u w:val="single"/>
        </w:rPr>
        <w:t>Professional</w:t>
      </w:r>
      <w:r>
        <w:rPr>
          <w:spacing w:val="-4"/>
          <w:u w:val="single"/>
        </w:rPr>
        <w:t> </w:t>
      </w:r>
      <w:r>
        <w:rPr>
          <w:spacing w:val="-2"/>
          <w:u w:val="single"/>
        </w:rPr>
        <w:t>experience</w:t>
      </w:r>
    </w:p>
    <w:p>
      <w:pPr>
        <w:pStyle w:val="BodyText"/>
        <w:spacing w:before="1"/>
        <w:rPr>
          <w:sz w:val="14"/>
        </w:rPr>
      </w:pPr>
    </w:p>
    <w:p>
      <w:pPr>
        <w:pStyle w:val="BodyText"/>
        <w:spacing w:before="92"/>
        <w:ind w:left="1080" w:right="173"/>
        <w:jc w:val="both"/>
      </w:pPr>
      <w:r>
        <w:rPr/>
        <w:t>A solid background on security is essential. Experience in security policy at institutional level, with analysis</w:t>
      </w:r>
      <w:r>
        <w:rPr>
          <w:spacing w:val="-2"/>
        </w:rPr>
        <w:t> </w:t>
      </w:r>
      <w:r>
        <w:rPr/>
        <w:t>and</w:t>
      </w:r>
      <w:r>
        <w:rPr>
          <w:spacing w:val="-2"/>
        </w:rPr>
        <w:t> </w:t>
      </w:r>
      <w:r>
        <w:rPr/>
        <w:t>reporting</w:t>
      </w:r>
      <w:r>
        <w:rPr>
          <w:spacing w:val="-5"/>
        </w:rPr>
        <w:t> </w:t>
      </w:r>
      <w:r>
        <w:rPr/>
        <w:t>skills;</w:t>
      </w:r>
      <w:r>
        <w:rPr>
          <w:spacing w:val="-1"/>
        </w:rPr>
        <w:t> </w:t>
      </w:r>
      <w:r>
        <w:rPr/>
        <w:t>Familiarity</w:t>
      </w:r>
      <w:r>
        <w:rPr>
          <w:spacing w:val="-5"/>
        </w:rPr>
        <w:t> </w:t>
      </w:r>
      <w:r>
        <w:rPr/>
        <w:t>in</w:t>
      </w:r>
      <w:r>
        <w:rPr>
          <w:spacing w:val="-2"/>
        </w:rPr>
        <w:t> </w:t>
      </w:r>
      <w:r>
        <w:rPr/>
        <w:t>dealing</w:t>
      </w:r>
      <w:r>
        <w:rPr>
          <w:spacing w:val="-5"/>
        </w:rPr>
        <w:t> </w:t>
      </w:r>
      <w:r>
        <w:rPr/>
        <w:t>with</w:t>
      </w:r>
      <w:r>
        <w:rPr>
          <w:spacing w:val="-2"/>
        </w:rPr>
        <w:t> </w:t>
      </w:r>
      <w:r>
        <w:rPr/>
        <w:t>classified</w:t>
      </w:r>
      <w:r>
        <w:rPr>
          <w:spacing w:val="-2"/>
        </w:rPr>
        <w:t> </w:t>
      </w:r>
      <w:r>
        <w:rPr/>
        <w:t>information,</w:t>
      </w:r>
      <w:r>
        <w:rPr>
          <w:spacing w:val="-2"/>
        </w:rPr>
        <w:t> </w:t>
      </w:r>
      <w:r>
        <w:rPr/>
        <w:t>its</w:t>
      </w:r>
      <w:r>
        <w:rPr>
          <w:spacing w:val="-4"/>
        </w:rPr>
        <w:t> </w:t>
      </w:r>
      <w:r>
        <w:rPr/>
        <w:t>regulation</w:t>
      </w:r>
      <w:r>
        <w:rPr>
          <w:spacing w:val="-2"/>
        </w:rPr>
        <w:t> </w:t>
      </w:r>
      <w:r>
        <w:rPr/>
        <w:t>and</w:t>
      </w:r>
      <w:r>
        <w:rPr>
          <w:spacing w:val="-2"/>
        </w:rPr>
        <w:t> </w:t>
      </w:r>
      <w:r>
        <w:rPr/>
        <w:t>handling, in particular to prepare risk assessments, comments and briefings to policy papers related to security </w:t>
      </w:r>
      <w:r>
        <w:rPr>
          <w:spacing w:val="-2"/>
        </w:rPr>
        <w:t>programs.</w:t>
      </w:r>
    </w:p>
    <w:p>
      <w:pPr>
        <w:pStyle w:val="BodyText"/>
      </w:pPr>
    </w:p>
    <w:p>
      <w:pPr>
        <w:pStyle w:val="BodyText"/>
        <w:ind w:left="1080" w:right="236"/>
        <w:jc w:val="both"/>
      </w:pPr>
      <w:r>
        <w:rPr/>
        <w:t>Knowledge</w:t>
      </w:r>
      <w:r>
        <w:rPr>
          <w:spacing w:val="-3"/>
        </w:rPr>
        <w:t> </w:t>
      </w:r>
      <w:r>
        <w:rPr/>
        <w:t>of</w:t>
      </w:r>
      <w:r>
        <w:rPr>
          <w:spacing w:val="-2"/>
        </w:rPr>
        <w:t> </w:t>
      </w:r>
      <w:r>
        <w:rPr/>
        <w:t>EU</w:t>
      </w:r>
      <w:r>
        <w:rPr>
          <w:spacing w:val="-7"/>
        </w:rPr>
        <w:t> </w:t>
      </w:r>
      <w:r>
        <w:rPr/>
        <w:t>institutions</w:t>
      </w:r>
      <w:r>
        <w:rPr>
          <w:spacing w:val="-3"/>
        </w:rPr>
        <w:t> </w:t>
      </w:r>
      <w:r>
        <w:rPr/>
        <w:t>and</w:t>
      </w:r>
      <w:r>
        <w:rPr>
          <w:spacing w:val="-6"/>
        </w:rPr>
        <w:t> </w:t>
      </w:r>
      <w:r>
        <w:rPr/>
        <w:t>a</w:t>
      </w:r>
      <w:r>
        <w:rPr>
          <w:spacing w:val="-3"/>
        </w:rPr>
        <w:t> </w:t>
      </w:r>
      <w:r>
        <w:rPr/>
        <w:t>background</w:t>
      </w:r>
      <w:r>
        <w:rPr>
          <w:spacing w:val="-3"/>
        </w:rPr>
        <w:t> </w:t>
      </w:r>
      <w:r>
        <w:rPr/>
        <w:t>on</w:t>
      </w:r>
      <w:r>
        <w:rPr>
          <w:spacing w:val="-3"/>
        </w:rPr>
        <w:t> </w:t>
      </w:r>
      <w:r>
        <w:rPr/>
        <w:t>EU</w:t>
      </w:r>
      <w:r>
        <w:rPr>
          <w:spacing w:val="-7"/>
        </w:rPr>
        <w:t> </w:t>
      </w:r>
      <w:r>
        <w:rPr/>
        <w:t>development</w:t>
      </w:r>
      <w:r>
        <w:rPr>
          <w:spacing w:val="-2"/>
        </w:rPr>
        <w:t> </w:t>
      </w:r>
      <w:r>
        <w:rPr/>
        <w:t>policies,</w:t>
      </w:r>
      <w:r>
        <w:rPr>
          <w:spacing w:val="-3"/>
        </w:rPr>
        <w:t> </w:t>
      </w:r>
      <w:r>
        <w:rPr/>
        <w:t>programs</w:t>
      </w:r>
      <w:r>
        <w:rPr>
          <w:spacing w:val="-3"/>
        </w:rPr>
        <w:t> </w:t>
      </w:r>
      <w:r>
        <w:rPr/>
        <w:t>and</w:t>
      </w:r>
      <w:r>
        <w:rPr>
          <w:spacing w:val="-3"/>
        </w:rPr>
        <w:t> </w:t>
      </w:r>
      <w:r>
        <w:rPr/>
        <w:t>programming work would be an asset.</w:t>
      </w:r>
    </w:p>
    <w:p>
      <w:pPr>
        <w:pStyle w:val="BodyText"/>
        <w:spacing w:before="11"/>
        <w:rPr>
          <w:sz w:val="21"/>
        </w:rPr>
      </w:pPr>
    </w:p>
    <w:p>
      <w:pPr>
        <w:pStyle w:val="BodyText"/>
        <w:ind w:left="1080"/>
        <w:jc w:val="both"/>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2"/>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1"/>
        <w:ind w:left="1080"/>
      </w:pPr>
      <w:r>
        <w:rPr/>
        <w:t>English</w:t>
      </w:r>
      <w:r>
        <w:rPr>
          <w:spacing w:val="-3"/>
        </w:rPr>
        <w:t> </w:t>
      </w:r>
      <w:r>
        <w:rPr/>
        <w:t>required.</w:t>
      </w:r>
      <w:r>
        <w:rPr>
          <w:spacing w:val="-3"/>
        </w:rPr>
        <w:t> </w:t>
      </w:r>
      <w:r>
        <w:rPr/>
        <w:t>Spanish</w:t>
      </w:r>
      <w:r>
        <w:rPr>
          <w:spacing w:val="-5"/>
        </w:rPr>
        <w:t> </w:t>
      </w:r>
      <w:r>
        <w:rPr/>
        <w:t>will</w:t>
      </w:r>
      <w:r>
        <w:rPr>
          <w:spacing w:val="-5"/>
        </w:rPr>
        <w:t> </w:t>
      </w:r>
      <w:r>
        <w:rPr/>
        <w:t>be</w:t>
      </w:r>
      <w:r>
        <w:rPr>
          <w:spacing w:val="-2"/>
        </w:rPr>
        <w:t> desirable.</w:t>
      </w:r>
    </w:p>
    <w:p>
      <w:pPr>
        <w:pStyle w:val="BodyText"/>
        <w:spacing w:before="4"/>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1"/>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
        <w:rPr>
          <w:b/>
        </w:rPr>
      </w:pPr>
    </w:p>
    <w:p>
      <w:pPr>
        <w:pStyle w:val="BodyText"/>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ind w:left="799"/>
        <w:jc w:val="both"/>
      </w:pPr>
      <w:r>
        <w:rPr/>
        <w:t>Candidates</w:t>
      </w:r>
      <w:r>
        <w:rPr>
          <w:spacing w:val="-5"/>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4"/>
        </w:rPr>
        <w:t> </w:t>
      </w:r>
      <w:r>
        <w:rPr/>
        <w:t>follow-up</w:t>
      </w:r>
      <w:r>
        <w:rPr>
          <w:spacing w:val="-3"/>
        </w:rPr>
        <w:t> </w:t>
      </w:r>
      <w:r>
        <w:rPr/>
        <w:t>of</w:t>
      </w:r>
      <w:r>
        <w:rPr>
          <w:spacing w:val="-3"/>
        </w:rPr>
        <w:t> </w:t>
      </w:r>
      <w:r>
        <w:rPr/>
        <w:t>their</w:t>
      </w:r>
      <w:r>
        <w:rPr>
          <w:spacing w:val="-5"/>
        </w:rPr>
        <w:t> </w:t>
      </w:r>
      <w:r>
        <w:rPr/>
        <w:t>application</w:t>
      </w:r>
      <w:r>
        <w:rPr>
          <w:spacing w:val="-5"/>
        </w:rPr>
        <w:t> </w:t>
      </w:r>
      <w:r>
        <w:rPr/>
        <w:t>by</w:t>
      </w:r>
      <w:r>
        <w:rPr>
          <w:spacing w:val="-6"/>
        </w:rPr>
        <w:t> </w:t>
      </w:r>
      <w:r>
        <w:rPr/>
        <w:t>the</w:t>
      </w:r>
      <w:r>
        <w:rPr>
          <w:spacing w:val="-3"/>
        </w:rPr>
        <w:t> </w:t>
      </w:r>
      <w:r>
        <w:rPr/>
        <w:t>unit</w:t>
      </w:r>
      <w:r>
        <w:rPr>
          <w:spacing w:val="-4"/>
        </w:rPr>
        <w:t> </w:t>
      </w:r>
      <w:r>
        <w:rPr>
          <w:spacing w:val="-2"/>
        </w:rPr>
        <w:t>concerned.</w:t>
      </w:r>
    </w:p>
    <w:p>
      <w:pPr>
        <w:pStyle w:val="BodyText"/>
        <w:spacing w:before="4"/>
        <w:rPr>
          <w:sz w:val="24"/>
        </w:rPr>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1"/>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2"/>
        <w:ind w:left="799" w:right="287"/>
        <w:jc w:val="both"/>
      </w:pPr>
      <w:r>
        <w:rPr/>
        <w:t>The SNE will remain employed and remunerated by his/her employer during the secondment. He/she will equally remain covered by the national social security system.</w:t>
      </w:r>
    </w:p>
    <w:p>
      <w:pPr>
        <w:pStyle w:val="BodyText"/>
        <w:spacing w:before="1"/>
        <w:ind w:left="799" w:right="286"/>
        <w:jc w:val="both"/>
      </w:pPr>
      <w:r>
        <w:rPr/>
        <w:t>Unless for cost-free SNE, allowances may be granted by the Commission to SNE fulfilling the conditions provided for in Art. 17 of the SNE decision.</w:t>
      </w:r>
    </w:p>
    <w:p>
      <w:pPr>
        <w:pStyle w:val="BodyText"/>
        <w:spacing w:before="10"/>
        <w:rPr>
          <w:sz w:val="21"/>
        </w:rPr>
      </w:pPr>
    </w:p>
    <w:p>
      <w:pPr>
        <w:pStyle w:val="BodyText"/>
        <w:spacing w:before="1"/>
        <w:ind w:left="799" w:right="283"/>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0"/>
        <w:rPr>
          <w:sz w:val="21"/>
        </w:rPr>
      </w:pPr>
    </w:p>
    <w:p>
      <w:pPr>
        <w:pStyle w:val="BodyText"/>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2"/>
        <w:ind w:left="799" w:right="107"/>
        <w:jc w:val="both"/>
      </w:pPr>
      <w:r>
        <w:rPr/>
        <w:t>The selected candidate has the obligation to launch the vetting procedure before getting the secondment </w:t>
      </w:r>
      <w:r>
        <w:rPr>
          <w:spacing w:val="-2"/>
        </w:rPr>
        <w:t>confirmation.</w:t>
      </w:r>
    </w:p>
    <w:p>
      <w:pPr>
        <w:spacing w:after="0"/>
        <w:jc w:val="both"/>
        <w:sectPr>
          <w:pgSz w:w="11910" w:h="16840"/>
          <w:pgMar w:header="0" w:footer="690" w:top="1320" w:bottom="880" w:left="480" w:right="740"/>
        </w:sectPr>
      </w:pPr>
    </w:p>
    <w:p>
      <w:pPr>
        <w:pStyle w:val="ListParagraph"/>
        <w:numPr>
          <w:ilvl w:val="0"/>
          <w:numId w:val="3"/>
        </w:numPr>
        <w:tabs>
          <w:tab w:pos="799" w:val="left" w:leader="none"/>
          <w:tab w:pos="800" w:val="left" w:leader="none"/>
        </w:tabs>
        <w:spacing w:line="240" w:lineRule="auto" w:before="7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6"/>
        <w:rPr>
          <w:b/>
          <w:sz w:val="15"/>
        </w:rPr>
      </w:pPr>
    </w:p>
    <w:p>
      <w:pPr>
        <w:pStyle w:val="BodyText"/>
        <w:spacing w:before="92"/>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spacing w:before="1"/>
        <w:ind w:left="799" w:right="277"/>
      </w:pPr>
      <w:r>
        <w:rPr/>
        <w:t>Data is kept by the competent services for 7 years after the secondment (2 years for not selected experts). You</w:t>
      </w:r>
      <w:r>
        <w:rPr>
          <w:spacing w:val="65"/>
        </w:rPr>
        <w:t> </w:t>
      </w:r>
      <w:r>
        <w:rPr/>
        <w:t>have</w:t>
      </w:r>
      <w:r>
        <w:rPr>
          <w:spacing w:val="65"/>
        </w:rPr>
        <w:t> </w:t>
      </w:r>
      <w:r>
        <w:rPr/>
        <w:t>specific</w:t>
      </w:r>
      <w:r>
        <w:rPr>
          <w:spacing w:val="65"/>
        </w:rPr>
        <w:t> </w:t>
      </w:r>
      <w:r>
        <w:rPr/>
        <w:t>rights</w:t>
      </w:r>
      <w:r>
        <w:rPr>
          <w:spacing w:val="63"/>
        </w:rPr>
        <w:t> </w:t>
      </w:r>
      <w:r>
        <w:rPr/>
        <w:t>as</w:t>
      </w:r>
      <w:r>
        <w:rPr>
          <w:spacing w:val="65"/>
        </w:rPr>
        <w:t> </w:t>
      </w:r>
      <w:r>
        <w:rPr/>
        <w:t>a</w:t>
      </w:r>
      <w:r>
        <w:rPr>
          <w:spacing w:val="65"/>
        </w:rPr>
        <w:t> </w:t>
      </w:r>
      <w:r>
        <w:rPr/>
        <w:t>‘data</w:t>
      </w:r>
      <w:r>
        <w:rPr>
          <w:spacing w:val="65"/>
        </w:rPr>
        <w:t> </w:t>
      </w:r>
      <w:r>
        <w:rPr/>
        <w:t>subject’</w:t>
      </w:r>
      <w:r>
        <w:rPr>
          <w:spacing w:val="65"/>
        </w:rPr>
        <w:t> </w:t>
      </w:r>
      <w:r>
        <w:rPr/>
        <w:t>under</w:t>
      </w:r>
      <w:r>
        <w:rPr>
          <w:spacing w:val="66"/>
        </w:rPr>
        <w:t> </w:t>
      </w:r>
      <w:r>
        <w:rPr/>
        <w:t>Chapter</w:t>
      </w:r>
      <w:r>
        <w:rPr>
          <w:spacing w:val="66"/>
        </w:rPr>
        <w:t> </w:t>
      </w:r>
      <w:r>
        <w:rPr/>
        <w:t>III</w:t>
      </w:r>
      <w:r>
        <w:rPr>
          <w:spacing w:val="63"/>
        </w:rPr>
        <w:t> </w:t>
      </w:r>
      <w:r>
        <w:rPr/>
        <w:t>(Articles</w:t>
      </w:r>
      <w:r>
        <w:rPr>
          <w:spacing w:val="65"/>
        </w:rPr>
        <w:t> </w:t>
      </w:r>
      <w:r>
        <w:rPr/>
        <w:t>14-25)</w:t>
      </w:r>
      <w:r>
        <w:rPr>
          <w:spacing w:val="65"/>
        </w:rPr>
        <w:t> </w:t>
      </w:r>
      <w:r>
        <w:rPr/>
        <w:t>of</w:t>
      </w:r>
      <w:r>
        <w:rPr>
          <w:spacing w:val="65"/>
        </w:rPr>
        <w:t> </w:t>
      </w:r>
      <w:r>
        <w:rPr/>
        <w:t>Regulation</w:t>
      </w:r>
      <w:r>
        <w:rPr>
          <w:spacing w:val="65"/>
        </w:rPr>
        <w:t> </w:t>
      </w:r>
      <w:r>
        <w:rPr/>
        <w:t>(EU) 2018/1725,</w:t>
      </w:r>
      <w:r>
        <w:rPr>
          <w:spacing w:val="18"/>
        </w:rPr>
        <w:t> </w:t>
      </w:r>
      <w:r>
        <w:rPr/>
        <w:t>in</w:t>
      </w:r>
      <w:r>
        <w:rPr>
          <w:spacing w:val="18"/>
        </w:rPr>
        <w:t> </w:t>
      </w:r>
      <w:r>
        <w:rPr/>
        <w:t>particular the</w:t>
      </w:r>
      <w:r>
        <w:rPr>
          <w:spacing w:val="18"/>
        </w:rPr>
        <w:t> </w:t>
      </w:r>
      <w:r>
        <w:rPr/>
        <w:t>right to</w:t>
      </w:r>
      <w:r>
        <w:rPr>
          <w:spacing w:val="18"/>
        </w:rPr>
        <w:t> </w:t>
      </w:r>
      <w:r>
        <w:rPr/>
        <w:t>access,</w:t>
      </w:r>
      <w:r>
        <w:rPr>
          <w:spacing w:val="18"/>
        </w:rPr>
        <w:t> </w:t>
      </w:r>
      <w:r>
        <w:rPr/>
        <w:t>rectify or erase</w:t>
      </w:r>
      <w:r>
        <w:rPr>
          <w:spacing w:val="18"/>
        </w:rPr>
        <w:t> </w:t>
      </w:r>
      <w:r>
        <w:rPr/>
        <w:t>your</w:t>
      </w:r>
      <w:r>
        <w:rPr>
          <w:spacing w:val="18"/>
        </w:rPr>
        <w:t> </w:t>
      </w:r>
      <w:r>
        <w:rPr/>
        <w:t>personal</w:t>
      </w:r>
      <w:r>
        <w:rPr>
          <w:spacing w:val="19"/>
        </w:rPr>
        <w:t> </w:t>
      </w:r>
      <w:r>
        <w:rPr/>
        <w:t>data</w:t>
      </w:r>
      <w:r>
        <w:rPr>
          <w:spacing w:val="18"/>
        </w:rPr>
        <w:t> </w:t>
      </w:r>
      <w:r>
        <w:rPr/>
        <w:t>and</w:t>
      </w:r>
      <w:r>
        <w:rPr>
          <w:spacing w:val="18"/>
        </w:rPr>
        <w:t> </w:t>
      </w:r>
      <w:r>
        <w:rPr/>
        <w:t>the right</w:t>
      </w:r>
      <w:r>
        <w:rPr>
          <w:spacing w:val="19"/>
        </w:rPr>
        <w:t> </w:t>
      </w:r>
      <w:r>
        <w:rPr/>
        <w:t>to</w:t>
      </w:r>
      <w:r>
        <w:rPr>
          <w:spacing w:val="18"/>
        </w:rPr>
        <w:t> </w:t>
      </w:r>
      <w:r>
        <w:rPr/>
        <w:t>restrict</w:t>
      </w:r>
      <w:r>
        <w:rPr>
          <w:spacing w:val="19"/>
        </w:rPr>
        <w:t> </w:t>
      </w:r>
      <w:r>
        <w:rPr/>
        <w:t>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6"/>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91"/>
        <w:jc w:val="both"/>
      </w:pPr>
      <w:r>
        <w:rPr/>
        <w:t>If you would like to exercise your rights under Regulation (EU) 2018/1725, or if you have comments, questions or</w:t>
      </w:r>
      <w:r>
        <w:rPr>
          <w:spacing w:val="-2"/>
        </w:rPr>
        <w:t> </w:t>
      </w:r>
      <w:r>
        <w:rPr/>
        <w:t>concerns, or</w:t>
      </w:r>
      <w:r>
        <w:rPr>
          <w:spacing w:val="-2"/>
        </w:rPr>
        <w:t> </w:t>
      </w:r>
      <w:r>
        <w:rPr/>
        <w:t>if</w:t>
      </w:r>
      <w:r>
        <w:rPr>
          <w:spacing w:val="-4"/>
        </w:rPr>
        <w:t> </w:t>
      </w:r>
      <w:r>
        <w:rPr/>
        <w:t>you would</w:t>
      </w:r>
      <w:r>
        <w:rPr>
          <w:spacing w:val="-2"/>
        </w:rPr>
        <w:t> </w:t>
      </w:r>
      <w:r>
        <w:rPr/>
        <w:t>like</w:t>
      </w:r>
      <w:r>
        <w:rPr>
          <w:spacing w:val="-2"/>
        </w:rPr>
        <w:t> </w:t>
      </w:r>
      <w:r>
        <w:rPr/>
        <w:t>to</w:t>
      </w:r>
      <w:r>
        <w:rPr>
          <w:spacing w:val="-2"/>
        </w:rPr>
        <w:t> </w:t>
      </w:r>
      <w:r>
        <w:rPr/>
        <w:t>submit</w:t>
      </w:r>
      <w:r>
        <w:rPr>
          <w:spacing w:val="-1"/>
        </w:rPr>
        <w:t> </w:t>
      </w:r>
      <w:r>
        <w:rPr/>
        <w:t>a</w:t>
      </w:r>
      <w:r>
        <w:rPr>
          <w:spacing w:val="-2"/>
        </w:rPr>
        <w:t> </w:t>
      </w:r>
      <w:r>
        <w:rPr/>
        <w:t>complaint</w:t>
      </w:r>
      <w:r>
        <w:rPr>
          <w:spacing w:val="-1"/>
        </w:rPr>
        <w:t> </w:t>
      </w:r>
      <w:r>
        <w:rPr/>
        <w:t>regarding</w:t>
      </w:r>
      <w:r>
        <w:rPr>
          <w:spacing w:val="-5"/>
        </w:rPr>
        <w:t> </w:t>
      </w:r>
      <w:r>
        <w:rPr/>
        <w:t>the</w:t>
      </w:r>
      <w:r>
        <w:rPr>
          <w:spacing w:val="-2"/>
        </w:rPr>
        <w:t> </w:t>
      </w:r>
      <w:r>
        <w:rPr/>
        <w:t>collection and use</w:t>
      </w:r>
      <w:r>
        <w:rPr>
          <w:spacing w:val="-2"/>
        </w:rPr>
        <w:t> </w:t>
      </w:r>
      <w:r>
        <w:rPr/>
        <w:t>of</w:t>
      </w:r>
      <w:r>
        <w:rPr>
          <w:spacing w:val="-2"/>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2"/>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pict>
          <v:rect style="position:absolute;margin-left:519.580017pt;margin-top:11.469526pt;width:5.16pt;height:.48001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9"/>
        <w:rPr>
          <w:sz w:val="21"/>
        </w:rPr>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6"/>
        <w:jc w:val="both"/>
      </w:pPr>
      <w:r>
        <w:rPr/>
        <w:pict>
          <v:rect style="position:absolute;margin-left:230.330002pt;margin-top:24.18955pt;width:3.72pt;height:.47998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799"/>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2"/>
        </w:rPr>
        <w:t> </w:t>
      </w:r>
      <w:r>
        <w:rPr/>
        <w:t>from</w:t>
      </w:r>
      <w:r>
        <w:rPr>
          <w:spacing w:val="-7"/>
        </w:rPr>
        <w:t> </w:t>
      </w:r>
      <w:r>
        <w:rPr/>
        <w:t>third</w:t>
      </w:r>
      <w:r>
        <w:rPr>
          <w:spacing w:val="-5"/>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2"/>
        </w:rPr>
        <w:t> </w:t>
      </w:r>
      <w:r>
        <w:rPr/>
        <w:t>used</w:t>
      </w:r>
      <w:r>
        <w:rPr>
          <w:spacing w:val="-5"/>
        </w:rPr>
        <w:t> </w:t>
      </w:r>
      <w:r>
        <w:rPr/>
        <w:t>for</w:t>
      </w:r>
      <w:r>
        <w:rPr>
          <w:spacing w:val="1"/>
        </w:rPr>
        <w:t> </w:t>
      </w:r>
      <w:r>
        <w:rPr/>
        <w:t>security</w:t>
      </w:r>
      <w:r>
        <w:rPr>
          <w:spacing w:val="-4"/>
        </w:rPr>
        <w:t> </w:t>
      </w:r>
      <w:r>
        <w:rPr>
          <w:spacing w:val="-2"/>
        </w:rPr>
        <w:t>checks.</w:t>
      </w:r>
    </w:p>
    <w:sectPr>
      <w:pgSz w:w="11910" w:h="16840"/>
      <w:pgMar w:header="0" w:footer="690" w:top="132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45376"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919"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1" w:hanging="473"/>
      </w:pPr>
      <w:rPr>
        <w:rFonts w:hint="default"/>
        <w:lang w:val="en-US" w:eastAsia="en-US" w:bidi="ar-SA"/>
      </w:rPr>
    </w:lvl>
    <w:lvl w:ilvl="6">
      <w:start w:val="0"/>
      <w:numFmt w:val="bullet"/>
      <w:lvlText w:val="•"/>
      <w:lvlJc w:val="left"/>
      <w:pPr>
        <w:ind w:left="2217" w:hanging="473"/>
      </w:pPr>
      <w:rPr>
        <w:rFonts w:hint="default"/>
        <w:lang w:val="en-US" w:eastAsia="en-US" w:bidi="ar-SA"/>
      </w:rPr>
    </w:lvl>
    <w:lvl w:ilvl="7">
      <w:start w:val="0"/>
      <w:numFmt w:val="bullet"/>
      <w:lvlText w:val="•"/>
      <w:lvlJc w:val="left"/>
      <w:pPr>
        <w:ind w:left="2433" w:hanging="473"/>
      </w:pPr>
      <w:rPr>
        <w:rFonts w:hint="default"/>
        <w:lang w:val="en-US" w:eastAsia="en-US" w:bidi="ar-SA"/>
      </w:rPr>
    </w:lvl>
    <w:lvl w:ilvl="8">
      <w:start w:val="0"/>
      <w:numFmt w:val="bullet"/>
      <w:lvlText w:val="•"/>
      <w:lvlJc w:val="left"/>
      <w:pPr>
        <w:ind w:left="2649"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2" w:hanging="361"/>
      </w:pPr>
      <w:rPr>
        <w:rFonts w:hint="default" w:ascii="Verdana" w:hAnsi="Verdana" w:eastAsia="Verdana" w:cs="Verdana"/>
        <w:b w:val="0"/>
        <w:bCs w:val="0"/>
        <w:i w:val="0"/>
        <w:iCs w:val="0"/>
        <w:w w:val="100"/>
        <w:sz w:val="22"/>
        <w:szCs w:val="22"/>
        <w:lang w:val="en-US" w:eastAsia="en-US" w:bidi="ar-SA"/>
      </w:rPr>
    </w:lvl>
    <w:lvl w:ilvl="2">
      <w:start w:val="0"/>
      <w:numFmt w:val="bullet"/>
      <w:lvlText w:val="-"/>
      <w:lvlJc w:val="left"/>
      <w:pPr>
        <w:ind w:left="1519" w:hanging="360"/>
      </w:pPr>
      <w:rPr>
        <w:rFonts w:hint="default" w:ascii="Verdana" w:hAnsi="Verdana" w:eastAsia="Verdana" w:cs="Verdana"/>
        <w:b w:val="0"/>
        <w:bCs w:val="0"/>
        <w:i w:val="0"/>
        <w:iCs w:val="0"/>
        <w:w w:val="100"/>
        <w:sz w:val="22"/>
        <w:szCs w:val="22"/>
        <w:lang w:val="en-US" w:eastAsia="en-US" w:bidi="ar-SA"/>
      </w:rPr>
    </w:lvl>
    <w:lvl w:ilvl="3">
      <w:start w:val="0"/>
      <w:numFmt w:val="bullet"/>
      <w:lvlText w:val="•"/>
      <w:lvlJc w:val="left"/>
      <w:pPr>
        <w:ind w:left="2665" w:hanging="360"/>
      </w:pPr>
      <w:rPr>
        <w:rFonts w:hint="default"/>
        <w:lang w:val="en-US" w:eastAsia="en-US" w:bidi="ar-SA"/>
      </w:rPr>
    </w:lvl>
    <w:lvl w:ilvl="4">
      <w:start w:val="0"/>
      <w:numFmt w:val="bullet"/>
      <w:lvlText w:val="•"/>
      <w:lvlJc w:val="left"/>
      <w:pPr>
        <w:ind w:left="3811" w:hanging="360"/>
      </w:pPr>
      <w:rPr>
        <w:rFonts w:hint="default"/>
        <w:lang w:val="en-US" w:eastAsia="en-US" w:bidi="ar-SA"/>
      </w:rPr>
    </w:lvl>
    <w:lvl w:ilvl="5">
      <w:start w:val="0"/>
      <w:numFmt w:val="bullet"/>
      <w:lvlText w:val="•"/>
      <w:lvlJc w:val="left"/>
      <w:pPr>
        <w:ind w:left="4957" w:hanging="360"/>
      </w:pPr>
      <w:rPr>
        <w:rFonts w:hint="default"/>
        <w:lang w:val="en-US" w:eastAsia="en-US" w:bidi="ar-SA"/>
      </w:rPr>
    </w:lvl>
    <w:lvl w:ilvl="6">
      <w:start w:val="0"/>
      <w:numFmt w:val="bullet"/>
      <w:lvlText w:val="•"/>
      <w:lvlJc w:val="left"/>
      <w:pPr>
        <w:ind w:left="6103" w:hanging="360"/>
      </w:pPr>
      <w:rPr>
        <w:rFonts w:hint="default"/>
        <w:lang w:val="en-US" w:eastAsia="en-US" w:bidi="ar-SA"/>
      </w:rPr>
    </w:lvl>
    <w:lvl w:ilvl="7">
      <w:start w:val="0"/>
      <w:numFmt w:val="bullet"/>
      <w:lvlText w:val="•"/>
      <w:lvlJc w:val="left"/>
      <w:pPr>
        <w:ind w:left="7249" w:hanging="360"/>
      </w:pPr>
      <w:rPr>
        <w:rFonts w:hint="default"/>
        <w:lang w:val="en-US" w:eastAsia="en-US" w:bidi="ar-SA"/>
      </w:rPr>
    </w:lvl>
    <w:lvl w:ilvl="8">
      <w:start w:val="0"/>
      <w:numFmt w:val="bullet"/>
      <w:lvlText w:val="•"/>
      <w:lvlJc w:val="left"/>
      <w:pPr>
        <w:ind w:left="8394" w:hanging="360"/>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Olivier.Luyckx@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2023-02-16T16:50:25Z</dcterms:created>
  <dcterms:modified xsi:type="dcterms:W3CDTF">2023-02-16T16:50:25Z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2023-02-16T00:00:00Z</vt:filetime>
  </property>
</Properties>
</file>