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7" w:firstLine="0"/>
        <w:jc w:val="center"/>
        <w:rPr>
          <w:b/>
          <w:sz w:val="24"/>
        </w:rPr>
      </w:pPr>
      <w:r>
        <w:rPr>
          <w:b/>
          <w:spacing w:val="-2"/>
          <w:sz w:val="24"/>
        </w:rPr>
        <w:t>VACANCY</w:t>
      </w:r>
      <w:r>
        <w:rPr>
          <w:b/>
          <w:spacing w:val="-3"/>
          <w:sz w:val="24"/>
        </w:rPr>
        <w:t> </w:t>
      </w:r>
      <w:r>
        <w:rPr>
          <w:b/>
          <w:spacing w:val="-2"/>
          <w:sz w:val="24"/>
        </w:rPr>
        <w:t>NOTICE</w:t>
      </w:r>
    </w:p>
    <w:p>
      <w:pPr>
        <w:pStyle w:val="BodyText"/>
        <w:spacing w:before="11"/>
        <w:rPr>
          <w:b/>
          <w:sz w:val="23"/>
        </w:rPr>
      </w:pPr>
    </w:p>
    <w:p>
      <w:pPr>
        <w:spacing w:before="0"/>
        <w:ind w:left="1296" w:right="1632" w:firstLine="0"/>
        <w:jc w:val="center"/>
        <w:rPr>
          <w:b/>
          <w:sz w:val="24"/>
        </w:rPr>
      </w:pPr>
      <w:r>
        <w:rPr>
          <w:b/>
          <w:sz w:val="24"/>
        </w:rPr>
        <w:t>SECONDED</w:t>
      </w:r>
      <w:r>
        <w:rPr>
          <w:b/>
          <w:spacing w:val="-8"/>
          <w:sz w:val="24"/>
        </w:rPr>
        <w:t> </w:t>
      </w:r>
      <w:r>
        <w:rPr>
          <w:b/>
          <w:sz w:val="24"/>
        </w:rPr>
        <w:t>NATIONAL</w:t>
      </w:r>
      <w:r>
        <w:rPr>
          <w:b/>
          <w:spacing w:val="-7"/>
          <w:sz w:val="24"/>
        </w:rPr>
        <w:t> </w:t>
      </w:r>
      <w:r>
        <w:rPr>
          <w:b/>
          <w:sz w:val="24"/>
        </w:rPr>
        <w:t>EXPERT</w:t>
      </w:r>
      <w:r>
        <w:rPr>
          <w:b/>
          <w:spacing w:val="-7"/>
          <w:sz w:val="24"/>
        </w:rPr>
        <w:t> </w:t>
      </w:r>
      <w:r>
        <w:rPr>
          <w:b/>
          <w:sz w:val="24"/>
        </w:rPr>
        <w:t>TO</w:t>
      </w:r>
      <w:r>
        <w:rPr>
          <w:b/>
          <w:spacing w:val="-8"/>
          <w:sz w:val="24"/>
        </w:rPr>
        <w:t> </w:t>
      </w:r>
      <w:r>
        <w:rPr>
          <w:b/>
          <w:sz w:val="24"/>
        </w:rPr>
        <w:t>THE</w:t>
      </w:r>
      <w:r>
        <w:rPr>
          <w:b/>
          <w:spacing w:val="-9"/>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7"/>
              <w:rPr>
                <w:sz w:val="22"/>
              </w:rPr>
            </w:pPr>
            <w:r>
              <w:rPr>
                <w:b/>
                <w:sz w:val="24"/>
              </w:rPr>
              <w:t>JUST.DDG.B.2</w:t>
            </w:r>
            <w:r>
              <w:rPr>
                <w:b/>
                <w:spacing w:val="50"/>
                <w:sz w:val="24"/>
              </w:rPr>
              <w:t> </w:t>
            </w:r>
            <w:r>
              <w:rPr>
                <w:sz w:val="22"/>
              </w:rPr>
              <w:t>(JUST.DDG.A.5</w:t>
            </w:r>
            <w:r>
              <w:rPr>
                <w:spacing w:val="-4"/>
                <w:sz w:val="22"/>
              </w:rPr>
              <w:t> </w:t>
            </w:r>
            <w:r>
              <w:rPr>
                <w:sz w:val="22"/>
              </w:rPr>
              <w:t>on</w:t>
            </w:r>
            <w:r>
              <w:rPr>
                <w:spacing w:val="-4"/>
                <w:sz w:val="22"/>
              </w:rPr>
              <w:t> </w:t>
            </w:r>
            <w:r>
              <w:rPr>
                <w:sz w:val="22"/>
              </w:rPr>
              <w:t>1</w:t>
            </w:r>
            <w:r>
              <w:rPr>
                <w:spacing w:val="-5"/>
                <w:sz w:val="22"/>
              </w:rPr>
              <w:t> </w:t>
            </w:r>
            <w:r>
              <w:rPr>
                <w:sz w:val="22"/>
              </w:rPr>
              <w:t>March</w:t>
            </w:r>
            <w:r>
              <w:rPr>
                <w:spacing w:val="-4"/>
                <w:sz w:val="22"/>
              </w:rPr>
              <w:t> </w:t>
            </w:r>
            <w:r>
              <w:rPr>
                <w:spacing w:val="-2"/>
                <w:sz w:val="22"/>
              </w:rPr>
              <w:t>2023)</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rPr>
                <w:b/>
                <w:sz w:val="24"/>
              </w:rPr>
            </w:pPr>
            <w:r>
              <w:rPr>
                <w:b/>
                <w:sz w:val="24"/>
              </w:rPr>
              <w:t>Despina VASSILIADOU </w:t>
            </w:r>
            <w:hyperlink r:id="rId7">
              <w:r>
                <w:rPr>
                  <w:b/>
                  <w:spacing w:val="-2"/>
                  <w:sz w:val="24"/>
                </w:rPr>
                <w:t>Despina.Vassiliadou@ec.europa.eu</w:t>
              </w:r>
            </w:hyperlink>
          </w:p>
          <w:p>
            <w:pPr>
              <w:pStyle w:val="TableParagraph"/>
              <w:spacing w:line="274" w:lineRule="exact"/>
              <w:rPr>
                <w:b/>
                <w:sz w:val="24"/>
              </w:rPr>
            </w:pPr>
            <w:r>
              <w:rPr>
                <w:b/>
                <w:sz w:val="24"/>
              </w:rPr>
              <w:t>+32 2 29 </w:t>
            </w:r>
            <w:r>
              <w:rPr>
                <w:b/>
                <w:spacing w:val="-2"/>
                <w:sz w:val="24"/>
              </w:rPr>
              <w:t>99763</w:t>
            </w:r>
          </w:p>
          <w:p>
            <w:pPr>
              <w:pStyle w:val="TableParagraph"/>
              <w:spacing w:line="274" w:lineRule="exact"/>
              <w:rPr>
                <w:sz w:val="24"/>
              </w:rPr>
            </w:pPr>
            <w:r>
              <w:rPr>
                <w:sz w:val="24"/>
              </w:rPr>
              <w:t>1</w:t>
            </w:r>
          </w:p>
          <w:p>
            <w:pPr>
              <w:pStyle w:val="TableParagraph"/>
              <w:spacing w:before="3"/>
              <w:rPr>
                <w:b/>
                <w:sz w:val="22"/>
              </w:rPr>
            </w:pPr>
            <w:r>
              <w:rPr>
                <w:b/>
                <w:sz w:val="22"/>
              </w:rPr>
              <w:t>2</w:t>
            </w:r>
            <w:r>
              <w:rPr>
                <w:b/>
                <w:sz w:val="22"/>
                <w:vertAlign w:val="superscript"/>
              </w:rPr>
              <w:t>nd</w:t>
            </w:r>
            <w:r>
              <w:rPr>
                <w:b/>
                <w:spacing w:val="-4"/>
                <w:sz w:val="22"/>
                <w:vertAlign w:val="baseline"/>
              </w:rPr>
              <w:t> </w:t>
            </w:r>
            <w:r>
              <w:rPr>
                <w:b/>
                <w:sz w:val="22"/>
                <w:vertAlign w:val="baseline"/>
              </w:rPr>
              <w:t>quarter</w:t>
            </w:r>
            <w:r>
              <w:rPr>
                <w:b/>
                <w:spacing w:val="-2"/>
                <w:sz w:val="22"/>
                <w:vertAlign w:val="baseline"/>
              </w:rPr>
              <w:t> </w:t>
            </w:r>
            <w:r>
              <w:rPr>
                <w:b/>
                <w:sz w:val="22"/>
                <w:vertAlign w:val="baseline"/>
              </w:rPr>
              <w:t>2023</w:t>
            </w:r>
            <w:r>
              <w:rPr>
                <w:b/>
                <w:spacing w:val="-5"/>
                <w:sz w:val="22"/>
                <w:vertAlign w:val="baseline"/>
              </w:rPr>
              <w:t> </w:t>
            </w:r>
            <w:r>
              <w:rPr>
                <w:b/>
                <w:spacing w:val="-10"/>
                <w:sz w:val="22"/>
                <w:vertAlign w:val="superscript"/>
              </w:rPr>
              <w:t>1</w:t>
            </w:r>
          </w:p>
          <w:p>
            <w:pPr>
              <w:pStyle w:val="TableParagraph"/>
              <w:spacing w:before="1"/>
              <w:rPr>
                <w:b/>
                <w:sz w:val="22"/>
              </w:rPr>
            </w:pPr>
            <w:r>
              <w:rPr>
                <w:b/>
                <w:sz w:val="22"/>
              </w:rPr>
              <w:t>2 </w:t>
            </w:r>
            <w:r>
              <w:rPr>
                <w:b/>
                <w:spacing w:val="-2"/>
                <w:sz w:val="22"/>
              </w:rPr>
              <w:t>year(s</w:t>
            </w:r>
            <w:r>
              <w:rPr>
                <w:b/>
                <w:spacing w:val="-2"/>
                <w:sz w:val="22"/>
                <w:vertAlign w:val="superscript"/>
              </w:rPr>
              <w:t>)1</w:t>
            </w:r>
          </w:p>
          <w:p>
            <w:pPr>
              <w:pStyle w:val="TableParagraph"/>
              <w:numPr>
                <w:ilvl w:val="0"/>
                <w:numId w:val="1"/>
              </w:numPr>
              <w:tabs>
                <w:tab w:pos="375" w:val="left" w:leader="none"/>
              </w:tabs>
              <w:spacing w:line="240" w:lineRule="auto" w:before="1" w:after="0"/>
              <w:ind w:left="374" w:right="0" w:hanging="270"/>
              <w:jc w:val="left"/>
              <w:rPr>
                <w:b/>
                <w:sz w:val="22"/>
              </w:rPr>
            </w:pPr>
            <w:r>
              <w:rPr>
                <w:b/>
                <w:sz w:val="22"/>
              </w:rPr>
              <w:t>Brussels</w:t>
            </w:r>
            <w:r>
              <w:rPr>
                <w:b/>
                <w:spacing w:val="51"/>
                <w:sz w:val="22"/>
              </w:rPr>
              <w:t> </w:t>
            </w:r>
            <w:r>
              <w:rPr>
                <w:rFonts w:ascii="Wingdings 2" w:hAnsi="Wingdings 2"/>
                <w:sz w:val="22"/>
              </w:rPr>
              <w:t></w:t>
            </w:r>
            <w:r>
              <w:rPr>
                <w:spacing w:val="-2"/>
                <w:sz w:val="22"/>
              </w:rPr>
              <w:t> </w:t>
            </w:r>
            <w:r>
              <w:rPr>
                <w:b/>
                <w:sz w:val="22"/>
              </w:rPr>
              <w:t>Luxemburg</w:t>
            </w:r>
            <w:r>
              <w:rPr>
                <w:b/>
                <w:spacing w:val="50"/>
                <w:sz w:val="22"/>
              </w:rPr>
              <w:t> </w:t>
            </w:r>
            <w:r>
              <w:rPr>
                <w:rFonts w:ascii="Wingdings 2" w:hAnsi="Wingdings 2"/>
                <w:sz w:val="22"/>
              </w:rPr>
              <w:t></w:t>
            </w:r>
            <w:r>
              <w:rPr>
                <w:spacing w:val="-2"/>
                <w:sz w:val="22"/>
              </w:rPr>
              <w:t> </w:t>
            </w:r>
            <w:r>
              <w:rPr>
                <w:b/>
                <w:sz w:val="22"/>
              </w:rPr>
              <w:t>Other:</w:t>
            </w:r>
            <w:r>
              <w:rPr>
                <w:b/>
                <w:spacing w:val="-2"/>
                <w:sz w:val="22"/>
              </w:rPr>
              <w:t> ……………..</w:t>
            </w:r>
          </w:p>
        </w:tc>
      </w:tr>
      <w:tr>
        <w:trPr>
          <w:trHeight w:val="544" w:hRule="atLeast"/>
        </w:trPr>
        <w:tc>
          <w:tcPr>
            <w:tcW w:w="4359" w:type="dxa"/>
            <w:vMerge/>
            <w:tcBorders>
              <w:top w:val="nil"/>
            </w:tcBorders>
          </w:tcPr>
          <w:p>
            <w:pPr>
              <w:rPr>
                <w:sz w:val="2"/>
                <w:szCs w:val="2"/>
              </w:rPr>
            </w:pPr>
          </w:p>
        </w:tc>
        <w:tc>
          <w:tcPr>
            <w:tcW w:w="5597" w:type="dxa"/>
          </w:tcPr>
          <w:p>
            <w:pPr>
              <w:pStyle w:val="TableParagraph"/>
              <w:numPr>
                <w:ilvl w:val="0"/>
                <w:numId w:val="2"/>
              </w:numPr>
              <w:tabs>
                <w:tab w:pos="542" w:val="left" w:leader="none"/>
                <w:tab w:pos="543" w:val="left" w:leader="none"/>
                <w:tab w:pos="2969" w:val="left" w:leader="none"/>
                <w:tab w:pos="3442" w:val="left" w:leader="none"/>
              </w:tabs>
              <w:spacing w:line="240" w:lineRule="auto" w:before="139" w:after="0"/>
              <w:ind w:left="542" w:right="0" w:hanging="438"/>
              <w:jc w:val="left"/>
              <w:rPr>
                <w:b/>
                <w:sz w:val="22"/>
              </w:rPr>
            </w:pPr>
            <w:r>
              <w:rPr>
                <w:b/>
                <w:sz w:val="22"/>
              </w:rPr>
              <w:t>With</w:t>
            </w:r>
            <w:r>
              <w:rPr>
                <w:b/>
                <w:spacing w:val="-6"/>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3"/>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3"/>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1"/>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right="117"/>
      </w:pPr>
      <w:r>
        <w:rPr/>
        <w:t>Helping</w:t>
      </w:r>
      <w:r>
        <w:rPr>
          <w:spacing w:val="-5"/>
        </w:rPr>
        <w:t> </w:t>
      </w:r>
      <w:r>
        <w:rPr/>
        <w:t>to</w:t>
      </w:r>
      <w:r>
        <w:rPr>
          <w:spacing w:val="-5"/>
        </w:rPr>
        <w:t> </w:t>
      </w:r>
      <w:r>
        <w:rPr/>
        <w:t>coordinate,</w:t>
      </w:r>
      <w:r>
        <w:rPr>
          <w:spacing w:val="-2"/>
        </w:rPr>
        <w:t> </w:t>
      </w:r>
      <w:r>
        <w:rPr/>
        <w:t>define</w:t>
      </w:r>
      <w:r>
        <w:rPr>
          <w:spacing w:val="-2"/>
        </w:rPr>
        <w:t> </w:t>
      </w:r>
      <w:r>
        <w:rPr/>
        <w:t>and</w:t>
      </w:r>
      <w:r>
        <w:rPr>
          <w:spacing w:val="-5"/>
        </w:rPr>
        <w:t> </w:t>
      </w:r>
      <w:r>
        <w:rPr/>
        <w:t>implement</w:t>
      </w:r>
      <w:r>
        <w:rPr>
          <w:spacing w:val="-1"/>
        </w:rPr>
        <w:t> </w:t>
      </w:r>
      <w:r>
        <w:rPr/>
        <w:t>Union</w:t>
      </w:r>
      <w:r>
        <w:rPr>
          <w:spacing w:val="-2"/>
        </w:rPr>
        <w:t> </w:t>
      </w:r>
      <w:r>
        <w:rPr/>
        <w:t>policies</w:t>
      </w:r>
      <w:r>
        <w:rPr>
          <w:spacing w:val="-2"/>
        </w:rPr>
        <w:t> </w:t>
      </w:r>
      <w:r>
        <w:rPr/>
        <w:t>in</w:t>
      </w:r>
      <w:r>
        <w:rPr>
          <w:spacing w:val="-5"/>
        </w:rPr>
        <w:t> </w:t>
      </w:r>
      <w:r>
        <w:rPr/>
        <w:t>the</w:t>
      </w:r>
      <w:r>
        <w:rPr>
          <w:spacing w:val="-4"/>
        </w:rPr>
        <w:t> </w:t>
      </w:r>
      <w:r>
        <w:rPr/>
        <w:t>area of</w:t>
      </w:r>
      <w:r>
        <w:rPr>
          <w:spacing w:val="-1"/>
        </w:rPr>
        <w:t> </w:t>
      </w:r>
      <w:r>
        <w:rPr/>
        <w:t>victims’</w:t>
      </w:r>
      <w:r>
        <w:rPr>
          <w:spacing w:val="-1"/>
        </w:rPr>
        <w:t> </w:t>
      </w:r>
      <w:r>
        <w:rPr/>
        <w:t>rights</w:t>
      </w:r>
      <w:r>
        <w:rPr>
          <w:spacing w:val="-4"/>
        </w:rPr>
        <w:t> </w:t>
      </w:r>
      <w:r>
        <w:rPr/>
        <w:t>as</w:t>
      </w:r>
      <w:r>
        <w:rPr>
          <w:spacing w:val="-2"/>
        </w:rPr>
        <w:t> </w:t>
      </w:r>
      <w:r>
        <w:rPr/>
        <w:t>well</w:t>
      </w:r>
      <w:r>
        <w:rPr>
          <w:spacing w:val="-4"/>
        </w:rPr>
        <w:t> </w:t>
      </w:r>
      <w:r>
        <w:rPr/>
        <w:t>as</w:t>
      </w:r>
      <w:r>
        <w:rPr>
          <w:spacing w:val="-1"/>
        </w:rPr>
        <w:t> </w:t>
      </w:r>
      <w:r>
        <w:rPr/>
        <w:t>judicial cooperation in criminal matters and criminal procedural rights.</w:t>
      </w:r>
    </w:p>
    <w:p>
      <w:pPr>
        <w:pStyle w:val="BodyText"/>
        <w:spacing w:before="11"/>
        <w:rPr>
          <w:sz w:val="21"/>
        </w:rPr>
      </w:pPr>
    </w:p>
    <w:p>
      <w:pPr>
        <w:pStyle w:val="BodyText"/>
        <w:ind w:left="372" w:right="117"/>
      </w:pPr>
      <w:r>
        <w:rPr/>
        <w:t>Specific duties may include: monitoring the correct application and implementation of European instruments on victims’ rights</w:t>
      </w:r>
      <w:r>
        <w:rPr>
          <w:spacing w:val="40"/>
        </w:rPr>
        <w:t> </w:t>
      </w:r>
      <w:r>
        <w:rPr/>
        <w:t>as well as other instruments for which the Unit is responsible; preparing draft Commission evaluation reports required by these instruments and following up infringement procedures when required, preparing and participating in expert meetings; drafting legislative proposals, preparing consultative documents, participating</w:t>
      </w:r>
      <w:r>
        <w:rPr>
          <w:spacing w:val="-4"/>
        </w:rPr>
        <w:t> </w:t>
      </w:r>
      <w:r>
        <w:rPr/>
        <w:t>in</w:t>
      </w:r>
      <w:r>
        <w:rPr>
          <w:spacing w:val="-1"/>
        </w:rPr>
        <w:t> </w:t>
      </w:r>
      <w:r>
        <w:rPr/>
        <w:t>meetings</w:t>
      </w:r>
      <w:r>
        <w:rPr>
          <w:spacing w:val="-1"/>
        </w:rPr>
        <w:t> </w:t>
      </w:r>
      <w:r>
        <w:rPr/>
        <w:t>of</w:t>
      </w:r>
      <w:r>
        <w:rPr>
          <w:spacing w:val="-2"/>
        </w:rPr>
        <w:t> </w:t>
      </w:r>
      <w:r>
        <w:rPr/>
        <w:t>inter-service</w:t>
      </w:r>
      <w:r>
        <w:rPr>
          <w:spacing w:val="-1"/>
        </w:rPr>
        <w:t> </w:t>
      </w:r>
      <w:r>
        <w:rPr/>
        <w:t>groups</w:t>
      </w:r>
      <w:r>
        <w:rPr>
          <w:spacing w:val="-1"/>
        </w:rPr>
        <w:t> </w:t>
      </w:r>
      <w:r>
        <w:rPr/>
        <w:t>and</w:t>
      </w:r>
      <w:r>
        <w:rPr>
          <w:spacing w:val="-4"/>
        </w:rPr>
        <w:t> </w:t>
      </w:r>
      <w:r>
        <w:rPr/>
        <w:t>evaluating</w:t>
      </w:r>
      <w:r>
        <w:rPr>
          <w:spacing w:val="-4"/>
        </w:rPr>
        <w:t> </w:t>
      </w:r>
      <w:r>
        <w:rPr/>
        <w:t>the</w:t>
      </w:r>
      <w:r>
        <w:rPr>
          <w:spacing w:val="-1"/>
        </w:rPr>
        <w:t> </w:t>
      </w:r>
      <w:r>
        <w:rPr/>
        <w:t>ex-ante</w:t>
      </w:r>
      <w:r>
        <w:rPr>
          <w:spacing w:val="-3"/>
        </w:rPr>
        <w:t> </w:t>
      </w:r>
      <w:r>
        <w:rPr/>
        <w:t>impact</w:t>
      </w:r>
      <w:r>
        <w:rPr>
          <w:spacing w:val="-3"/>
        </w:rPr>
        <w:t> </w:t>
      </w:r>
      <w:r>
        <w:rPr/>
        <w:t>of</w:t>
      </w:r>
      <w:r>
        <w:rPr>
          <w:spacing w:val="-1"/>
        </w:rPr>
        <w:t> </w:t>
      </w:r>
      <w:r>
        <w:rPr/>
        <w:t>the</w:t>
      </w:r>
      <w:r>
        <w:rPr>
          <w:spacing w:val="-1"/>
        </w:rPr>
        <w:t> </w:t>
      </w:r>
      <w:r>
        <w:rPr/>
        <w:t>proposals;</w:t>
      </w:r>
      <w:r>
        <w:rPr>
          <w:spacing w:val="-3"/>
        </w:rPr>
        <w:t> </w:t>
      </w:r>
      <w:r>
        <w:rPr/>
        <w:t>taking</w:t>
      </w:r>
      <w:r>
        <w:rPr>
          <w:spacing w:val="-4"/>
        </w:rPr>
        <w:t> </w:t>
      </w:r>
      <w:r>
        <w:rPr/>
        <w:t>part in the negotiations on</w:t>
      </w:r>
      <w:r>
        <w:rPr>
          <w:spacing w:val="-2"/>
        </w:rPr>
        <w:t> </w:t>
      </w:r>
      <w:r>
        <w:rPr/>
        <w:t>the</w:t>
      </w:r>
      <w:r>
        <w:rPr>
          <w:spacing w:val="-2"/>
        </w:rPr>
        <w:t> </w:t>
      </w:r>
      <w:r>
        <w:rPr/>
        <w:t>proposals;</w:t>
      </w:r>
      <w:r>
        <w:rPr>
          <w:spacing w:val="-1"/>
        </w:rPr>
        <w:t> </w:t>
      </w:r>
      <w:r>
        <w:rPr/>
        <w:t>attending</w:t>
      </w:r>
      <w:r>
        <w:rPr>
          <w:spacing w:val="-3"/>
        </w:rPr>
        <w:t> </w:t>
      </w:r>
      <w:r>
        <w:rPr/>
        <w:t>European and international working</w:t>
      </w:r>
      <w:r>
        <w:rPr>
          <w:spacing w:val="-1"/>
        </w:rPr>
        <w:t> </w:t>
      </w:r>
      <w:r>
        <w:rPr/>
        <w:t>meetings and conferences</w:t>
      </w:r>
      <w:r>
        <w:rPr>
          <w:spacing w:val="-2"/>
        </w:rPr>
        <w:t> </w:t>
      </w:r>
      <w:r>
        <w:rPr/>
        <w:t>on</w:t>
      </w:r>
      <w:r>
        <w:rPr>
          <w:spacing w:val="-3"/>
        </w:rPr>
        <w:t> </w:t>
      </w:r>
      <w:r>
        <w:rPr/>
        <w:t>the instruments; replying</w:t>
      </w:r>
      <w:r>
        <w:rPr>
          <w:spacing w:val="-3"/>
        </w:rPr>
        <w:t> </w:t>
      </w:r>
      <w:r>
        <w:rPr/>
        <w:t>to</w:t>
      </w:r>
      <w:r>
        <w:rPr>
          <w:spacing w:val="-3"/>
        </w:rPr>
        <w:t> </w:t>
      </w:r>
      <w:r>
        <w:rPr/>
        <w:t>inter-service consultations and</w:t>
      </w:r>
      <w:r>
        <w:rPr>
          <w:spacing w:val="-3"/>
        </w:rPr>
        <w:t> </w:t>
      </w:r>
      <w:r>
        <w:rPr/>
        <w:t>preparing</w:t>
      </w:r>
      <w:r>
        <w:rPr>
          <w:spacing w:val="-3"/>
        </w:rPr>
        <w:t> </w:t>
      </w:r>
      <w:r>
        <w:rPr/>
        <w:t>the Commission’s briefings for</w:t>
      </w:r>
      <w:r>
        <w:rPr>
          <w:spacing w:val="-2"/>
        </w:rPr>
        <w:t> </w:t>
      </w:r>
      <w:r>
        <w:rPr/>
        <w:t>the Council</w:t>
      </w:r>
      <w:r>
        <w:rPr>
          <w:spacing w:val="-2"/>
        </w:rPr>
        <w:t> </w:t>
      </w:r>
      <w:r>
        <w:rPr/>
        <w:t>and the EP or for other bilateral or multilateral meetings; preparing Commission’s replies to written or oral parliamentary questions and to citizens' letters, ensuring good cooperation with the stakeholders in the field, </w:t>
      </w:r>
      <w:r>
        <w:rPr>
          <w:spacing w:val="-2"/>
        </w:rPr>
        <w:t>including.</w:t>
      </w:r>
    </w:p>
    <w:p>
      <w:pPr>
        <w:pStyle w:val="BodyText"/>
        <w:spacing w:before="11"/>
        <w:rPr>
          <w:sz w:val="21"/>
        </w:rPr>
      </w:pPr>
    </w:p>
    <w:p>
      <w:pPr>
        <w:pStyle w:val="BodyText"/>
        <w:ind w:left="372"/>
      </w:pPr>
      <w:r>
        <w:rPr/>
        <w:t>The</w:t>
      </w:r>
      <w:r>
        <w:rPr>
          <w:spacing w:val="-7"/>
        </w:rPr>
        <w:t> </w:t>
      </w:r>
      <w:r>
        <w:rPr/>
        <w:t>national</w:t>
      </w:r>
      <w:r>
        <w:rPr>
          <w:spacing w:val="-5"/>
        </w:rPr>
        <w:t> </w:t>
      </w:r>
      <w:r>
        <w:rPr/>
        <w:t>expert</w:t>
      </w:r>
      <w:r>
        <w:rPr>
          <w:spacing w:val="-1"/>
        </w:rPr>
        <w:t> </w:t>
      </w:r>
      <w:r>
        <w:rPr/>
        <w:t>will</w:t>
      </w:r>
      <w:r>
        <w:rPr>
          <w:spacing w:val="-2"/>
        </w:rPr>
        <w:t> </w:t>
      </w:r>
      <w:r>
        <w:rPr/>
        <w:t>work</w:t>
      </w:r>
      <w:r>
        <w:rPr>
          <w:spacing w:val="-6"/>
        </w:rPr>
        <w:t> </w:t>
      </w:r>
      <w:r>
        <w:rPr/>
        <w:t>under</w:t>
      </w:r>
      <w:r>
        <w:rPr>
          <w:spacing w:val="-4"/>
        </w:rPr>
        <w:t> </w:t>
      </w:r>
      <w:r>
        <w:rPr/>
        <w:t>the</w:t>
      </w:r>
      <w:r>
        <w:rPr>
          <w:spacing w:val="-3"/>
        </w:rPr>
        <w:t> </w:t>
      </w:r>
      <w:r>
        <w:rPr/>
        <w:t>supervision</w:t>
      </w:r>
      <w:r>
        <w:rPr>
          <w:spacing w:val="-6"/>
        </w:rPr>
        <w:t> </w:t>
      </w:r>
      <w:r>
        <w:rPr/>
        <w:t>of</w:t>
      </w:r>
      <w:r>
        <w:rPr>
          <w:spacing w:val="-4"/>
        </w:rPr>
        <w:t> </w:t>
      </w:r>
      <w:r>
        <w:rPr/>
        <w:t>a</w:t>
      </w:r>
      <w:r>
        <w:rPr>
          <w:spacing w:val="-3"/>
        </w:rPr>
        <w:t> </w:t>
      </w:r>
      <w:r>
        <w:rPr/>
        <w:t>Commission</w:t>
      </w:r>
      <w:r>
        <w:rPr>
          <w:spacing w:val="-2"/>
        </w:rPr>
        <w:t> official.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r>
        <w:rPr/>
        <w:pict>
          <v:rect style="position:absolute;margin-left:42.599998pt;margin-top:17.749882pt;width:144.020pt;height:.599980pt;mso-position-horizontal-relative:page;mso-position-vertical-relative:paragraph;z-index:-15728640;mso-wrap-distance-left:0;mso-wrap-distance-right:0" id="docshape2" filled="true" fillcolor="#000000" stroked="false">
            <v:fill type="solid"/>
            <w10:wrap type="topAndBottom"/>
          </v:rect>
        </w:pict>
      </w:r>
    </w:p>
    <w:p>
      <w:pPr>
        <w:tabs>
          <w:tab w:pos="1080" w:val="left" w:leader="none"/>
        </w:tabs>
        <w:spacing w:before="101"/>
        <w:ind w:left="372" w:right="0" w:firstLine="0"/>
        <w:jc w:val="left"/>
        <w:rPr>
          <w:sz w:val="20"/>
        </w:rPr>
      </w:pPr>
      <w:r>
        <w:rPr>
          <w:spacing w:val="-10"/>
          <w:sz w:val="20"/>
          <w:vertAlign w:val="superscript"/>
        </w:rPr>
        <w:t>1</w:t>
      </w:r>
      <w:r>
        <w:rPr>
          <w:sz w:val="20"/>
          <w:vertAlign w:val="baseline"/>
        </w:rPr>
        <w:tab/>
        <w:t>These</w:t>
      </w:r>
      <w:r>
        <w:rPr>
          <w:spacing w:val="-2"/>
          <w:sz w:val="20"/>
          <w:vertAlign w:val="baseline"/>
        </w:rPr>
        <w:t> </w:t>
      </w:r>
      <w:r>
        <w:rPr>
          <w:sz w:val="20"/>
          <w:vertAlign w:val="baseline"/>
        </w:rPr>
        <w:t>mentions</w:t>
      </w:r>
      <w:r>
        <w:rPr>
          <w:spacing w:val="-5"/>
          <w:sz w:val="20"/>
          <w:vertAlign w:val="baseline"/>
        </w:rPr>
        <w:t> </w:t>
      </w:r>
      <w:r>
        <w:rPr>
          <w:sz w:val="20"/>
          <w:vertAlign w:val="baseline"/>
        </w:rPr>
        <w:t>are</w:t>
      </w:r>
      <w:r>
        <w:rPr>
          <w:spacing w:val="-4"/>
          <w:sz w:val="20"/>
          <w:vertAlign w:val="baseline"/>
        </w:rPr>
        <w:t> </w:t>
      </w:r>
      <w:r>
        <w:rPr>
          <w:sz w:val="20"/>
          <w:vertAlign w:val="baseline"/>
        </w:rPr>
        <w:t>given</w:t>
      </w:r>
      <w:r>
        <w:rPr>
          <w:spacing w:val="-5"/>
          <w:sz w:val="20"/>
          <w:vertAlign w:val="baseline"/>
        </w:rPr>
        <w:t> </w:t>
      </w:r>
      <w:r>
        <w:rPr>
          <w:sz w:val="20"/>
          <w:vertAlign w:val="baseline"/>
        </w:rPr>
        <w:t>on</w:t>
      </w:r>
      <w:r>
        <w:rPr>
          <w:spacing w:val="-4"/>
          <w:sz w:val="20"/>
          <w:vertAlign w:val="baseline"/>
        </w:rPr>
        <w:t> </w:t>
      </w:r>
      <w:r>
        <w:rPr>
          <w:sz w:val="20"/>
          <w:vertAlign w:val="baseline"/>
        </w:rPr>
        <w:t>an</w:t>
      </w:r>
      <w:r>
        <w:rPr>
          <w:spacing w:val="-5"/>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7"/>
          <w:sz w:val="20"/>
          <w:vertAlign w:val="baseline"/>
        </w:rPr>
        <w:t> </w:t>
      </w:r>
      <w:r>
        <w:rPr>
          <w:sz w:val="20"/>
          <w:vertAlign w:val="baseline"/>
        </w:rPr>
        <w:t>(Art.4 of</w:t>
      </w:r>
      <w:r>
        <w:rPr>
          <w:spacing w:val="-6"/>
          <w:sz w:val="20"/>
          <w:vertAlign w:val="baseline"/>
        </w:rPr>
        <w:t> </w:t>
      </w:r>
      <w:r>
        <w:rPr>
          <w:sz w:val="20"/>
          <w:vertAlign w:val="baseline"/>
        </w:rPr>
        <w:t>the</w:t>
      </w:r>
      <w:r>
        <w:rPr>
          <w:spacing w:val="-4"/>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4"/>
        </w:numPr>
        <w:tabs>
          <w:tab w:pos="799" w:val="left" w:leader="none"/>
          <w:tab w:pos="800" w:val="left" w:leader="none"/>
        </w:tabs>
        <w:spacing w:line="240" w:lineRule="auto" w:before="68"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6"/>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9"/>
        <w:rPr>
          <w:sz w:val="21"/>
        </w:rPr>
      </w:pPr>
    </w:p>
    <w:p>
      <w:pPr>
        <w:pStyle w:val="ListParagraph"/>
        <w:numPr>
          <w:ilvl w:val="2"/>
          <w:numId w:val="4"/>
        </w:numPr>
        <w:tabs>
          <w:tab w:pos="1081" w:val="left" w:leader="none"/>
        </w:tabs>
        <w:spacing w:line="240" w:lineRule="auto" w:before="1"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
      </w:pPr>
    </w:p>
    <w:p>
      <w:pPr>
        <w:pStyle w:val="ListParagraph"/>
        <w:numPr>
          <w:ilvl w:val="2"/>
          <w:numId w:val="4"/>
        </w:numPr>
        <w:tabs>
          <w:tab w:pos="1081" w:val="left" w:leader="none"/>
        </w:tabs>
        <w:spacing w:line="240" w:lineRule="auto" w:before="1" w:after="0"/>
        <w:ind w:left="1080" w:right="114"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2"/>
          <w:numId w:val="4"/>
        </w:numPr>
        <w:tabs>
          <w:tab w:pos="1081" w:val="left" w:leader="none"/>
        </w:tabs>
        <w:spacing w:line="240" w:lineRule="auto" w:before="0" w:after="0"/>
        <w:ind w:left="1080" w:right="110"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1"/>
          <w:numId w:val="4"/>
        </w:numPr>
        <w:tabs>
          <w:tab w:pos="1081" w:val="left" w:leader="none"/>
        </w:tabs>
        <w:spacing w:line="240" w:lineRule="auto" w:before="0" w:after="0"/>
        <w:ind w:left="1080" w:right="0" w:hanging="282"/>
        <w:jc w:val="left"/>
      </w:pPr>
      <w:r>
        <w:rPr>
          <w:u w:val="single"/>
        </w:rPr>
        <w:t>Selection</w:t>
      </w:r>
      <w:r>
        <w:rPr>
          <w:spacing w:val="-5"/>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0"/>
          <w:numId w:val="5"/>
        </w:numPr>
        <w:tabs>
          <w:tab w:pos="1206" w:val="left" w:leader="none"/>
        </w:tabs>
        <w:spacing w:line="252"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5"/>
        </w:numPr>
        <w:tabs>
          <w:tab w:pos="1206" w:val="left" w:leader="none"/>
        </w:tabs>
        <w:spacing w:line="480" w:lineRule="auto" w:before="0" w:after="0"/>
        <w:ind w:left="1190" w:right="3330"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w:t>
      </w:r>
    </w:p>
    <w:p>
      <w:pPr>
        <w:spacing w:before="0"/>
        <w:ind w:left="1080" w:right="0" w:firstLine="0"/>
        <w:jc w:val="left"/>
        <w:rPr>
          <w:sz w:val="20"/>
        </w:rPr>
      </w:pPr>
      <w:r>
        <w:rPr>
          <w:sz w:val="20"/>
        </w:rPr>
        <w:t>University</w:t>
      </w:r>
      <w:r>
        <w:rPr>
          <w:spacing w:val="-7"/>
          <w:sz w:val="20"/>
        </w:rPr>
        <w:t> </w:t>
      </w:r>
      <w:r>
        <w:rPr>
          <w:sz w:val="20"/>
        </w:rPr>
        <w:t>degree</w:t>
      </w:r>
      <w:r>
        <w:rPr>
          <w:spacing w:val="-5"/>
          <w:sz w:val="20"/>
        </w:rPr>
        <w:t> </w:t>
      </w:r>
      <w:r>
        <w:rPr>
          <w:sz w:val="20"/>
        </w:rPr>
        <w:t>in</w:t>
      </w:r>
      <w:r>
        <w:rPr>
          <w:spacing w:val="-7"/>
          <w:sz w:val="20"/>
        </w:rPr>
        <w:t> </w:t>
      </w:r>
      <w:r>
        <w:rPr>
          <w:spacing w:val="-4"/>
          <w:sz w:val="20"/>
        </w:rPr>
        <w:t>law.</w:t>
      </w:r>
    </w:p>
    <w:p>
      <w:pPr>
        <w:pStyle w:val="BodyText"/>
      </w:pPr>
    </w:p>
    <w:p>
      <w:pPr>
        <w:pStyle w:val="BodyText"/>
        <w:ind w:left="1080"/>
      </w:pPr>
      <w:r>
        <w:rPr>
          <w:u w:val="single"/>
        </w:rPr>
        <w:t>Professional</w:t>
      </w:r>
      <w:r>
        <w:rPr>
          <w:spacing w:val="-4"/>
          <w:u w:val="single"/>
        </w:rPr>
        <w:t> </w:t>
      </w:r>
      <w:r>
        <w:rPr>
          <w:spacing w:val="-2"/>
          <w:u w:val="single"/>
        </w:rPr>
        <w:t>experience</w:t>
      </w:r>
    </w:p>
    <w:p>
      <w:pPr>
        <w:pStyle w:val="BodyText"/>
        <w:spacing w:before="4"/>
        <w:rPr>
          <w:sz w:val="14"/>
        </w:rPr>
      </w:pPr>
    </w:p>
    <w:p>
      <w:pPr>
        <w:spacing w:before="91"/>
        <w:ind w:left="1080" w:right="169" w:firstLine="0"/>
        <w:jc w:val="both"/>
        <w:rPr>
          <w:sz w:val="20"/>
        </w:rPr>
      </w:pPr>
      <w:r>
        <w:rPr>
          <w:sz w:val="20"/>
        </w:rPr>
        <w:t>Extensive experience is required in judicial cooperation in criminal matters and national procedural criminal law. Experience and/or expertise on victim rights would be an advantage as well as inter institutional negotiating </w:t>
      </w:r>
      <w:r>
        <w:rPr>
          <w:spacing w:val="-2"/>
          <w:sz w:val="20"/>
        </w:rPr>
        <w:t>experience.</w:t>
      </w: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1"/>
        </w:rPr>
      </w:pPr>
    </w:p>
    <w:p>
      <w:pPr>
        <w:pStyle w:val="BodyText"/>
        <w:ind w:left="1080"/>
        <w:jc w:val="both"/>
      </w:pPr>
      <w:r>
        <w:rPr>
          <w:u w:val="single"/>
        </w:rPr>
        <w:t>Language(s)</w:t>
      </w:r>
      <w:r>
        <w:rPr>
          <w:spacing w:val="-3"/>
          <w:u w:val="single"/>
        </w:rPr>
        <w:t> </w:t>
      </w:r>
      <w:r>
        <w:rPr>
          <w:u w:val="single"/>
        </w:rPr>
        <w:t>necessary</w:t>
      </w:r>
      <w:r>
        <w:rPr>
          <w:spacing w:val="-6"/>
          <w:u w:val="single"/>
        </w:rPr>
        <w:t> </w:t>
      </w:r>
      <w:r>
        <w:rPr>
          <w:u w:val="single"/>
        </w:rPr>
        <w:t>for</w:t>
      </w:r>
      <w:r>
        <w:rPr>
          <w:spacing w:val="-4"/>
          <w:u w:val="single"/>
        </w:rPr>
        <w:t> </w:t>
      </w:r>
      <w:r>
        <w:rPr>
          <w:u w:val="single"/>
        </w:rPr>
        <w:t>the</w:t>
      </w:r>
      <w:r>
        <w:rPr>
          <w:spacing w:val="-3"/>
          <w:u w:val="single"/>
        </w:rPr>
        <w:t> </w:t>
      </w:r>
      <w:r>
        <w:rPr>
          <w:u w:val="single"/>
        </w:rPr>
        <w:t>performance</w:t>
      </w:r>
      <w:r>
        <w:rPr>
          <w:spacing w:val="-4"/>
          <w:u w:val="single"/>
        </w:rPr>
        <w:t> </w:t>
      </w:r>
      <w:r>
        <w:rPr>
          <w:u w:val="single"/>
        </w:rPr>
        <w:t>of</w:t>
      </w:r>
      <w:r>
        <w:rPr>
          <w:spacing w:val="-2"/>
          <w:u w:val="single"/>
        </w:rPr>
        <w:t> duties</w:t>
      </w:r>
    </w:p>
    <w:p>
      <w:pPr>
        <w:pStyle w:val="BodyText"/>
        <w:spacing w:before="4"/>
        <w:rPr>
          <w:sz w:val="14"/>
        </w:rPr>
      </w:pPr>
    </w:p>
    <w:p>
      <w:pPr>
        <w:spacing w:before="91"/>
        <w:ind w:left="1080" w:right="2132" w:firstLine="0"/>
        <w:jc w:val="left"/>
        <w:rPr>
          <w:sz w:val="20"/>
        </w:rPr>
      </w:pPr>
      <w:r>
        <w:rPr>
          <w:sz w:val="20"/>
        </w:rPr>
        <w:t>Very</w:t>
      </w:r>
      <w:r>
        <w:rPr>
          <w:spacing w:val="-7"/>
          <w:sz w:val="20"/>
        </w:rPr>
        <w:t> </w:t>
      </w:r>
      <w:r>
        <w:rPr>
          <w:sz w:val="20"/>
        </w:rPr>
        <w:t>good</w:t>
      </w:r>
      <w:r>
        <w:rPr>
          <w:spacing w:val="-2"/>
          <w:sz w:val="20"/>
        </w:rPr>
        <w:t> </w:t>
      </w:r>
      <w:r>
        <w:rPr>
          <w:sz w:val="20"/>
        </w:rPr>
        <w:t>knowledge</w:t>
      </w:r>
      <w:r>
        <w:rPr>
          <w:spacing w:val="-3"/>
          <w:sz w:val="20"/>
        </w:rPr>
        <w:t> </w:t>
      </w:r>
      <w:r>
        <w:rPr>
          <w:sz w:val="20"/>
        </w:rPr>
        <w:t>of</w:t>
      </w:r>
      <w:r>
        <w:rPr>
          <w:spacing w:val="-5"/>
          <w:sz w:val="20"/>
        </w:rPr>
        <w:t> </w:t>
      </w:r>
      <w:r>
        <w:rPr>
          <w:sz w:val="20"/>
        </w:rPr>
        <w:t>EN. Very</w:t>
      </w:r>
      <w:r>
        <w:rPr>
          <w:spacing w:val="-7"/>
          <w:sz w:val="20"/>
        </w:rPr>
        <w:t> </w:t>
      </w:r>
      <w:r>
        <w:rPr>
          <w:sz w:val="20"/>
        </w:rPr>
        <w:t>good</w:t>
      </w:r>
      <w:r>
        <w:rPr>
          <w:spacing w:val="-1"/>
          <w:sz w:val="20"/>
        </w:rPr>
        <w:t> </w:t>
      </w:r>
      <w:r>
        <w:rPr>
          <w:sz w:val="20"/>
        </w:rPr>
        <w:t>ability</w:t>
      </w:r>
      <w:r>
        <w:rPr>
          <w:spacing w:val="-7"/>
          <w:sz w:val="20"/>
        </w:rPr>
        <w:t> </w:t>
      </w:r>
      <w:r>
        <w:rPr>
          <w:sz w:val="20"/>
        </w:rPr>
        <w:t>to</w:t>
      </w:r>
      <w:r>
        <w:rPr>
          <w:spacing w:val="-2"/>
          <w:sz w:val="20"/>
        </w:rPr>
        <w:t> </w:t>
      </w:r>
      <w:r>
        <w:rPr>
          <w:sz w:val="20"/>
        </w:rPr>
        <w:t>speak</w:t>
      </w:r>
      <w:r>
        <w:rPr>
          <w:spacing w:val="-4"/>
          <w:sz w:val="20"/>
        </w:rPr>
        <w:t> </w:t>
      </w:r>
      <w:r>
        <w:rPr>
          <w:sz w:val="20"/>
        </w:rPr>
        <w:t>and write</w:t>
      </w:r>
      <w:r>
        <w:rPr>
          <w:spacing w:val="-3"/>
          <w:sz w:val="20"/>
        </w:rPr>
        <w:t> </w:t>
      </w:r>
      <w:r>
        <w:rPr>
          <w:sz w:val="20"/>
        </w:rPr>
        <w:t>in</w:t>
      </w:r>
      <w:r>
        <w:rPr>
          <w:spacing w:val="-1"/>
          <w:sz w:val="20"/>
        </w:rPr>
        <w:t> </w:t>
      </w:r>
      <w:r>
        <w:rPr>
          <w:sz w:val="20"/>
        </w:rPr>
        <w:t>EN</w:t>
      </w:r>
      <w:r>
        <w:rPr>
          <w:spacing w:val="-3"/>
          <w:sz w:val="20"/>
        </w:rPr>
        <w:t> </w:t>
      </w:r>
      <w:r>
        <w:rPr>
          <w:sz w:val="20"/>
        </w:rPr>
        <w:t>required. Knowledge of other languages, notably of FR would be an asset.</w:t>
      </w:r>
    </w:p>
    <w:p>
      <w:pPr>
        <w:pStyle w:val="BodyText"/>
      </w:pPr>
    </w:p>
    <w:p>
      <w:pPr>
        <w:pStyle w:val="BodyText"/>
        <w:spacing w:before="2"/>
      </w:pPr>
    </w:p>
    <w:p>
      <w:pPr>
        <w:pStyle w:val="ListParagraph"/>
        <w:numPr>
          <w:ilvl w:val="0"/>
          <w:numId w:val="4"/>
        </w:numPr>
        <w:tabs>
          <w:tab w:pos="799" w:val="left" w:leader="none"/>
          <w:tab w:pos="800" w:val="left" w:leader="none"/>
        </w:tabs>
        <w:spacing w:line="240" w:lineRule="auto" w:before="1"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6"/>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spacing w:after="0" w:line="240" w:lineRule="auto"/>
        <w:jc w:val="both"/>
        <w:rPr>
          <w:sz w:val="22"/>
        </w:rPr>
        <w:sectPr>
          <w:pgSz w:w="11910" w:h="16840"/>
          <w:pgMar w:header="0" w:footer="690" w:top="1300" w:bottom="880" w:left="480" w:right="740"/>
        </w:sectPr>
      </w:pPr>
    </w:p>
    <w:p>
      <w:pPr>
        <w:pStyle w:val="BodyText"/>
        <w:spacing w:before="62"/>
        <w:ind w:left="799" w:right="117"/>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before="1"/>
        <w:ind w:left="799"/>
      </w:pPr>
      <w:r>
        <w:rPr/>
        <w:t>Candidates</w:t>
      </w:r>
      <w:r>
        <w:rPr>
          <w:spacing w:val="-3"/>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3"/>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ListParagraph"/>
        <w:numPr>
          <w:ilvl w:val="0"/>
          <w:numId w:val="4"/>
        </w:numPr>
        <w:tabs>
          <w:tab w:pos="799" w:val="left" w:leader="none"/>
          <w:tab w:pos="800" w:val="left" w:leader="none"/>
        </w:tabs>
        <w:spacing w:line="240" w:lineRule="auto" w:before="5"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6"/>
        <w:rPr>
          <w:b/>
          <w:sz w:val="15"/>
        </w:rPr>
      </w:pPr>
    </w:p>
    <w:p>
      <w:pPr>
        <w:pStyle w:val="BodyText"/>
        <w:spacing w:before="92"/>
        <w:ind w:left="799" w:right="278"/>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hyperlink>
      <w:r>
        <w:rPr/>
        <w:t>.</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2"/>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spacing w:before="1"/>
        <w:ind w:left="799" w:right="290"/>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2"/>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6"/>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4"/>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6"/>
        </w:numPr>
        <w:tabs>
          <w:tab w:pos="1081" w:val="left" w:leader="none"/>
        </w:tabs>
        <w:spacing w:line="240" w:lineRule="auto"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spacing w:before="30"/>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spacing w:before="6"/>
      </w:pPr>
    </w:p>
    <w:p>
      <w:pPr>
        <w:pStyle w:val="Heading1"/>
        <w:numPr>
          <w:ilvl w:val="0"/>
          <w:numId w:val="6"/>
        </w:numPr>
        <w:tabs>
          <w:tab w:pos="1081" w:val="left" w:leader="none"/>
        </w:tabs>
        <w:spacing w:line="240" w:lineRule="auto" w:before="0" w:after="0"/>
        <w:ind w:left="1080" w:right="0" w:hanging="284"/>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1"/>
        </w:rPr>
        <w:t> </w:t>
      </w:r>
      <w:r>
        <w:rPr/>
        <w:t>of</w:t>
      </w:r>
      <w:r>
        <w:rPr>
          <w:spacing w:val="-3"/>
        </w:rPr>
        <w:t> </w:t>
      </w:r>
      <w:r>
        <w:rPr/>
        <w:t>the</w:t>
      </w:r>
      <w:r>
        <w:rPr>
          <w:spacing w:val="-3"/>
        </w:rPr>
        <w:t> </w:t>
      </w:r>
      <w:r>
        <w:rPr>
          <w:spacing w:val="-2"/>
        </w:rPr>
        <w:t>Commission</w:t>
      </w:r>
    </w:p>
    <w:p>
      <w:pPr>
        <w:pStyle w:val="BodyText"/>
        <w:spacing w:before="33"/>
        <w:ind w:left="1080" w:right="280"/>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5"/>
      </w:pPr>
    </w:p>
    <w:p>
      <w:pPr>
        <w:pStyle w:val="Heading1"/>
        <w:numPr>
          <w:ilvl w:val="0"/>
          <w:numId w:val="6"/>
        </w:numPr>
        <w:tabs>
          <w:tab w:pos="1081" w:val="left" w:leader="none"/>
        </w:tabs>
        <w:spacing w:line="240" w:lineRule="auto" w:before="0" w:after="0"/>
        <w:ind w:left="1080" w:right="0" w:hanging="284"/>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spacing w:before="33"/>
        <w:ind w:left="1080" w:right="286"/>
        <w:jc w:val="both"/>
      </w:pPr>
      <w:r>
        <w:rPr/>
        <w:pict>
          <v:rect style="position:absolute;margin-left:230.330002pt;margin-top:25.839552pt;width:3.72pt;height:.47998pt;mso-position-horizontal-relative:page;mso-position-vertical-relative:paragraph;z-index:-15825920"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spacing w:after="0"/>
        <w:jc w:val="both"/>
        <w:sectPr>
          <w:pgSz w:w="11910" w:h="16840"/>
          <w:pgMar w:header="0" w:footer="690" w:top="1300" w:bottom="880" w:left="480" w:right="740"/>
        </w:sectPr>
      </w:pPr>
    </w:p>
    <w:p>
      <w:pPr>
        <w:pStyle w:val="BodyText"/>
        <w:spacing w:before="68"/>
        <w:ind w:left="1080"/>
      </w:pPr>
      <w:r>
        <w:rPr/>
        <w:t>To</w:t>
      </w:r>
      <w:r>
        <w:rPr>
          <w:spacing w:val="-6"/>
        </w:rPr>
        <w:t> </w:t>
      </w:r>
      <w:r>
        <w:rPr/>
        <w:t>the</w:t>
      </w:r>
      <w:r>
        <w:rPr>
          <w:spacing w:val="-4"/>
        </w:rPr>
        <w:t> </w:t>
      </w:r>
      <w:r>
        <w:rPr/>
        <w:t>attention</w:t>
      </w:r>
      <w:r>
        <w:rPr>
          <w:spacing w:val="-3"/>
        </w:rPr>
        <w:t> </w:t>
      </w:r>
      <w:r>
        <w:rPr/>
        <w:t>of</w:t>
      </w:r>
      <w:r>
        <w:rPr>
          <w:spacing w:val="-4"/>
        </w:rPr>
        <w:t> </w:t>
      </w:r>
      <w:r>
        <w:rPr/>
        <w:t>candidates</w:t>
      </w:r>
      <w:r>
        <w:rPr>
          <w:spacing w:val="-2"/>
        </w:rPr>
        <w:t> </w:t>
      </w:r>
      <w:r>
        <w:rPr/>
        <w:t>from</w:t>
      </w:r>
      <w:r>
        <w:rPr>
          <w:spacing w:val="-7"/>
        </w:rPr>
        <w:t> </w:t>
      </w:r>
      <w:r>
        <w:rPr/>
        <w:t>third</w:t>
      </w:r>
      <w:r>
        <w:rPr>
          <w:spacing w:val="-5"/>
        </w:rPr>
        <w:t> </w:t>
      </w:r>
      <w:r>
        <w:rPr/>
        <w:t>countries:</w:t>
      </w:r>
      <w:r>
        <w:rPr>
          <w:spacing w:val="-1"/>
        </w:rPr>
        <w:t> </w:t>
      </w:r>
      <w:r>
        <w:rPr/>
        <w:t>your</w:t>
      </w:r>
      <w:r>
        <w:rPr>
          <w:spacing w:val="-3"/>
        </w:rPr>
        <w:t> </w:t>
      </w:r>
      <w:r>
        <w:rPr/>
        <w:t>personal</w:t>
      </w:r>
      <w:r>
        <w:rPr>
          <w:spacing w:val="-1"/>
        </w:rPr>
        <w:t> </w:t>
      </w:r>
      <w:r>
        <w:rPr/>
        <w:t>data</w:t>
      </w:r>
      <w:r>
        <w:rPr>
          <w:spacing w:val="-5"/>
        </w:rPr>
        <w:t> </w:t>
      </w:r>
      <w:r>
        <w:rPr/>
        <w:t>can</w:t>
      </w:r>
      <w:r>
        <w:rPr>
          <w:spacing w:val="-2"/>
        </w:rPr>
        <w:t> </w:t>
      </w:r>
      <w:r>
        <w:rPr/>
        <w:t>be</w:t>
      </w:r>
      <w:r>
        <w:rPr>
          <w:spacing w:val="-2"/>
        </w:rPr>
        <w:t> </w:t>
      </w:r>
      <w:r>
        <w:rPr/>
        <w:t>used</w:t>
      </w:r>
      <w:r>
        <w:rPr>
          <w:spacing w:val="-5"/>
        </w:rPr>
        <w:t> </w:t>
      </w:r>
      <w:r>
        <w:rPr/>
        <w:t>for</w:t>
      </w:r>
      <w:r>
        <w:rPr>
          <w:spacing w:val="-2"/>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643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74" w:hanging="269"/>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900" w:hanging="269"/>
      </w:pPr>
      <w:rPr>
        <w:rFonts w:hint="default"/>
        <w:lang w:val="en-US" w:eastAsia="en-US" w:bidi="ar-SA"/>
      </w:rPr>
    </w:lvl>
    <w:lvl w:ilvl="2">
      <w:start w:val="0"/>
      <w:numFmt w:val="bullet"/>
      <w:lvlText w:val="•"/>
      <w:lvlJc w:val="left"/>
      <w:pPr>
        <w:ind w:left="1421" w:hanging="269"/>
      </w:pPr>
      <w:rPr>
        <w:rFonts w:hint="default"/>
        <w:lang w:val="en-US" w:eastAsia="en-US" w:bidi="ar-SA"/>
      </w:rPr>
    </w:lvl>
    <w:lvl w:ilvl="3">
      <w:start w:val="0"/>
      <w:numFmt w:val="bullet"/>
      <w:lvlText w:val="•"/>
      <w:lvlJc w:val="left"/>
      <w:pPr>
        <w:ind w:left="1942" w:hanging="269"/>
      </w:pPr>
      <w:rPr>
        <w:rFonts w:hint="default"/>
        <w:lang w:val="en-US" w:eastAsia="en-US" w:bidi="ar-SA"/>
      </w:rPr>
    </w:lvl>
    <w:lvl w:ilvl="4">
      <w:start w:val="0"/>
      <w:numFmt w:val="bullet"/>
      <w:lvlText w:val="•"/>
      <w:lvlJc w:val="left"/>
      <w:pPr>
        <w:ind w:left="2462" w:hanging="269"/>
      </w:pPr>
      <w:rPr>
        <w:rFonts w:hint="default"/>
        <w:lang w:val="en-US" w:eastAsia="en-US" w:bidi="ar-SA"/>
      </w:rPr>
    </w:lvl>
    <w:lvl w:ilvl="5">
      <w:start w:val="0"/>
      <w:numFmt w:val="bullet"/>
      <w:lvlText w:val="•"/>
      <w:lvlJc w:val="left"/>
      <w:pPr>
        <w:ind w:left="2983" w:hanging="269"/>
      </w:pPr>
      <w:rPr>
        <w:rFonts w:hint="default"/>
        <w:lang w:val="en-US" w:eastAsia="en-US" w:bidi="ar-SA"/>
      </w:rPr>
    </w:lvl>
    <w:lvl w:ilvl="6">
      <w:start w:val="0"/>
      <w:numFmt w:val="bullet"/>
      <w:lvlText w:val="•"/>
      <w:lvlJc w:val="left"/>
      <w:pPr>
        <w:ind w:left="3504" w:hanging="269"/>
      </w:pPr>
      <w:rPr>
        <w:rFonts w:hint="default"/>
        <w:lang w:val="en-US" w:eastAsia="en-US" w:bidi="ar-SA"/>
      </w:rPr>
    </w:lvl>
    <w:lvl w:ilvl="7">
      <w:start w:val="0"/>
      <w:numFmt w:val="bullet"/>
      <w:lvlText w:val="•"/>
      <w:lvlJc w:val="left"/>
      <w:pPr>
        <w:ind w:left="4024" w:hanging="269"/>
      </w:pPr>
      <w:rPr>
        <w:rFonts w:hint="default"/>
        <w:lang w:val="en-US" w:eastAsia="en-US" w:bidi="ar-SA"/>
      </w:rPr>
    </w:lvl>
    <w:lvl w:ilvl="8">
      <w:start w:val="0"/>
      <w:numFmt w:val="bullet"/>
      <w:lvlText w:val="•"/>
      <w:lvlJc w:val="left"/>
      <w:pPr>
        <w:ind w:left="4545" w:hanging="269"/>
      </w:pPr>
      <w:rPr>
        <w:rFonts w:hint="default"/>
        <w:lang w:val="en-US" w:eastAsia="en-US" w:bidi="ar-SA"/>
      </w:rPr>
    </w:lvl>
  </w:abstractNum>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2">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0"/>
      <w:numFmt w:val="bullet"/>
      <w:lvlText w:val=""/>
      <w:lvlJc w:val="left"/>
      <w:pPr>
        <w:ind w:left="542" w:hanging="437"/>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1044" w:hanging="437"/>
      </w:pPr>
      <w:rPr>
        <w:rFonts w:hint="default"/>
        <w:lang w:val="en-US" w:eastAsia="en-US" w:bidi="ar-SA"/>
      </w:rPr>
    </w:lvl>
    <w:lvl w:ilvl="2">
      <w:start w:val="0"/>
      <w:numFmt w:val="bullet"/>
      <w:lvlText w:val="•"/>
      <w:lvlJc w:val="left"/>
      <w:pPr>
        <w:ind w:left="1549" w:hanging="437"/>
      </w:pPr>
      <w:rPr>
        <w:rFonts w:hint="default"/>
        <w:lang w:val="en-US" w:eastAsia="en-US" w:bidi="ar-SA"/>
      </w:rPr>
    </w:lvl>
    <w:lvl w:ilvl="3">
      <w:start w:val="0"/>
      <w:numFmt w:val="bullet"/>
      <w:lvlText w:val="•"/>
      <w:lvlJc w:val="left"/>
      <w:pPr>
        <w:ind w:left="2054" w:hanging="437"/>
      </w:pPr>
      <w:rPr>
        <w:rFonts w:hint="default"/>
        <w:lang w:val="en-US" w:eastAsia="en-US" w:bidi="ar-SA"/>
      </w:rPr>
    </w:lvl>
    <w:lvl w:ilvl="4">
      <w:start w:val="0"/>
      <w:numFmt w:val="bullet"/>
      <w:lvlText w:val="•"/>
      <w:lvlJc w:val="left"/>
      <w:pPr>
        <w:ind w:left="2558" w:hanging="437"/>
      </w:pPr>
      <w:rPr>
        <w:rFonts w:hint="default"/>
        <w:lang w:val="en-US" w:eastAsia="en-US" w:bidi="ar-SA"/>
      </w:rPr>
    </w:lvl>
    <w:lvl w:ilvl="5">
      <w:start w:val="0"/>
      <w:numFmt w:val="bullet"/>
      <w:lvlText w:val="•"/>
      <w:lvlJc w:val="left"/>
      <w:pPr>
        <w:ind w:left="3063" w:hanging="437"/>
      </w:pPr>
      <w:rPr>
        <w:rFonts w:hint="default"/>
        <w:lang w:val="en-US" w:eastAsia="en-US" w:bidi="ar-SA"/>
      </w:rPr>
    </w:lvl>
    <w:lvl w:ilvl="6">
      <w:start w:val="0"/>
      <w:numFmt w:val="bullet"/>
      <w:lvlText w:val="•"/>
      <w:lvlJc w:val="left"/>
      <w:pPr>
        <w:ind w:left="3568" w:hanging="437"/>
      </w:pPr>
      <w:rPr>
        <w:rFonts w:hint="default"/>
        <w:lang w:val="en-US" w:eastAsia="en-US" w:bidi="ar-SA"/>
      </w:rPr>
    </w:lvl>
    <w:lvl w:ilvl="7">
      <w:start w:val="0"/>
      <w:numFmt w:val="bullet"/>
      <w:lvlText w:val="•"/>
      <w:lvlJc w:val="left"/>
      <w:pPr>
        <w:ind w:left="4072" w:hanging="437"/>
      </w:pPr>
      <w:rPr>
        <w:rFonts w:hint="default"/>
        <w:lang w:val="en-US" w:eastAsia="en-US" w:bidi="ar-SA"/>
      </w:rPr>
    </w:lvl>
    <w:lvl w:ilvl="8">
      <w:start w:val="0"/>
      <w:numFmt w:val="bullet"/>
      <w:lvlText w:val="•"/>
      <w:lvlJc w:val="left"/>
      <w:pPr>
        <w:ind w:left="4577" w:hanging="437"/>
      </w:pPr>
      <w:rPr>
        <w:rFonts w:hint="default"/>
        <w:lang w:val="en-US" w:eastAsia="en-US" w:bidi="ar-SA"/>
      </w:rPr>
    </w:lvl>
  </w:abstractNum>
  <w:abstractNum w:abstractNumId="3">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1">
    <w:abstractNumId w:val="0"/>
  </w:num>
  <w:num w:numId="6">
    <w:abstractNumId w:val="5"/>
  </w:num>
  <w:num w:numId="5">
    <w:abstractNumId w:val="4"/>
  </w:num>
  <w:num w:numId="3">
    <w:abstractNumId w:val="2"/>
  </w:num>
  <w:num w:numId="2">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Despina.Vassiliadou@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2023-02-16T16:51:46Z</dcterms:created>
  <dcterms:modified xsi:type="dcterms:W3CDTF">2023-02-16T16:51:46Z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