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b/>
                <w:sz w:val="24"/>
              </w:rPr>
            </w:pPr>
            <w:r>
              <w:rPr>
                <w:b/>
                <w:sz w:val="24"/>
              </w:rPr>
              <w:t>DG</w:t>
            </w:r>
            <w:r>
              <w:rPr>
                <w:b/>
                <w:spacing w:val="-10"/>
                <w:sz w:val="24"/>
              </w:rPr>
              <w:t> </w:t>
            </w:r>
            <w:r>
              <w:rPr>
                <w:b/>
                <w:sz w:val="24"/>
              </w:rPr>
              <w:t>JUST</w:t>
            </w:r>
            <w:r>
              <w:rPr>
                <w:b/>
                <w:spacing w:val="-5"/>
                <w:sz w:val="24"/>
              </w:rPr>
              <w:t> </w:t>
            </w:r>
            <w:r>
              <w:rPr>
                <w:b/>
                <w:sz w:val="24"/>
              </w:rPr>
              <w:t>-DIRECTORATE</w:t>
            </w:r>
            <w:r>
              <w:rPr>
                <w:b/>
                <w:spacing w:val="-7"/>
                <w:sz w:val="24"/>
              </w:rPr>
              <w:t> </w:t>
            </w:r>
            <w:r>
              <w:rPr>
                <w:b/>
                <w:sz w:val="24"/>
              </w:rPr>
              <w:t>E</w:t>
            </w:r>
            <w:r>
              <w:rPr>
                <w:b/>
                <w:spacing w:val="-6"/>
                <w:sz w:val="24"/>
              </w:rPr>
              <w:t> </w:t>
            </w:r>
            <w:r>
              <w:rPr>
                <w:b/>
                <w:sz w:val="24"/>
              </w:rPr>
              <w:t>-UNIT</w:t>
            </w:r>
            <w:r>
              <w:rPr>
                <w:b/>
                <w:spacing w:val="-7"/>
                <w:sz w:val="24"/>
              </w:rPr>
              <w:t> </w:t>
            </w:r>
            <w:r>
              <w:rPr>
                <w:b/>
                <w:spacing w:val="-5"/>
                <w:sz w:val="24"/>
              </w:rPr>
              <w:t>E3</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51" w:lineRule="exact"/>
              <w:rPr>
                <w:b/>
                <w:sz w:val="22"/>
              </w:rPr>
            </w:pPr>
            <w:r>
              <w:rPr>
                <w:b/>
                <w:sz w:val="22"/>
              </w:rPr>
              <w:t>Marie-Paule</w:t>
            </w:r>
            <w:r>
              <w:rPr>
                <w:b/>
                <w:spacing w:val="-8"/>
                <w:sz w:val="22"/>
              </w:rPr>
              <w:t> </w:t>
            </w:r>
            <w:r>
              <w:rPr>
                <w:b/>
                <w:spacing w:val="-2"/>
                <w:sz w:val="22"/>
              </w:rPr>
              <w:t>Benassi</w:t>
            </w:r>
          </w:p>
          <w:p>
            <w:pPr>
              <w:pStyle w:val="TableParagraph"/>
              <w:spacing w:line="252" w:lineRule="exact" w:before="1"/>
              <w:rPr>
                <w:b/>
                <w:sz w:val="22"/>
              </w:rPr>
            </w:pPr>
            <w:hyperlink r:id="rId7">
              <w:r>
                <w:rPr>
                  <w:b/>
                  <w:spacing w:val="-2"/>
                  <w:sz w:val="22"/>
                </w:rPr>
                <w:t>Marie-paule.benassi@ec.europa.eu</w:t>
              </w:r>
            </w:hyperlink>
          </w:p>
          <w:p>
            <w:pPr>
              <w:pStyle w:val="TableParagraph"/>
              <w:spacing w:line="252" w:lineRule="exact"/>
              <w:rPr>
                <w:b/>
                <w:sz w:val="22"/>
              </w:rPr>
            </w:pPr>
            <w:r>
              <w:rPr>
                <w:b/>
                <w:sz w:val="22"/>
              </w:rPr>
              <w:t>+32</w:t>
            </w:r>
            <w:r>
              <w:rPr>
                <w:b/>
                <w:spacing w:val="-1"/>
                <w:sz w:val="22"/>
              </w:rPr>
              <w:t> </w:t>
            </w:r>
            <w:r>
              <w:rPr>
                <w:b/>
                <w:sz w:val="22"/>
              </w:rPr>
              <w:t>2</w:t>
            </w:r>
            <w:r>
              <w:rPr>
                <w:b/>
                <w:spacing w:val="-1"/>
                <w:sz w:val="22"/>
              </w:rPr>
              <w:t> </w:t>
            </w:r>
            <w:r>
              <w:rPr>
                <w:b/>
                <w:sz w:val="22"/>
              </w:rPr>
              <w:t>292 </w:t>
            </w:r>
            <w:r>
              <w:rPr>
                <w:b/>
                <w:spacing w:val="-2"/>
                <w:sz w:val="22"/>
              </w:rPr>
              <w:t>894321</w:t>
            </w:r>
          </w:p>
          <w:p>
            <w:pPr>
              <w:pStyle w:val="TableParagraph"/>
              <w:ind w:left="0"/>
              <w:rPr>
                <w:b/>
                <w:sz w:val="22"/>
              </w:rPr>
            </w:pPr>
          </w:p>
          <w:p>
            <w:pPr>
              <w:pStyle w:val="TableParagraph"/>
              <w:spacing w:line="253" w:lineRule="exact" w:before="1"/>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rPr>
                <w:b/>
                <w:sz w:val="22"/>
              </w:rPr>
            </w:pPr>
            <w:r>
              <w:rPr>
                <w:b/>
                <w:sz w:val="22"/>
              </w:rPr>
              <w:t>2 </w:t>
            </w:r>
            <w:r>
              <w:rPr>
                <w:b/>
                <w:spacing w:val="-2"/>
                <w:sz w:val="22"/>
              </w:rPr>
              <w:t>years</w:t>
            </w:r>
            <w:r>
              <w:rPr>
                <w:b/>
                <w:spacing w:val="-2"/>
                <w:sz w:val="22"/>
                <w:vertAlign w:val="superscript"/>
              </w:rPr>
              <w:t>1</w:t>
            </w:r>
          </w:p>
          <w:p>
            <w:pPr>
              <w:pStyle w:val="TableParagraph"/>
              <w:spacing w:before="1"/>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4"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 open</w:t>
            </w:r>
            <w:r>
              <w:rPr>
                <w:b/>
                <w:spacing w:val="-2"/>
                <w:sz w:val="22"/>
              </w:rPr>
              <w:t> </w:t>
            </w:r>
            <w:r>
              <w:rPr>
                <w:b/>
                <w:spacing w:val="-5"/>
                <w:sz w:val="22"/>
              </w:rPr>
              <w:t>to</w:t>
            </w:r>
          </w:p>
          <w:p>
            <w:pPr>
              <w:pStyle w:val="TableParagraph"/>
              <w:spacing w:before="10"/>
              <w:ind w:left="0"/>
              <w:rPr>
                <w:b/>
                <w:sz w:val="21"/>
              </w:rPr>
            </w:pPr>
          </w:p>
          <w:p>
            <w:pPr>
              <w:pStyle w:val="TableParagraph"/>
              <w:tabs>
                <w:tab w:pos="544" w:val="left" w:leader="none"/>
              </w:tabs>
              <w:rPr>
                <w:b/>
                <w:sz w:val="24"/>
              </w:rPr>
            </w:pPr>
            <w:r>
              <w:rPr>
                <w:rFonts w:ascii="Wingdings 2" w:hAnsi="Wingdings 2"/>
                <w:b/>
                <w:spacing w:val="-10"/>
                <w:sz w:val="22"/>
              </w:rPr>
              <w:t></w:t>
            </w:r>
            <w:r>
              <w:rPr>
                <w:sz w:val="22"/>
              </w:rPr>
              <w:tab/>
            </w:r>
            <w:r>
              <w:rPr>
                <w:b/>
                <w:sz w:val="24"/>
              </w:rPr>
              <w:t>the</w:t>
            </w:r>
            <w:r>
              <w:rPr>
                <w:b/>
                <w:spacing w:val="-10"/>
                <w:sz w:val="24"/>
              </w:rPr>
              <w:t> </w:t>
            </w:r>
            <w:r>
              <w:rPr>
                <w:b/>
                <w:sz w:val="24"/>
              </w:rPr>
              <w:t>following</w:t>
            </w:r>
            <w:r>
              <w:rPr>
                <w:b/>
                <w:spacing w:val="-9"/>
                <w:sz w:val="24"/>
              </w:rPr>
              <w:t> </w:t>
            </w:r>
            <w:r>
              <w:rPr>
                <w:b/>
                <w:sz w:val="24"/>
              </w:rPr>
              <w:t>EFTA</w:t>
            </w:r>
            <w:r>
              <w:rPr>
                <w:b/>
                <w:spacing w:val="-6"/>
                <w:sz w:val="24"/>
              </w:rPr>
              <w:t> </w:t>
            </w:r>
            <w:r>
              <w:rPr>
                <w:b/>
                <w:sz w:val="24"/>
              </w:rPr>
              <w:t>countries</w:t>
            </w:r>
            <w:r>
              <w:rPr>
                <w:b/>
                <w:spacing w:val="-7"/>
                <w:sz w:val="24"/>
              </w:rPr>
              <w:t> </w:t>
            </w:r>
            <w:r>
              <w:rPr>
                <w:b/>
                <w:spacing w:val="-10"/>
                <w:sz w:val="24"/>
              </w:rPr>
              <w:t>:</w:t>
            </w:r>
          </w:p>
          <w:p>
            <w:pPr>
              <w:pStyle w:val="TableParagraph"/>
              <w:ind w:left="813"/>
              <w:rPr>
                <w:b/>
                <w:sz w:val="24"/>
              </w:rPr>
            </w:pPr>
            <w:r>
              <w:rPr>
                <w:rFonts w:ascii="Wingdings 2" w:hAnsi="Wingdings 2"/>
                <w:b/>
                <w:sz w:val="22"/>
              </w:rPr>
              <w:t></w:t>
            </w:r>
            <w:r>
              <w:rPr>
                <w:spacing w:val="3"/>
                <w:sz w:val="22"/>
              </w:rPr>
              <w:t> </w:t>
            </w:r>
            <w:r>
              <w:rPr>
                <w:b/>
                <w:sz w:val="24"/>
              </w:rPr>
              <w:t>Iceland</w:t>
            </w:r>
            <w:r>
              <w:rPr>
                <w:b/>
                <w:spacing w:val="51"/>
                <w:sz w:val="24"/>
              </w:rPr>
              <w:t> </w:t>
            </w:r>
            <w:r>
              <w:rPr>
                <w:rFonts w:ascii="Wingdings 2" w:hAnsi="Wingdings 2"/>
                <w:b/>
                <w:sz w:val="22"/>
              </w:rPr>
              <w:t></w:t>
            </w:r>
            <w:r>
              <w:rPr>
                <w:spacing w:val="1"/>
                <w:sz w:val="22"/>
              </w:rPr>
              <w:t> </w:t>
            </w:r>
            <w:r>
              <w:rPr>
                <w:b/>
                <w:sz w:val="24"/>
              </w:rPr>
              <w:t>Liechtenstein</w:t>
            </w:r>
            <w:r>
              <w:rPr>
                <w:b/>
                <w:spacing w:val="55"/>
                <w:sz w:val="24"/>
              </w:rPr>
              <w:t> </w:t>
            </w:r>
            <w:r>
              <w:rPr>
                <w:rFonts w:ascii="Wingdings 2" w:hAnsi="Wingdings 2"/>
                <w:b/>
                <w:sz w:val="22"/>
              </w:rPr>
              <w:t></w:t>
            </w:r>
            <w:r>
              <w:rPr>
                <w:spacing w:val="3"/>
                <w:sz w:val="22"/>
              </w:rPr>
              <w:t> </w:t>
            </w:r>
            <w:r>
              <w:rPr>
                <w:b/>
                <w:sz w:val="24"/>
              </w:rPr>
              <w:t>Norway</w:t>
            </w:r>
            <w:r>
              <w:rPr>
                <w:b/>
                <w:spacing w:val="50"/>
                <w:sz w:val="24"/>
              </w:rPr>
              <w:t> </w:t>
            </w:r>
            <w:r>
              <w:rPr>
                <w:rFonts w:ascii="Wingdings 2" w:hAnsi="Wingdings 2"/>
                <w:b/>
                <w:sz w:val="24"/>
              </w:rPr>
              <w:t></w:t>
            </w:r>
            <w:r>
              <w:rPr>
                <w:spacing w:val="-1"/>
                <w:sz w:val="24"/>
              </w:rPr>
              <w:t> </w:t>
            </w:r>
            <w:r>
              <w:rPr>
                <w:b/>
                <w:spacing w:val="-2"/>
                <w:sz w:val="24"/>
              </w:rPr>
              <w:t>Switzerland</w:t>
            </w:r>
          </w:p>
          <w:p>
            <w:pPr>
              <w:pStyle w:val="TableParagraph"/>
              <w:numPr>
                <w:ilvl w:val="0"/>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1080" w:right="105"/>
        <w:jc w:val="both"/>
      </w:pPr>
      <w:r>
        <w:rPr/>
        <w:t>The Unit is responsible for a wide range of activities in</w:t>
      </w:r>
      <w:r>
        <w:rPr>
          <w:spacing w:val="-2"/>
        </w:rPr>
        <w:t> </w:t>
      </w:r>
      <w:r>
        <w:rPr/>
        <w:t>the area of enforcement of EU</w:t>
      </w:r>
      <w:r>
        <w:rPr>
          <w:spacing w:val="-1"/>
        </w:rPr>
        <w:t> </w:t>
      </w:r>
      <w:r>
        <w:rPr/>
        <w:t>consumer protection </w:t>
      </w:r>
      <w:r>
        <w:rPr>
          <w:spacing w:val="-2"/>
        </w:rPr>
        <w:t>rules.</w:t>
      </w:r>
    </w:p>
    <w:p>
      <w:pPr>
        <w:pStyle w:val="BodyText"/>
        <w:spacing w:before="11"/>
        <w:rPr>
          <w:sz w:val="21"/>
        </w:rPr>
      </w:pPr>
    </w:p>
    <w:p>
      <w:pPr>
        <w:pStyle w:val="BodyText"/>
        <w:ind w:left="1080" w:right="103"/>
        <w:jc w:val="both"/>
      </w:pPr>
      <w:r>
        <w:rPr/>
        <w:t>It coordinates the network of national consumer protection enforcement authorities under the Consumer Protection Cooperation (CPC) Regulation 2017/2394/ to ensure that consumer right legislation is applied and enforced in a consistent manner across the Single Market. Every year, the CPC Network of authorities identifies common enforcement priorities and carries out specific activities, such as: joint enforcement actions requiring traders operating</w:t>
      </w:r>
      <w:r>
        <w:rPr>
          <w:spacing w:val="-2"/>
        </w:rPr>
        <w:t> </w:t>
      </w:r>
      <w:r>
        <w:rPr/>
        <w:t>in several EU</w:t>
      </w:r>
      <w:r>
        <w:rPr>
          <w:spacing w:val="-1"/>
        </w:rPr>
        <w:t> </w:t>
      </w:r>
      <w:r>
        <w:rPr/>
        <w:t>countries to cease commercial practices contrary to Union consumer protection law – these are high profile cases involving big industry operators; and</w:t>
      </w:r>
      <w:r>
        <w:rPr>
          <w:spacing w:val="40"/>
        </w:rPr>
        <w:t> </w:t>
      </w:r>
      <w:r>
        <w:rPr/>
        <w:t>"Sweeps" – systematic check carried out simultaneously in different Member States to investigate breaches of</w:t>
      </w:r>
      <w:r>
        <w:rPr>
          <w:spacing w:val="40"/>
        </w:rPr>
        <w:t> </w:t>
      </w:r>
      <w:r>
        <w:rPr/>
        <w:t>consumer protection law.</w:t>
      </w:r>
    </w:p>
    <w:p>
      <w:pPr>
        <w:pStyle w:val="BodyText"/>
        <w:spacing w:before="1"/>
      </w:pPr>
    </w:p>
    <w:p>
      <w:pPr>
        <w:pStyle w:val="BodyText"/>
        <w:ind w:left="1080" w:right="101"/>
        <w:jc w:val="both"/>
      </w:pPr>
      <w:r>
        <w:rPr/>
        <w:t>The Unit also runs the network of European Consumer Centres (ECC-Net) and the network of Online Dispute Resolution contact points under Regulation 524/2013 (the "ODR" Regulation). It also manages Directive 2013/11/EU on Alternative Dispute Resolution (the "ADR" Directive).</w:t>
      </w:r>
    </w:p>
    <w:p>
      <w:pPr>
        <w:pStyle w:val="BodyText"/>
        <w:spacing w:before="10"/>
        <w:rPr>
          <w:sz w:val="21"/>
        </w:rPr>
      </w:pPr>
    </w:p>
    <w:p>
      <w:pPr>
        <w:pStyle w:val="BodyText"/>
        <w:ind w:left="1080" w:right="105"/>
        <w:jc w:val="both"/>
      </w:pPr>
      <w:r>
        <w:rPr/>
        <w:t>One of the main challenges of the Unit is to manage an</w:t>
      </w:r>
      <w:r>
        <w:rPr>
          <w:spacing w:val="80"/>
        </w:rPr>
        <w:t> </w:t>
      </w:r>
      <w:r>
        <w:rPr/>
        <w:t>increasing number of high profile joint enforcement cases e.g. regarding large online platforms or travel operators. Under this Regulation the role of the Commission is important as it initiate and/or coordinate joint actions.</w:t>
      </w:r>
    </w:p>
    <w:p>
      <w:pPr>
        <w:pStyle w:val="BodyText"/>
        <w:spacing w:before="1"/>
      </w:pPr>
    </w:p>
    <w:p>
      <w:pPr>
        <w:pStyle w:val="BodyText"/>
        <w:ind w:left="1080" w:right="111"/>
        <w:jc w:val="both"/>
      </w:pPr>
      <w:r>
        <w:rPr/>
        <w:t>The successful candidate will work under the supervision of a Commission's official and will be involved</w:t>
      </w:r>
      <w:r>
        <w:rPr>
          <w:spacing w:val="40"/>
        </w:rPr>
        <w:t> </w:t>
      </w:r>
      <w:r>
        <w:rPr/>
        <w:t>in the preparation and management of joint enforcement actions under the CPC Regulation.</w:t>
      </w:r>
    </w:p>
    <w:p>
      <w:pPr>
        <w:pStyle w:val="BodyText"/>
        <w:spacing w:before="1"/>
        <w:ind w:left="1080" w:right="111"/>
        <w:jc w:val="both"/>
      </w:pPr>
      <w:r>
        <w:rPr/>
        <w:t>The expert's tasks will be adapted to his/her specific background and will include: Contribution to coordinated enforcement actions under the new CPC Regulation and notably:</w:t>
      </w:r>
    </w:p>
    <w:p>
      <w:pPr>
        <w:pStyle w:val="BodyText"/>
        <w:rPr>
          <w:sz w:val="20"/>
        </w:rPr>
      </w:pPr>
    </w:p>
    <w:p>
      <w:pPr>
        <w:pStyle w:val="BodyText"/>
        <w:rPr>
          <w:sz w:val="11"/>
        </w:rPr>
      </w:pPr>
      <w:r>
        <w:rPr/>
        <w:pict>
          <v:rect style="position:absolute;margin-left:42.599998pt;margin-top:7.564706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4"/>
        </w:numPr>
        <w:tabs>
          <w:tab w:pos="1800" w:val="left" w:leader="none"/>
          <w:tab w:pos="1801" w:val="left" w:leader="none"/>
        </w:tabs>
        <w:spacing w:line="240" w:lineRule="auto" w:before="89" w:after="0"/>
        <w:ind w:left="1800" w:right="0" w:hanging="361"/>
        <w:jc w:val="left"/>
        <w:rPr>
          <w:sz w:val="22"/>
        </w:rPr>
      </w:pPr>
      <w:r>
        <w:rPr>
          <w:sz w:val="22"/>
        </w:rPr>
        <w:t>Legal</w:t>
      </w:r>
      <w:r>
        <w:rPr>
          <w:spacing w:val="-3"/>
          <w:sz w:val="22"/>
        </w:rPr>
        <w:t> </w:t>
      </w:r>
      <w:r>
        <w:rPr>
          <w:sz w:val="22"/>
        </w:rPr>
        <w:t>assessment</w:t>
      </w:r>
      <w:r>
        <w:rPr>
          <w:spacing w:val="-3"/>
          <w:sz w:val="22"/>
        </w:rPr>
        <w:t> </w:t>
      </w:r>
      <w:r>
        <w:rPr>
          <w:sz w:val="22"/>
        </w:rPr>
        <w:t>of</w:t>
      </w:r>
      <w:r>
        <w:rPr>
          <w:spacing w:val="-4"/>
          <w:sz w:val="22"/>
        </w:rPr>
        <w:t> </w:t>
      </w:r>
      <w:r>
        <w:rPr>
          <w:sz w:val="22"/>
        </w:rPr>
        <w:t>specific</w:t>
      </w:r>
      <w:r>
        <w:rPr>
          <w:spacing w:val="-4"/>
          <w:sz w:val="22"/>
        </w:rPr>
        <w:t> </w:t>
      </w:r>
      <w:r>
        <w:rPr>
          <w:sz w:val="22"/>
        </w:rPr>
        <w:t>widespread</w:t>
      </w:r>
      <w:r>
        <w:rPr>
          <w:spacing w:val="-6"/>
          <w:sz w:val="22"/>
        </w:rPr>
        <w:t> </w:t>
      </w:r>
      <w:r>
        <w:rPr>
          <w:sz w:val="22"/>
        </w:rPr>
        <w:t>infringements</w:t>
      </w:r>
      <w:r>
        <w:rPr>
          <w:spacing w:val="-6"/>
          <w:sz w:val="22"/>
        </w:rPr>
        <w:t> </w:t>
      </w:r>
      <w:r>
        <w:rPr>
          <w:sz w:val="22"/>
        </w:rPr>
        <w:t>to</w:t>
      </w:r>
      <w:r>
        <w:rPr>
          <w:spacing w:val="-4"/>
          <w:sz w:val="22"/>
        </w:rPr>
        <w:t> </w:t>
      </w:r>
      <w:r>
        <w:rPr>
          <w:sz w:val="22"/>
        </w:rPr>
        <w:t>EU</w:t>
      </w:r>
      <w:r>
        <w:rPr>
          <w:spacing w:val="-6"/>
          <w:sz w:val="22"/>
        </w:rPr>
        <w:t> </w:t>
      </w:r>
      <w:r>
        <w:rPr>
          <w:sz w:val="22"/>
        </w:rPr>
        <w:t>consumer</w:t>
      </w:r>
      <w:r>
        <w:rPr>
          <w:spacing w:val="-2"/>
          <w:sz w:val="22"/>
        </w:rPr>
        <w:t> </w:t>
      </w:r>
      <w:r>
        <w:rPr>
          <w:spacing w:val="-5"/>
          <w:sz w:val="22"/>
        </w:rPr>
        <w:t>law</w:t>
      </w:r>
    </w:p>
    <w:p>
      <w:pPr>
        <w:pStyle w:val="ListParagraph"/>
        <w:numPr>
          <w:ilvl w:val="0"/>
          <w:numId w:val="4"/>
        </w:numPr>
        <w:tabs>
          <w:tab w:pos="1800" w:val="left" w:leader="none"/>
          <w:tab w:pos="1801" w:val="left" w:leader="none"/>
        </w:tabs>
        <w:spacing w:line="240" w:lineRule="auto" w:before="0" w:after="0"/>
        <w:ind w:left="1800" w:right="114" w:hanging="360"/>
        <w:jc w:val="left"/>
        <w:rPr>
          <w:sz w:val="22"/>
        </w:rPr>
      </w:pPr>
      <w:r>
        <w:rPr>
          <w:sz w:val="22"/>
        </w:rPr>
        <w:t>Support to the CPC priority working group which is performing market surveillance tasks in order to identify widespread illegal practices across the EU</w:t>
      </w:r>
    </w:p>
    <w:p>
      <w:pPr>
        <w:pStyle w:val="ListParagraph"/>
        <w:numPr>
          <w:ilvl w:val="0"/>
          <w:numId w:val="4"/>
        </w:numPr>
        <w:tabs>
          <w:tab w:pos="1800" w:val="left" w:leader="none"/>
          <w:tab w:pos="1801" w:val="left" w:leader="none"/>
        </w:tabs>
        <w:spacing w:line="268" w:lineRule="exact" w:before="2" w:after="0"/>
        <w:ind w:left="1800" w:right="0" w:hanging="361"/>
        <w:jc w:val="left"/>
        <w:rPr>
          <w:sz w:val="22"/>
        </w:rPr>
      </w:pPr>
      <w:r>
        <w:rPr>
          <w:sz w:val="22"/>
        </w:rPr>
        <w:t>Contribution</w:t>
      </w:r>
      <w:r>
        <w:rPr>
          <w:spacing w:val="-6"/>
          <w:sz w:val="22"/>
        </w:rPr>
        <w:t> </w:t>
      </w:r>
      <w:r>
        <w:rPr>
          <w:sz w:val="22"/>
        </w:rPr>
        <w:t>to</w:t>
      </w:r>
      <w:r>
        <w:rPr>
          <w:spacing w:val="-5"/>
          <w:sz w:val="22"/>
        </w:rPr>
        <w:t> </w:t>
      </w:r>
      <w:r>
        <w:rPr>
          <w:sz w:val="22"/>
        </w:rPr>
        <w:t>legal</w:t>
      </w:r>
      <w:r>
        <w:rPr>
          <w:spacing w:val="-4"/>
          <w:sz w:val="22"/>
        </w:rPr>
        <w:t> </w:t>
      </w:r>
      <w:r>
        <w:rPr>
          <w:sz w:val="22"/>
        </w:rPr>
        <w:t>and</w:t>
      </w:r>
      <w:r>
        <w:rPr>
          <w:spacing w:val="-3"/>
          <w:sz w:val="22"/>
        </w:rPr>
        <w:t> </w:t>
      </w:r>
      <w:r>
        <w:rPr>
          <w:sz w:val="22"/>
        </w:rPr>
        <w:t>or</w:t>
      </w:r>
      <w:r>
        <w:rPr>
          <w:spacing w:val="-4"/>
          <w:sz w:val="22"/>
        </w:rPr>
        <w:t> </w:t>
      </w:r>
      <w:r>
        <w:rPr>
          <w:sz w:val="22"/>
        </w:rPr>
        <w:t>economic</w:t>
      </w:r>
      <w:r>
        <w:rPr>
          <w:spacing w:val="-2"/>
          <w:sz w:val="22"/>
        </w:rPr>
        <w:t> studies</w:t>
      </w:r>
    </w:p>
    <w:p>
      <w:pPr>
        <w:pStyle w:val="BodyText"/>
        <w:spacing w:line="252" w:lineRule="exact"/>
        <w:ind w:left="1080"/>
      </w:pPr>
      <w:r>
        <w:rPr/>
        <w:t>Carrying</w:t>
      </w:r>
      <w:r>
        <w:rPr>
          <w:spacing w:val="-8"/>
        </w:rPr>
        <w:t> </w:t>
      </w:r>
      <w:r>
        <w:rPr/>
        <w:t>out</w:t>
      </w:r>
      <w:r>
        <w:rPr>
          <w:spacing w:val="-3"/>
        </w:rPr>
        <w:t> </w:t>
      </w:r>
      <w:r>
        <w:rPr/>
        <w:t>capacity</w:t>
      </w:r>
      <w:r>
        <w:rPr>
          <w:spacing w:val="-6"/>
        </w:rPr>
        <w:t> </w:t>
      </w:r>
      <w:r>
        <w:rPr/>
        <w:t>building</w:t>
      </w:r>
      <w:r>
        <w:rPr>
          <w:spacing w:val="-6"/>
        </w:rPr>
        <w:t> </w:t>
      </w:r>
      <w:r>
        <w:rPr/>
        <w:t>workshops</w:t>
      </w:r>
      <w:r>
        <w:rPr>
          <w:spacing w:val="-2"/>
        </w:rPr>
        <w:t> </w:t>
      </w:r>
      <w:r>
        <w:rPr/>
        <w:t>and</w:t>
      </w:r>
      <w:r>
        <w:rPr>
          <w:spacing w:val="-3"/>
        </w:rPr>
        <w:t> </w:t>
      </w:r>
      <w:r>
        <w:rPr/>
        <w:t>missions</w:t>
      </w:r>
      <w:r>
        <w:rPr>
          <w:spacing w:val="-3"/>
        </w:rPr>
        <w:t> </w:t>
      </w:r>
      <w:r>
        <w:rPr/>
        <w:t>to</w:t>
      </w:r>
      <w:r>
        <w:rPr>
          <w:spacing w:val="-3"/>
        </w:rPr>
        <w:t> </w:t>
      </w:r>
      <w:r>
        <w:rPr/>
        <w:t>assist</w:t>
      </w:r>
      <w:r>
        <w:rPr>
          <w:spacing w:val="-2"/>
        </w:rPr>
        <w:t> </w:t>
      </w:r>
      <w:r>
        <w:rPr/>
        <w:t>Member</w:t>
      </w:r>
      <w:r>
        <w:rPr>
          <w:spacing w:val="-2"/>
        </w:rPr>
        <w:t> </w:t>
      </w:r>
      <w:r>
        <w:rPr/>
        <w:t>States</w:t>
      </w:r>
      <w:r>
        <w:rPr>
          <w:spacing w:val="-5"/>
        </w:rPr>
        <w:t> </w:t>
      </w:r>
      <w:r>
        <w:rPr/>
        <w:t>apply</w:t>
      </w:r>
      <w:r>
        <w:rPr>
          <w:spacing w:val="-6"/>
        </w:rPr>
        <w:t> </w:t>
      </w:r>
      <w:r>
        <w:rPr/>
        <w:t>the</w:t>
      </w:r>
      <w:r>
        <w:rPr>
          <w:spacing w:val="-3"/>
        </w:rPr>
        <w:t> </w:t>
      </w:r>
      <w:r>
        <w:rPr/>
        <w:t>CPC</w:t>
      </w:r>
      <w:r>
        <w:rPr>
          <w:spacing w:val="-4"/>
        </w:rPr>
        <w:t> </w:t>
      </w:r>
      <w:r>
        <w:rPr>
          <w:spacing w:val="-2"/>
        </w:rPr>
        <w:t>Regulation.</w:t>
      </w:r>
    </w:p>
    <w:p>
      <w:pPr>
        <w:pStyle w:val="BodyText"/>
        <w:rPr>
          <w:sz w:val="24"/>
        </w:rPr>
      </w:pPr>
    </w:p>
    <w:p>
      <w:pPr>
        <w:pStyle w:val="BodyText"/>
        <w:spacing w:before="4"/>
        <w:rPr>
          <w:sz w:val="20"/>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3"/>
        <w:jc w:val="both"/>
      </w:pPr>
      <w:r>
        <w:rPr/>
        <w:t>The</w:t>
      </w:r>
      <w:r>
        <w:rPr>
          <w:spacing w:val="-1"/>
        </w:rPr>
        <w:t> </w:t>
      </w:r>
      <w:r>
        <w:rPr/>
        <w:t>following</w:t>
      </w:r>
      <w:r>
        <w:rPr>
          <w:spacing w:val="-1"/>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2"/>
      </w:pPr>
    </w:p>
    <w:p>
      <w:pPr>
        <w:pStyle w:val="ListParagraph"/>
        <w:numPr>
          <w:ilvl w:val="2"/>
          <w:numId w:val="3"/>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11"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9"/>
        <w:rPr>
          <w:sz w:val="21"/>
        </w:rPr>
      </w:pPr>
    </w:p>
    <w:p>
      <w:pPr>
        <w:pStyle w:val="ListParagraph"/>
        <w:numPr>
          <w:ilvl w:val="2"/>
          <w:numId w:val="3"/>
        </w:numPr>
        <w:tabs>
          <w:tab w:pos="1081" w:val="left" w:leader="none"/>
        </w:tabs>
        <w:spacing w:line="240" w:lineRule="auto" w:before="1"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0"/>
          <w:numId w:val="5"/>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5"/>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480" w:lineRule="auto"/>
        <w:ind w:left="1080" w:right="2049" w:firstLine="110"/>
      </w:pPr>
      <w:r>
        <w:rPr/>
        <w:t>in</w:t>
      </w:r>
      <w:r>
        <w:rPr>
          <w:spacing w:val="-4"/>
        </w:rPr>
        <w:t> </w:t>
      </w:r>
      <w:r>
        <w:rPr/>
        <w:t>the</w:t>
      </w:r>
      <w:r>
        <w:rPr>
          <w:spacing w:val="-4"/>
        </w:rPr>
        <w:t> </w:t>
      </w:r>
      <w:r>
        <w:rPr/>
        <w:t>field(s):</w:t>
      </w:r>
      <w:r>
        <w:rPr>
          <w:spacing w:val="-8"/>
        </w:rPr>
        <w:t> </w:t>
      </w:r>
      <w:r>
        <w:rPr/>
        <w:t>public</w:t>
      </w:r>
      <w:r>
        <w:rPr>
          <w:spacing w:val="-4"/>
        </w:rPr>
        <w:t> </w:t>
      </w:r>
      <w:r>
        <w:rPr/>
        <w:t>administration,</w:t>
      </w:r>
      <w:r>
        <w:rPr>
          <w:spacing w:val="-4"/>
        </w:rPr>
        <w:t> </w:t>
      </w:r>
      <w:r>
        <w:rPr/>
        <w:t>law,</w:t>
      </w:r>
      <w:r>
        <w:rPr>
          <w:spacing w:val="-4"/>
        </w:rPr>
        <w:t> </w:t>
      </w:r>
      <w:r>
        <w:rPr/>
        <w:t>economics</w:t>
      </w:r>
      <w:r>
        <w:rPr>
          <w:spacing w:val="-6"/>
        </w:rPr>
        <w:t> </w:t>
      </w:r>
      <w:r>
        <w:rPr/>
        <w:t>or</w:t>
      </w:r>
      <w:r>
        <w:rPr>
          <w:spacing w:val="-4"/>
        </w:rPr>
        <w:t> </w:t>
      </w:r>
      <w:r>
        <w:rPr/>
        <w:t>political</w:t>
      </w:r>
      <w:r>
        <w:rPr>
          <w:spacing w:val="-6"/>
        </w:rPr>
        <w:t> </w:t>
      </w:r>
      <w:r>
        <w:rPr/>
        <w:t>science. </w:t>
      </w:r>
      <w:r>
        <w:rPr>
          <w:u w:val="single"/>
        </w:rPr>
        <w:t>Professional experience</w:t>
      </w:r>
    </w:p>
    <w:p>
      <w:pPr>
        <w:pStyle w:val="BodyText"/>
        <w:spacing w:before="1"/>
        <w:ind w:left="1080" w:right="165"/>
        <w:jc w:val="both"/>
      </w:pPr>
      <w:r>
        <w:rPr/>
        <w:t>Work in a public body (Ministry, local administration, agency) or in a NGO with delegated tasks from</w:t>
      </w:r>
      <w:r>
        <w:rPr>
          <w:spacing w:val="40"/>
        </w:rPr>
        <w:t> </w:t>
      </w:r>
      <w:r>
        <w:rPr/>
        <w:t>a public</w:t>
      </w:r>
      <w:r>
        <w:rPr>
          <w:spacing w:val="40"/>
        </w:rPr>
        <w:t> </w:t>
      </w:r>
      <w:r>
        <w:rPr/>
        <w:t>body</w:t>
      </w:r>
      <w:r>
        <w:rPr>
          <w:spacing w:val="40"/>
        </w:rPr>
        <w:t> </w:t>
      </w:r>
      <w:r>
        <w:rPr/>
        <w:t>in</w:t>
      </w:r>
      <w:r>
        <w:rPr>
          <w:spacing w:val="40"/>
        </w:rPr>
        <w:t> </w:t>
      </w:r>
      <w:r>
        <w:rPr/>
        <w:t>charge</w:t>
      </w:r>
      <w:r>
        <w:rPr>
          <w:spacing w:val="40"/>
        </w:rPr>
        <w:t> </w:t>
      </w:r>
      <w:r>
        <w:rPr/>
        <w:t>of</w:t>
      </w:r>
      <w:r>
        <w:rPr>
          <w:spacing w:val="40"/>
        </w:rPr>
        <w:t> </w:t>
      </w:r>
      <w:r>
        <w:rPr/>
        <w:t>policy</w:t>
      </w:r>
      <w:r>
        <w:rPr>
          <w:spacing w:val="40"/>
        </w:rPr>
        <w:t> </w:t>
      </w:r>
      <w:r>
        <w:rPr/>
        <w:t>development</w:t>
      </w:r>
      <w:r>
        <w:rPr>
          <w:spacing w:val="40"/>
        </w:rPr>
        <w:t> </w:t>
      </w:r>
      <w:r>
        <w:rPr/>
        <w:t>and/or</w:t>
      </w:r>
      <w:r>
        <w:rPr>
          <w:spacing w:val="40"/>
        </w:rPr>
        <w:t> </w:t>
      </w:r>
      <w:r>
        <w:rPr/>
        <w:t>the</w:t>
      </w:r>
      <w:r>
        <w:rPr>
          <w:spacing w:val="40"/>
        </w:rPr>
        <w:t> </w:t>
      </w:r>
      <w:r>
        <w:rPr/>
        <w:t>enforcement</w:t>
      </w:r>
      <w:r>
        <w:rPr>
          <w:spacing w:val="40"/>
        </w:rPr>
        <w:t> </w:t>
      </w:r>
      <w:r>
        <w:rPr/>
        <w:t>of</w:t>
      </w:r>
      <w:r>
        <w:rPr>
          <w:spacing w:val="40"/>
        </w:rPr>
        <w:t> </w:t>
      </w:r>
      <w:r>
        <w:rPr/>
        <w:t>consumer protection legislation or legal advice to consumers. Experience with at least some of the following tasks:</w:t>
      </w:r>
      <w:r>
        <w:rPr>
          <w:spacing w:val="80"/>
        </w:rPr>
        <w:t> </w:t>
      </w:r>
      <w:r>
        <w:rPr/>
        <w:t>legal advice, investigation, prosecution, policy development, international cooperation, transposition and enforcement of EU legislation.</w:t>
      </w:r>
    </w:p>
    <w:p>
      <w:pPr>
        <w:pStyle w:val="BodyText"/>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spacing w:val="-2"/>
        </w:rPr>
        <w:t>English.</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7"/>
          <w:sz w:val="24"/>
          <w:u w:val="single"/>
        </w:rPr>
        <w:t> </w:t>
      </w:r>
      <w:r>
        <w:rPr>
          <w:b/>
          <w:sz w:val="24"/>
          <w:u w:val="single"/>
        </w:rPr>
        <w:t>and</w:t>
      </w:r>
      <w:r>
        <w:rPr>
          <w:b/>
          <w:spacing w:val="-5"/>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spacing w:after="0" w:line="240" w:lineRule="auto"/>
        <w:jc w:val="both"/>
        <w:rPr>
          <w:sz w:val="22"/>
        </w:rPr>
        <w:sectPr>
          <w:pgSz w:w="11910" w:h="16840"/>
          <w:pgMar w:header="0" w:footer="690" w:top="1020" w:bottom="880" w:left="480" w:right="740"/>
        </w:sectPr>
      </w:pPr>
    </w:p>
    <w:p>
      <w:pPr>
        <w:pStyle w:val="BodyText"/>
        <w:spacing w:before="68"/>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6"/>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0"/>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spacing w:before="1"/>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2"/>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7"/>
        </w:rPr>
        <w:t> </w:t>
      </w:r>
      <w:r>
        <w:rPr/>
        <w:t>in</w:t>
      </w:r>
      <w:r>
        <w:rPr>
          <w:spacing w:val="17"/>
        </w:rPr>
        <w:t> </w:t>
      </w:r>
      <w:r>
        <w:rPr/>
        <w:t>particular the</w:t>
      </w:r>
      <w:r>
        <w:rPr>
          <w:spacing w:val="17"/>
        </w:rPr>
        <w:t> </w:t>
      </w:r>
      <w:r>
        <w:rPr/>
        <w:t>right to</w:t>
      </w:r>
      <w:r>
        <w:rPr>
          <w:spacing w:val="17"/>
        </w:rPr>
        <w:t> </w:t>
      </w:r>
      <w:r>
        <w:rPr/>
        <w:t>access,</w:t>
      </w:r>
      <w:r>
        <w:rPr>
          <w:spacing w:val="17"/>
        </w:rPr>
        <w:t> </w:t>
      </w:r>
      <w:r>
        <w:rPr/>
        <w:t>rectify</w:t>
      </w:r>
      <w:r>
        <w:rPr>
          <w:spacing w:val="19"/>
        </w:rPr>
        <w:t> </w:t>
      </w:r>
      <w:r>
        <w:rPr/>
        <w:t>or erase</w:t>
      </w:r>
      <w:r>
        <w:rPr>
          <w:spacing w:val="17"/>
        </w:rPr>
        <w:t> </w:t>
      </w:r>
      <w:r>
        <w:rPr/>
        <w:t>your</w:t>
      </w:r>
      <w:r>
        <w:rPr>
          <w:spacing w:val="17"/>
        </w:rPr>
        <w:t> </w:t>
      </w:r>
      <w:r>
        <w:rPr/>
        <w:t>personal</w:t>
      </w:r>
      <w:r>
        <w:rPr>
          <w:spacing w:val="18"/>
        </w:rPr>
        <w:t> </w:t>
      </w:r>
      <w:r>
        <w:rPr/>
        <w:t>data</w:t>
      </w:r>
      <w:r>
        <w:rPr>
          <w:spacing w:val="17"/>
        </w:rPr>
        <w:t> </w:t>
      </w:r>
      <w:r>
        <w:rPr/>
        <w:t>and</w:t>
      </w:r>
      <w:r>
        <w:rPr>
          <w:spacing w:val="17"/>
        </w:rPr>
        <w:t> </w:t>
      </w:r>
      <w:r>
        <w:rPr/>
        <w:t>the right</w:t>
      </w:r>
      <w:r>
        <w:rPr>
          <w:spacing w:val="18"/>
        </w:rPr>
        <w:t> </w:t>
      </w:r>
      <w:r>
        <w:rPr/>
        <w:t>to</w:t>
      </w:r>
      <w:r>
        <w:rPr>
          <w:spacing w:val="17"/>
        </w:rPr>
        <w:t> </w:t>
      </w:r>
      <w:r>
        <w:rPr/>
        <w:t>restrict</w:t>
      </w:r>
      <w:r>
        <w:rPr>
          <w:spacing w:val="18"/>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0"/>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1"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1"/>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52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069553pt;width:3.72pt;height:.4799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131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3">
    <w:multiLevelType w:val="hybridMultilevel"/>
    <w:lvl w:ilvl="0">
      <w:start w:val="0"/>
      <w:numFmt w:val="bullet"/>
      <w:lvlText w:val="-"/>
      <w:lvlJc w:val="left"/>
      <w:pPr>
        <w:ind w:left="1800" w:hanging="360"/>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688" w:hanging="360"/>
      </w:pPr>
      <w:rPr>
        <w:rFonts w:hint="default"/>
        <w:lang w:val="en-US" w:eastAsia="en-US" w:bidi="ar-SA"/>
      </w:rPr>
    </w:lvl>
    <w:lvl w:ilvl="2">
      <w:start w:val="0"/>
      <w:numFmt w:val="bullet"/>
      <w:lvlText w:val="•"/>
      <w:lvlJc w:val="left"/>
      <w:pPr>
        <w:ind w:left="3577" w:hanging="360"/>
      </w:pPr>
      <w:rPr>
        <w:rFonts w:hint="default"/>
        <w:lang w:val="en-US" w:eastAsia="en-US" w:bidi="ar-SA"/>
      </w:rPr>
    </w:lvl>
    <w:lvl w:ilvl="3">
      <w:start w:val="0"/>
      <w:numFmt w:val="bullet"/>
      <w:lvlText w:val="•"/>
      <w:lvlJc w:val="left"/>
      <w:pPr>
        <w:ind w:left="446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43" w:hanging="360"/>
      </w:pPr>
      <w:rPr>
        <w:rFonts w:hint="default"/>
        <w:lang w:val="en-US" w:eastAsia="en-US" w:bidi="ar-SA"/>
      </w:rPr>
    </w:lvl>
    <w:lvl w:ilvl="6">
      <w:start w:val="0"/>
      <w:numFmt w:val="bullet"/>
      <w:lvlText w:val="•"/>
      <w:lvlJc w:val="left"/>
      <w:pPr>
        <w:ind w:left="7131" w:hanging="360"/>
      </w:pPr>
      <w:rPr>
        <w:rFonts w:hint="default"/>
        <w:lang w:val="en-US" w:eastAsia="en-US" w:bidi="ar-SA"/>
      </w:rPr>
    </w:lvl>
    <w:lvl w:ilvl="7">
      <w:start w:val="0"/>
      <w:numFmt w:val="bullet"/>
      <w:lvlText w:val="•"/>
      <w:lvlJc w:val="left"/>
      <w:pPr>
        <w:ind w:left="8020" w:hanging="360"/>
      </w:pPr>
      <w:rPr>
        <w:rFonts w:hint="default"/>
        <w:lang w:val="en-US" w:eastAsia="en-US" w:bidi="ar-SA"/>
      </w:rPr>
    </w:lvl>
    <w:lvl w:ilvl="8">
      <w:start w:val="0"/>
      <w:numFmt w:val="bullet"/>
      <w:lvlText w:val="•"/>
      <w:lvlJc w:val="left"/>
      <w:pPr>
        <w:ind w:left="8909" w:hanging="360"/>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7"/>
      </w:pPr>
      <w:rPr>
        <w:rFonts w:hint="default"/>
        <w:lang w:val="en-US" w:eastAsia="en-US" w:bidi="ar-SA"/>
      </w:rPr>
    </w:lvl>
    <w:lvl w:ilvl="2">
      <w:start w:val="0"/>
      <w:numFmt w:val="bullet"/>
      <w:lvlText w:val="•"/>
      <w:lvlJc w:val="left"/>
      <w:pPr>
        <w:ind w:left="2437" w:hanging="457"/>
      </w:pPr>
      <w:rPr>
        <w:rFonts w:hint="default"/>
        <w:lang w:val="en-US" w:eastAsia="en-US" w:bidi="ar-SA"/>
      </w:rPr>
    </w:lvl>
    <w:lvl w:ilvl="3">
      <w:start w:val="0"/>
      <w:numFmt w:val="bullet"/>
      <w:lvlText w:val="•"/>
      <w:lvlJc w:val="left"/>
      <w:pPr>
        <w:ind w:left="3375" w:hanging="457"/>
      </w:pPr>
      <w:rPr>
        <w:rFonts w:hint="default"/>
        <w:lang w:val="en-US" w:eastAsia="en-US" w:bidi="ar-SA"/>
      </w:rPr>
    </w:lvl>
    <w:lvl w:ilvl="4">
      <w:start w:val="0"/>
      <w:numFmt w:val="bullet"/>
      <w:lvlText w:val="•"/>
      <w:lvlJc w:val="left"/>
      <w:pPr>
        <w:ind w:left="4314" w:hanging="457"/>
      </w:pPr>
      <w:rPr>
        <w:rFonts w:hint="default"/>
        <w:lang w:val="en-US" w:eastAsia="en-US" w:bidi="ar-SA"/>
      </w:rPr>
    </w:lvl>
    <w:lvl w:ilvl="5">
      <w:start w:val="0"/>
      <w:numFmt w:val="bullet"/>
      <w:lvlText w:val="•"/>
      <w:lvlJc w:val="left"/>
      <w:pPr>
        <w:ind w:left="5253" w:hanging="457"/>
      </w:pPr>
      <w:rPr>
        <w:rFonts w:hint="default"/>
        <w:lang w:val="en-US" w:eastAsia="en-US" w:bidi="ar-SA"/>
      </w:rPr>
    </w:lvl>
    <w:lvl w:ilvl="6">
      <w:start w:val="0"/>
      <w:numFmt w:val="bullet"/>
      <w:lvlText w:val="•"/>
      <w:lvlJc w:val="left"/>
      <w:pPr>
        <w:ind w:left="6191" w:hanging="457"/>
      </w:pPr>
      <w:rPr>
        <w:rFonts w:hint="default"/>
        <w:lang w:val="en-US" w:eastAsia="en-US" w:bidi="ar-SA"/>
      </w:rPr>
    </w:lvl>
    <w:lvl w:ilvl="7">
      <w:start w:val="0"/>
      <w:numFmt w:val="bullet"/>
      <w:lvlText w:val="•"/>
      <w:lvlJc w:val="left"/>
      <w:pPr>
        <w:ind w:left="7130" w:hanging="457"/>
      </w:pPr>
      <w:rPr>
        <w:rFonts w:hint="default"/>
        <w:lang w:val="en-US" w:eastAsia="en-US" w:bidi="ar-SA"/>
      </w:rPr>
    </w:lvl>
    <w:lvl w:ilvl="8">
      <w:start w:val="0"/>
      <w:numFmt w:val="bullet"/>
      <w:lvlText w:val="•"/>
      <w:lvlJc w:val="left"/>
      <w:pPr>
        <w:ind w:left="8068" w:hanging="457"/>
      </w:pPr>
      <w:rPr>
        <w:rFonts w:hint="default"/>
        <w:lang w:val="en-US" w:eastAsia="en-US" w:bidi="ar-SA"/>
      </w:rPr>
    </w:lvl>
  </w:abstractNum>
  <w:abstractNum w:abstractNumId="0">
    <w:multiLevelType w:val="hybridMultilevel"/>
    <w:lvl w:ilvl="0">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966" w:hanging="276"/>
      </w:pPr>
      <w:rPr>
        <w:rFonts w:hint="default"/>
        <w:lang w:val="en-US" w:eastAsia="en-US" w:bidi="ar-SA"/>
      </w:rPr>
    </w:lvl>
    <w:lvl w:ilvl="2">
      <w:start w:val="0"/>
      <w:numFmt w:val="bullet"/>
      <w:lvlText w:val="•"/>
      <w:lvlJc w:val="left"/>
      <w:pPr>
        <w:ind w:left="2853" w:hanging="276"/>
      </w:pPr>
      <w:rPr>
        <w:rFonts w:hint="default"/>
        <w:lang w:val="en-US" w:eastAsia="en-US" w:bidi="ar-SA"/>
      </w:rPr>
    </w:lvl>
    <w:lvl w:ilvl="3">
      <w:start w:val="0"/>
      <w:numFmt w:val="bullet"/>
      <w:lvlText w:val="•"/>
      <w:lvlJc w:val="left"/>
      <w:pPr>
        <w:ind w:left="3739" w:hanging="276"/>
      </w:pPr>
      <w:rPr>
        <w:rFonts w:hint="default"/>
        <w:lang w:val="en-US" w:eastAsia="en-US" w:bidi="ar-SA"/>
      </w:rPr>
    </w:lvl>
    <w:lvl w:ilvl="4">
      <w:start w:val="0"/>
      <w:numFmt w:val="bullet"/>
      <w:lvlText w:val="•"/>
      <w:lvlJc w:val="left"/>
      <w:pPr>
        <w:ind w:left="4626" w:hanging="276"/>
      </w:pPr>
      <w:rPr>
        <w:rFonts w:hint="default"/>
        <w:lang w:val="en-US" w:eastAsia="en-US" w:bidi="ar-SA"/>
      </w:rPr>
    </w:lvl>
    <w:lvl w:ilvl="5">
      <w:start w:val="0"/>
      <w:numFmt w:val="bullet"/>
      <w:lvlText w:val="•"/>
      <w:lvlJc w:val="left"/>
      <w:pPr>
        <w:ind w:left="5513" w:hanging="276"/>
      </w:pPr>
      <w:rPr>
        <w:rFonts w:hint="default"/>
        <w:lang w:val="en-US" w:eastAsia="en-US" w:bidi="ar-SA"/>
      </w:rPr>
    </w:lvl>
    <w:lvl w:ilvl="6">
      <w:start w:val="0"/>
      <w:numFmt w:val="bullet"/>
      <w:lvlText w:val="•"/>
      <w:lvlJc w:val="left"/>
      <w:pPr>
        <w:ind w:left="6399" w:hanging="276"/>
      </w:pPr>
      <w:rPr>
        <w:rFonts w:hint="default"/>
        <w:lang w:val="en-US" w:eastAsia="en-US" w:bidi="ar-SA"/>
      </w:rPr>
    </w:lvl>
    <w:lvl w:ilvl="7">
      <w:start w:val="0"/>
      <w:numFmt w:val="bullet"/>
      <w:lvlText w:val="•"/>
      <w:lvlJc w:val="left"/>
      <w:pPr>
        <w:ind w:left="7286" w:hanging="276"/>
      </w:pPr>
      <w:rPr>
        <w:rFonts w:hint="default"/>
        <w:lang w:val="en-US" w:eastAsia="en-US" w:bidi="ar-SA"/>
      </w:rPr>
    </w:lvl>
    <w:lvl w:ilvl="8">
      <w:start w:val="0"/>
      <w:numFmt w:val="bullet"/>
      <w:lvlText w:val="•"/>
      <w:lvlJc w:val="left"/>
      <w:pPr>
        <w:ind w:left="8172" w:hanging="276"/>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arie-paule.benassi@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2023-02-16T16:53:21Z</dcterms:created>
  <dcterms:modified xsi:type="dcterms:W3CDTF">2023-02-16T16:53:21Z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