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78"/>
              <w:rPr>
                <w:b/>
                <w:sz w:val="22"/>
              </w:rPr>
            </w:pPr>
            <w:r>
              <w:rPr>
                <w:b/>
                <w:spacing w:val="-2"/>
                <w:sz w:val="22"/>
              </w:rPr>
              <w:t>SANTE.C.2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75" w:lineRule="exact"/>
              <w:rPr>
                <w:b/>
                <w:sz w:val="24"/>
              </w:rPr>
            </w:pPr>
            <w:r>
              <w:rPr>
                <w:b/>
                <w:sz w:val="24"/>
              </w:rPr>
              <w:t>Maya</w:t>
            </w:r>
            <w:r>
              <w:rPr>
                <w:b/>
                <w:spacing w:val="-3"/>
                <w:sz w:val="24"/>
              </w:rPr>
              <w:t> </w:t>
            </w:r>
            <w:r>
              <w:rPr>
                <w:b/>
                <w:spacing w:val="-2"/>
                <w:sz w:val="24"/>
              </w:rPr>
              <w:t>MATTHEWS</w:t>
            </w:r>
          </w:p>
          <w:p>
            <w:pPr>
              <w:pStyle w:val="TableParagraph"/>
              <w:rPr>
                <w:b/>
                <w:sz w:val="24"/>
              </w:rPr>
            </w:pPr>
            <w:hyperlink r:id="rId7">
              <w:r>
                <w:rPr>
                  <w:b/>
                  <w:color w:val="0000FF"/>
                  <w:spacing w:val="-2"/>
                  <w:sz w:val="24"/>
                  <w:u w:val="single" w:color="0000FF"/>
                </w:rPr>
                <w:t>Maya.MATTHEWS@ec.europa.eu</w:t>
              </w:r>
            </w:hyperlink>
          </w:p>
          <w:p>
            <w:pPr>
              <w:pStyle w:val="TableParagraph"/>
              <w:spacing w:line="274" w:lineRule="exact"/>
              <w:rPr>
                <w:b/>
                <w:sz w:val="24"/>
              </w:rPr>
            </w:pPr>
            <w:r>
              <w:rPr>
                <w:b/>
                <w:sz w:val="24"/>
              </w:rPr>
              <w:t>+32 2 296 40 </w:t>
            </w:r>
            <w:r>
              <w:rPr>
                <w:b/>
                <w:spacing w:val="-5"/>
                <w:sz w:val="24"/>
              </w:rPr>
              <w:t>97</w:t>
            </w:r>
          </w:p>
          <w:p>
            <w:pPr>
              <w:pStyle w:val="TableParagraph"/>
              <w:spacing w:line="274" w:lineRule="exact"/>
              <w:rPr>
                <w:sz w:val="24"/>
              </w:rPr>
            </w:pPr>
            <w:r>
              <w:rPr>
                <w:sz w:val="24"/>
              </w:rPr>
              <w:t>1</w:t>
            </w:r>
          </w:p>
          <w:p>
            <w:pPr>
              <w:pStyle w:val="TableParagraph"/>
              <w:spacing w:before="4"/>
              <w:rPr>
                <w:b/>
                <w:sz w:val="22"/>
              </w:rPr>
            </w:pPr>
            <w:r>
              <w:rPr>
                <w:b/>
                <w:sz w:val="22"/>
              </w:rPr>
              <w:t>1</w:t>
            </w:r>
            <w:r>
              <w:rPr>
                <w:b/>
                <w:sz w:val="22"/>
                <w:vertAlign w:val="superscript"/>
              </w:rPr>
              <w:t>st</w:t>
            </w:r>
            <w:r>
              <w:rPr>
                <w:b/>
                <w:spacing w:val="-20"/>
                <w:sz w:val="22"/>
                <w:vertAlign w:val="baseline"/>
              </w:rPr>
              <w:t> </w:t>
            </w:r>
            <w:r>
              <w:rPr>
                <w:b/>
                <w:sz w:val="22"/>
                <w:vertAlign w:val="baseline"/>
              </w:rPr>
              <w:t>quarter</w:t>
            </w:r>
            <w:r>
              <w:rPr>
                <w:b/>
                <w:spacing w:val="-4"/>
                <w:sz w:val="22"/>
                <w:vertAlign w:val="baseline"/>
              </w:rPr>
              <w:t> </w:t>
            </w:r>
            <w:r>
              <w:rPr>
                <w:b/>
                <w:sz w:val="22"/>
                <w:vertAlign w:val="baseline"/>
              </w:rPr>
              <w:t>2023</w:t>
            </w:r>
            <w:r>
              <w:rPr>
                <w:b/>
                <w:spacing w:val="-6"/>
                <w:sz w:val="22"/>
                <w:vertAlign w:val="baseline"/>
              </w:rPr>
              <w:t> </w:t>
            </w:r>
            <w:r>
              <w:rPr>
                <w:b/>
                <w:spacing w:val="-10"/>
                <w:sz w:val="22"/>
                <w:vertAlign w:val="superscript"/>
              </w:rPr>
              <w:t>1</w:t>
            </w:r>
          </w:p>
          <w:p>
            <w:pPr>
              <w:pStyle w:val="TableParagraph"/>
              <w:spacing w:line="252" w:lineRule="exact" w:before="1"/>
              <w:rPr>
                <w:b/>
                <w:sz w:val="22"/>
              </w:rPr>
            </w:pPr>
            <w:r>
              <w:rPr>
                <w:b/>
                <w:sz w:val="22"/>
              </w:rPr>
              <w:t>2 </w:t>
            </w:r>
            <w:r>
              <w:rPr>
                <w:b/>
                <w:spacing w:val="-2"/>
                <w:sz w:val="22"/>
              </w:rPr>
              <w:t>years</w:t>
            </w:r>
            <w:r>
              <w:rPr>
                <w:b/>
                <w:spacing w:val="-2"/>
                <w:sz w:val="22"/>
                <w:vertAlign w:val="superscript"/>
              </w:rPr>
              <w:t>1</w:t>
            </w:r>
          </w:p>
          <w:p>
            <w:pPr>
              <w:pStyle w:val="TableParagraph"/>
              <w:spacing w:line="252"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rFonts w:ascii="Wingdings 2" w:hAnsi="Wingdings 2"/>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71" w:val="left" w:leader="none"/>
              </w:tabs>
              <w:spacing w:line="240" w:lineRule="auto" w:before="0" w:after="0"/>
              <w:ind w:left="1070" w:right="0" w:hanging="258"/>
              <w:jc w:val="left"/>
              <w:rPr>
                <w:rFonts w:ascii="Wingdings 2" w:hAnsi="Wingdings 2"/>
                <w:b/>
                <w:sz w:val="22"/>
              </w:rPr>
            </w:pPr>
            <w:r>
              <w:rPr>
                <w:b/>
                <w:sz w:val="24"/>
              </w:rPr>
              <w:t>EFTA-EEA</w:t>
            </w:r>
            <w:r>
              <w:rPr>
                <w:b/>
                <w:spacing w:val="-10"/>
                <w:sz w:val="24"/>
              </w:rPr>
              <w:t> </w:t>
            </w:r>
            <w:r>
              <w:rPr>
                <w:b/>
                <w:sz w:val="24"/>
              </w:rPr>
              <w:t>In-Kind</w:t>
            </w:r>
            <w:r>
              <w:rPr>
                <w:b/>
                <w:spacing w:val="-10"/>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03"/>
        <w:jc w:val="both"/>
      </w:pPr>
      <w:r>
        <w:rPr/>
        <w:t>The seconded national expert (SNE) will provide technical expertise related to the implementation of Regulation (EU) 2021/2282 on health technology assessment (HTAR), in particular to reinforce the Secretariat of the Member States’ Coordination Group on Health Technology Assessment (HTA-CG), which is hosted and administered by</w:t>
      </w:r>
      <w:r>
        <w:rPr>
          <w:spacing w:val="40"/>
        </w:rPr>
        <w:t> </w:t>
      </w:r>
      <w:r>
        <w:rPr/>
        <w:t>the European Commission.</w:t>
      </w:r>
    </w:p>
    <w:p>
      <w:pPr>
        <w:pStyle w:val="BodyText"/>
      </w:pPr>
    </w:p>
    <w:p>
      <w:pPr>
        <w:pStyle w:val="BodyText"/>
        <w:ind w:left="372"/>
        <w:jc w:val="both"/>
      </w:pPr>
      <w:r>
        <w:rPr/>
        <w:t>The</w:t>
      </w:r>
      <w:r>
        <w:rPr>
          <w:spacing w:val="-5"/>
        </w:rPr>
        <w:t> </w:t>
      </w:r>
      <w:r>
        <w:rPr/>
        <w:t>specific</w:t>
      </w:r>
      <w:r>
        <w:rPr>
          <w:spacing w:val="-2"/>
        </w:rPr>
        <w:t> </w:t>
      </w:r>
      <w:r>
        <w:rPr/>
        <w:t>tasks</w:t>
      </w:r>
      <w:r>
        <w:rPr>
          <w:spacing w:val="-2"/>
        </w:rPr>
        <w:t> </w:t>
      </w:r>
      <w:r>
        <w:rPr/>
        <w:t>will</w:t>
      </w:r>
      <w:r>
        <w:rPr>
          <w:spacing w:val="-1"/>
        </w:rPr>
        <w:t> </w:t>
      </w:r>
      <w:r>
        <w:rPr>
          <w:spacing w:val="-2"/>
        </w:rPr>
        <w:t>entail:</w:t>
      </w:r>
    </w:p>
    <w:p>
      <w:pPr>
        <w:pStyle w:val="BodyText"/>
        <w:spacing w:before="1"/>
      </w:pPr>
    </w:p>
    <w:p>
      <w:pPr>
        <w:pStyle w:val="ListParagraph"/>
        <w:numPr>
          <w:ilvl w:val="1"/>
          <w:numId w:val="2"/>
        </w:numPr>
        <w:tabs>
          <w:tab w:pos="1093" w:val="left" w:leader="none"/>
        </w:tabs>
        <w:spacing w:line="240" w:lineRule="auto" w:before="0" w:after="0"/>
        <w:ind w:left="1092" w:right="106" w:hanging="361"/>
        <w:jc w:val="both"/>
        <w:rPr>
          <w:sz w:val="22"/>
        </w:rPr>
      </w:pPr>
      <w:r>
        <w:rPr>
          <w:sz w:val="22"/>
        </w:rPr>
        <w:t>coordinating the work of one or more subgroups of the HTAR (subgroup on joint clinical assessments, subgroup on joint scientific consultations, subgroup on identification of emerging health technologies, subgroup on development of methodological and procedural guidance), including supporting the work of Chair and co-Chair as well as the authors responsible for the drafting, and preparing the adoption of these documents by the HTA-CG;</w:t>
      </w:r>
    </w:p>
    <w:p>
      <w:pPr>
        <w:pStyle w:val="ListParagraph"/>
        <w:numPr>
          <w:ilvl w:val="1"/>
          <w:numId w:val="2"/>
        </w:numPr>
        <w:tabs>
          <w:tab w:pos="1092" w:val="left" w:leader="none"/>
          <w:tab w:pos="1093" w:val="left" w:leader="none"/>
        </w:tabs>
        <w:spacing w:line="267" w:lineRule="exact" w:before="0" w:after="0"/>
        <w:ind w:left="1092" w:right="0" w:hanging="361"/>
        <w:jc w:val="left"/>
        <w:rPr>
          <w:sz w:val="22"/>
        </w:rPr>
      </w:pPr>
      <w:r>
        <w:rPr>
          <w:sz w:val="22"/>
        </w:rPr>
        <w:t>organising</w:t>
      </w:r>
      <w:r>
        <w:rPr>
          <w:spacing w:val="-8"/>
          <w:sz w:val="22"/>
        </w:rPr>
        <w:t> </w:t>
      </w:r>
      <w:r>
        <w:rPr>
          <w:sz w:val="22"/>
        </w:rPr>
        <w:t>and</w:t>
      </w:r>
      <w:r>
        <w:rPr>
          <w:spacing w:val="-3"/>
          <w:sz w:val="22"/>
        </w:rPr>
        <w:t> </w:t>
      </w:r>
      <w:r>
        <w:rPr>
          <w:sz w:val="22"/>
        </w:rPr>
        <w:t>participating</w:t>
      </w:r>
      <w:r>
        <w:rPr>
          <w:spacing w:val="-5"/>
          <w:sz w:val="22"/>
        </w:rPr>
        <w:t> </w:t>
      </w:r>
      <w:r>
        <w:rPr>
          <w:sz w:val="22"/>
        </w:rPr>
        <w:t>in</w:t>
      </w:r>
      <w:r>
        <w:rPr>
          <w:spacing w:val="-3"/>
          <w:sz w:val="22"/>
        </w:rPr>
        <w:t> </w:t>
      </w:r>
      <w:r>
        <w:rPr>
          <w:sz w:val="22"/>
        </w:rPr>
        <w:t>the</w:t>
      </w:r>
      <w:r>
        <w:rPr>
          <w:spacing w:val="-3"/>
          <w:sz w:val="22"/>
        </w:rPr>
        <w:t> </w:t>
      </w:r>
      <w:r>
        <w:rPr>
          <w:sz w:val="22"/>
        </w:rPr>
        <w:t>meetings</w:t>
      </w:r>
      <w:r>
        <w:rPr>
          <w:spacing w:val="-3"/>
          <w:sz w:val="22"/>
        </w:rPr>
        <w:t> </w:t>
      </w:r>
      <w:r>
        <w:rPr>
          <w:sz w:val="22"/>
        </w:rPr>
        <w:t>of</w:t>
      </w:r>
      <w:r>
        <w:rPr>
          <w:spacing w:val="-2"/>
          <w:sz w:val="22"/>
        </w:rPr>
        <w:t> </w:t>
      </w:r>
      <w:r>
        <w:rPr>
          <w:sz w:val="22"/>
        </w:rPr>
        <w:t>the</w:t>
      </w:r>
      <w:r>
        <w:rPr>
          <w:spacing w:val="-2"/>
          <w:sz w:val="22"/>
        </w:rPr>
        <w:t> </w:t>
      </w:r>
      <w:r>
        <w:rPr>
          <w:sz w:val="22"/>
        </w:rPr>
        <w:t>HTA-CG</w:t>
      </w:r>
      <w:r>
        <w:rPr>
          <w:spacing w:val="-4"/>
          <w:sz w:val="22"/>
        </w:rPr>
        <w:t> </w:t>
      </w:r>
      <w:r>
        <w:rPr>
          <w:sz w:val="22"/>
        </w:rPr>
        <w:t>and</w:t>
      </w:r>
      <w:r>
        <w:rPr>
          <w:spacing w:val="-3"/>
          <w:sz w:val="22"/>
        </w:rPr>
        <w:t> </w:t>
      </w:r>
      <w:r>
        <w:rPr>
          <w:sz w:val="22"/>
        </w:rPr>
        <w:t>its</w:t>
      </w:r>
      <w:r>
        <w:rPr>
          <w:spacing w:val="-4"/>
          <w:sz w:val="22"/>
        </w:rPr>
        <w:t> </w:t>
      </w:r>
      <w:r>
        <w:rPr>
          <w:spacing w:val="-2"/>
          <w:sz w:val="22"/>
        </w:rPr>
        <w:t>subgroups;</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facilitating</w:t>
      </w:r>
      <w:r>
        <w:rPr>
          <w:spacing w:val="-10"/>
          <w:sz w:val="22"/>
        </w:rPr>
        <w:t> </w:t>
      </w:r>
      <w:r>
        <w:rPr>
          <w:sz w:val="22"/>
        </w:rPr>
        <w:t>coordination</w:t>
      </w:r>
      <w:r>
        <w:rPr>
          <w:spacing w:val="-5"/>
          <w:sz w:val="22"/>
        </w:rPr>
        <w:t> </w:t>
      </w:r>
      <w:r>
        <w:rPr>
          <w:sz w:val="22"/>
        </w:rPr>
        <w:t>and</w:t>
      </w:r>
      <w:r>
        <w:rPr>
          <w:spacing w:val="-5"/>
          <w:sz w:val="22"/>
        </w:rPr>
        <w:t> </w:t>
      </w:r>
      <w:r>
        <w:rPr>
          <w:sz w:val="22"/>
        </w:rPr>
        <w:t>exchanges</w:t>
      </w:r>
      <w:r>
        <w:rPr>
          <w:spacing w:val="-5"/>
          <w:sz w:val="22"/>
        </w:rPr>
        <w:t> </w:t>
      </w:r>
      <w:r>
        <w:rPr>
          <w:sz w:val="22"/>
        </w:rPr>
        <w:t>between</w:t>
      </w:r>
      <w:r>
        <w:rPr>
          <w:spacing w:val="-8"/>
          <w:sz w:val="22"/>
        </w:rPr>
        <w:t> </w:t>
      </w:r>
      <w:r>
        <w:rPr>
          <w:sz w:val="22"/>
        </w:rPr>
        <w:t>the</w:t>
      </w:r>
      <w:r>
        <w:rPr>
          <w:spacing w:val="-4"/>
          <w:sz w:val="22"/>
        </w:rPr>
        <w:t> </w:t>
      </w:r>
      <w:r>
        <w:rPr>
          <w:sz w:val="22"/>
        </w:rPr>
        <w:t>different</w:t>
      </w:r>
      <w:r>
        <w:rPr>
          <w:spacing w:val="-4"/>
          <w:sz w:val="22"/>
        </w:rPr>
        <w:t> </w:t>
      </w:r>
      <w:r>
        <w:rPr>
          <w:spacing w:val="-2"/>
          <w:sz w:val="22"/>
        </w:rPr>
        <w:t>subgroups;</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ensuring</w:t>
      </w:r>
      <w:r>
        <w:rPr>
          <w:spacing w:val="-8"/>
          <w:sz w:val="22"/>
        </w:rPr>
        <w:t> </w:t>
      </w:r>
      <w:r>
        <w:rPr>
          <w:sz w:val="22"/>
        </w:rPr>
        <w:t>appropriate</w:t>
      </w:r>
      <w:r>
        <w:rPr>
          <w:spacing w:val="-5"/>
          <w:sz w:val="22"/>
        </w:rPr>
        <w:t> </w:t>
      </w:r>
      <w:r>
        <w:rPr>
          <w:sz w:val="22"/>
        </w:rPr>
        <w:t>involvement</w:t>
      </w:r>
      <w:r>
        <w:rPr>
          <w:spacing w:val="-1"/>
          <w:sz w:val="22"/>
        </w:rPr>
        <w:t> </w:t>
      </w:r>
      <w:r>
        <w:rPr>
          <w:sz w:val="22"/>
        </w:rPr>
        <w:t>of</w:t>
      </w:r>
      <w:r>
        <w:rPr>
          <w:spacing w:val="-3"/>
          <w:sz w:val="22"/>
        </w:rPr>
        <w:t> </w:t>
      </w:r>
      <w:r>
        <w:rPr>
          <w:sz w:val="22"/>
        </w:rPr>
        <w:t>stakeholders</w:t>
      </w:r>
      <w:r>
        <w:rPr>
          <w:spacing w:val="-3"/>
          <w:sz w:val="22"/>
        </w:rPr>
        <w:t> </w:t>
      </w:r>
      <w:r>
        <w:rPr>
          <w:sz w:val="22"/>
        </w:rPr>
        <w:t>and</w:t>
      </w:r>
      <w:r>
        <w:rPr>
          <w:spacing w:val="-5"/>
          <w:sz w:val="22"/>
        </w:rPr>
        <w:t> </w:t>
      </w:r>
      <w:r>
        <w:rPr>
          <w:sz w:val="22"/>
        </w:rPr>
        <w:t>experts</w:t>
      </w:r>
      <w:r>
        <w:rPr>
          <w:spacing w:val="-5"/>
          <w:sz w:val="22"/>
        </w:rPr>
        <w:t> </w:t>
      </w:r>
      <w:r>
        <w:rPr>
          <w:sz w:val="22"/>
        </w:rPr>
        <w:t>in</w:t>
      </w:r>
      <w:r>
        <w:rPr>
          <w:spacing w:val="-2"/>
          <w:sz w:val="22"/>
        </w:rPr>
        <w:t> </w:t>
      </w:r>
      <w:r>
        <w:rPr>
          <w:sz w:val="22"/>
        </w:rPr>
        <w:t>the</w:t>
      </w:r>
      <w:r>
        <w:rPr>
          <w:spacing w:val="-3"/>
          <w:sz w:val="22"/>
        </w:rPr>
        <w:t> </w:t>
      </w:r>
      <w:r>
        <w:rPr>
          <w:sz w:val="22"/>
        </w:rPr>
        <w:t>work</w:t>
      </w:r>
      <w:r>
        <w:rPr>
          <w:spacing w:val="-4"/>
          <w:sz w:val="22"/>
        </w:rPr>
        <w:t> </w:t>
      </w:r>
      <w:r>
        <w:rPr>
          <w:sz w:val="22"/>
        </w:rPr>
        <w:t>of</w:t>
      </w:r>
      <w:r>
        <w:rPr>
          <w:spacing w:val="-5"/>
          <w:sz w:val="22"/>
        </w:rPr>
        <w:t> </w:t>
      </w:r>
      <w:r>
        <w:rPr>
          <w:sz w:val="22"/>
        </w:rPr>
        <w:t>the</w:t>
      </w:r>
      <w:r>
        <w:rPr>
          <w:spacing w:val="-4"/>
          <w:sz w:val="22"/>
        </w:rPr>
        <w:t> </w:t>
      </w:r>
      <w:r>
        <w:rPr>
          <w:spacing w:val="-2"/>
          <w:sz w:val="22"/>
        </w:rPr>
        <w:t>subgroups;</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participating</w:t>
      </w:r>
      <w:r>
        <w:rPr>
          <w:spacing w:val="-7"/>
          <w:sz w:val="22"/>
        </w:rPr>
        <w:t> </w:t>
      </w:r>
      <w:r>
        <w:rPr>
          <w:sz w:val="22"/>
        </w:rPr>
        <w:t>to</w:t>
      </w:r>
      <w:r>
        <w:rPr>
          <w:spacing w:val="-5"/>
          <w:sz w:val="22"/>
        </w:rPr>
        <w:t> </w:t>
      </w:r>
      <w:r>
        <w:rPr>
          <w:sz w:val="22"/>
        </w:rPr>
        <w:t>information</w:t>
      </w:r>
      <w:r>
        <w:rPr>
          <w:spacing w:val="-6"/>
          <w:sz w:val="22"/>
        </w:rPr>
        <w:t> </w:t>
      </w:r>
      <w:r>
        <w:rPr>
          <w:sz w:val="22"/>
        </w:rPr>
        <w:t>and</w:t>
      </w:r>
      <w:r>
        <w:rPr>
          <w:spacing w:val="-5"/>
          <w:sz w:val="22"/>
        </w:rPr>
        <w:t> </w:t>
      </w:r>
      <w:r>
        <w:rPr>
          <w:sz w:val="22"/>
        </w:rPr>
        <w:t>awareness</w:t>
      </w:r>
      <w:r>
        <w:rPr>
          <w:spacing w:val="-6"/>
          <w:sz w:val="22"/>
        </w:rPr>
        <w:t> </w:t>
      </w:r>
      <w:r>
        <w:rPr>
          <w:sz w:val="22"/>
        </w:rPr>
        <w:t>raising</w:t>
      </w:r>
      <w:r>
        <w:rPr>
          <w:spacing w:val="-6"/>
          <w:sz w:val="22"/>
        </w:rPr>
        <w:t> </w:t>
      </w:r>
      <w:r>
        <w:rPr>
          <w:spacing w:val="-2"/>
          <w:sz w:val="22"/>
        </w:rPr>
        <w:t>activities;</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liaising</w:t>
      </w:r>
      <w:r>
        <w:rPr>
          <w:spacing w:val="-9"/>
          <w:sz w:val="22"/>
        </w:rPr>
        <w:t> </w:t>
      </w:r>
      <w:r>
        <w:rPr>
          <w:sz w:val="22"/>
        </w:rPr>
        <w:t>with</w:t>
      </w:r>
      <w:r>
        <w:rPr>
          <w:spacing w:val="-6"/>
          <w:sz w:val="22"/>
        </w:rPr>
        <w:t> </w:t>
      </w:r>
      <w:r>
        <w:rPr>
          <w:sz w:val="22"/>
        </w:rPr>
        <w:t>national</w:t>
      </w:r>
      <w:r>
        <w:rPr>
          <w:spacing w:val="-6"/>
          <w:sz w:val="22"/>
        </w:rPr>
        <w:t> </w:t>
      </w:r>
      <w:r>
        <w:rPr>
          <w:sz w:val="22"/>
        </w:rPr>
        <w:t>authorities,</w:t>
      </w:r>
      <w:r>
        <w:rPr>
          <w:spacing w:val="-6"/>
          <w:sz w:val="22"/>
        </w:rPr>
        <w:t> </w:t>
      </w:r>
      <w:r>
        <w:rPr>
          <w:sz w:val="22"/>
        </w:rPr>
        <w:t>stakeholders,</w:t>
      </w:r>
      <w:r>
        <w:rPr>
          <w:spacing w:val="-6"/>
          <w:sz w:val="22"/>
        </w:rPr>
        <w:t> </w:t>
      </w:r>
      <w:r>
        <w:rPr>
          <w:sz w:val="22"/>
        </w:rPr>
        <w:t>agencies,</w:t>
      </w:r>
      <w:r>
        <w:rPr>
          <w:spacing w:val="-6"/>
          <w:sz w:val="22"/>
        </w:rPr>
        <w:t> </w:t>
      </w:r>
      <w:r>
        <w:rPr>
          <w:sz w:val="22"/>
        </w:rPr>
        <w:t>other</w:t>
      </w:r>
      <w:r>
        <w:rPr>
          <w:spacing w:val="-5"/>
          <w:sz w:val="22"/>
        </w:rPr>
        <w:t> </w:t>
      </w:r>
      <w:r>
        <w:rPr>
          <w:sz w:val="22"/>
        </w:rPr>
        <w:t>Commission</w:t>
      </w:r>
      <w:r>
        <w:rPr>
          <w:spacing w:val="-6"/>
          <w:sz w:val="22"/>
        </w:rPr>
        <w:t> </w:t>
      </w:r>
      <w:r>
        <w:rPr>
          <w:sz w:val="22"/>
        </w:rPr>
        <w:t>services,</w:t>
      </w:r>
      <w:r>
        <w:rPr>
          <w:spacing w:val="-6"/>
          <w:sz w:val="22"/>
        </w:rPr>
        <w:t> </w:t>
      </w:r>
      <w:r>
        <w:rPr>
          <w:spacing w:val="-2"/>
          <w:sz w:val="22"/>
        </w:rPr>
        <w:t>etc.;</w:t>
      </w:r>
    </w:p>
    <w:p>
      <w:pPr>
        <w:pStyle w:val="ListParagraph"/>
        <w:numPr>
          <w:ilvl w:val="1"/>
          <w:numId w:val="2"/>
        </w:numPr>
        <w:tabs>
          <w:tab w:pos="1092" w:val="left" w:leader="none"/>
          <w:tab w:pos="1093" w:val="left" w:leader="none"/>
        </w:tabs>
        <w:spacing w:line="240" w:lineRule="auto" w:before="0" w:after="0"/>
        <w:ind w:left="1092" w:right="111" w:hanging="361"/>
        <w:jc w:val="left"/>
        <w:rPr>
          <w:sz w:val="22"/>
        </w:rPr>
      </w:pPr>
      <w:r>
        <w:rPr>
          <w:sz w:val="22"/>
        </w:rPr>
        <w:t>preparing and drafting briefings, speeches or notes in the field of health technology assessment drawing on analysis and expertise in HTA;</w:t>
      </w:r>
    </w:p>
    <w:p>
      <w:pPr>
        <w:pStyle w:val="ListParagraph"/>
        <w:numPr>
          <w:ilvl w:val="1"/>
          <w:numId w:val="2"/>
        </w:numPr>
        <w:tabs>
          <w:tab w:pos="1092" w:val="left" w:leader="none"/>
          <w:tab w:pos="1093" w:val="left" w:leader="none"/>
        </w:tabs>
        <w:spacing w:line="240" w:lineRule="auto" w:before="0" w:after="0"/>
        <w:ind w:left="1092" w:right="110" w:hanging="361"/>
        <w:jc w:val="left"/>
        <w:rPr>
          <w:sz w:val="22"/>
        </w:rPr>
      </w:pPr>
      <w:r>
        <w:rPr>
          <w:sz w:val="22"/>
        </w:rPr>
        <w:t>following</w:t>
      </w:r>
      <w:r>
        <w:rPr>
          <w:spacing w:val="38"/>
          <w:sz w:val="22"/>
        </w:rPr>
        <w:t> </w:t>
      </w:r>
      <w:r>
        <w:rPr>
          <w:sz w:val="22"/>
        </w:rPr>
        <w:t>up</w:t>
      </w:r>
      <w:r>
        <w:rPr>
          <w:spacing w:val="38"/>
          <w:sz w:val="22"/>
        </w:rPr>
        <w:t> </w:t>
      </w:r>
      <w:r>
        <w:rPr>
          <w:sz w:val="22"/>
        </w:rPr>
        <w:t>policy</w:t>
      </w:r>
      <w:r>
        <w:rPr>
          <w:spacing w:val="39"/>
          <w:sz w:val="22"/>
        </w:rPr>
        <w:t> </w:t>
      </w:r>
      <w:r>
        <w:rPr>
          <w:sz w:val="22"/>
        </w:rPr>
        <w:t>proposals</w:t>
      </w:r>
      <w:r>
        <w:rPr>
          <w:spacing w:val="39"/>
          <w:sz w:val="22"/>
        </w:rPr>
        <w:t> </w:t>
      </w:r>
      <w:r>
        <w:rPr>
          <w:sz w:val="22"/>
        </w:rPr>
        <w:t>of</w:t>
      </w:r>
      <w:r>
        <w:rPr>
          <w:spacing w:val="40"/>
          <w:sz w:val="22"/>
        </w:rPr>
        <w:t> </w:t>
      </w:r>
      <w:r>
        <w:rPr>
          <w:sz w:val="22"/>
        </w:rPr>
        <w:t>the</w:t>
      </w:r>
      <w:r>
        <w:rPr>
          <w:spacing w:val="40"/>
          <w:sz w:val="22"/>
        </w:rPr>
        <w:t> </w:t>
      </w:r>
      <w:r>
        <w:rPr>
          <w:sz w:val="22"/>
        </w:rPr>
        <w:t>European</w:t>
      </w:r>
      <w:r>
        <w:rPr>
          <w:spacing w:val="40"/>
          <w:sz w:val="22"/>
        </w:rPr>
        <w:t> </w:t>
      </w:r>
      <w:r>
        <w:rPr>
          <w:sz w:val="22"/>
        </w:rPr>
        <w:t>Parliament</w:t>
      </w:r>
      <w:r>
        <w:rPr>
          <w:spacing w:val="40"/>
          <w:sz w:val="22"/>
        </w:rPr>
        <w:t> </w:t>
      </w:r>
      <w:r>
        <w:rPr>
          <w:sz w:val="22"/>
        </w:rPr>
        <w:t>and/</w:t>
      </w:r>
      <w:r>
        <w:rPr>
          <w:spacing w:val="40"/>
          <w:sz w:val="22"/>
        </w:rPr>
        <w:t> </w:t>
      </w:r>
      <w:r>
        <w:rPr>
          <w:sz w:val="22"/>
        </w:rPr>
        <w:t>or</w:t>
      </w:r>
      <w:r>
        <w:rPr>
          <w:spacing w:val="39"/>
          <w:sz w:val="22"/>
        </w:rPr>
        <w:t> </w:t>
      </w:r>
      <w:r>
        <w:rPr>
          <w:sz w:val="22"/>
        </w:rPr>
        <w:t>its</w:t>
      </w:r>
      <w:r>
        <w:rPr>
          <w:spacing w:val="39"/>
          <w:sz w:val="22"/>
        </w:rPr>
        <w:t> </w:t>
      </w:r>
      <w:r>
        <w:rPr>
          <w:sz w:val="22"/>
        </w:rPr>
        <w:t>Committees,</w:t>
      </w:r>
      <w:r>
        <w:rPr>
          <w:spacing w:val="40"/>
          <w:sz w:val="22"/>
        </w:rPr>
        <w:t> </w:t>
      </w:r>
      <w:r>
        <w:rPr>
          <w:sz w:val="22"/>
        </w:rPr>
        <w:t>the</w:t>
      </w:r>
      <w:r>
        <w:rPr>
          <w:spacing w:val="40"/>
          <w:sz w:val="22"/>
        </w:rPr>
        <w:t> </w:t>
      </w:r>
      <w:r>
        <w:rPr>
          <w:sz w:val="22"/>
        </w:rPr>
        <w:t>Council</w:t>
      </w:r>
      <w:r>
        <w:rPr>
          <w:spacing w:val="39"/>
          <w:sz w:val="22"/>
        </w:rPr>
        <w:t> </w:t>
      </w:r>
      <w:r>
        <w:rPr>
          <w:sz w:val="22"/>
        </w:rPr>
        <w:t>of</w:t>
      </w:r>
      <w:r>
        <w:rPr>
          <w:spacing w:val="39"/>
          <w:sz w:val="22"/>
        </w:rPr>
        <w:t> </w:t>
      </w:r>
      <w:r>
        <w:rPr>
          <w:sz w:val="22"/>
        </w:rPr>
        <w:t>the European Union, Coreper and/ or its working parties;</w:t>
      </w:r>
    </w:p>
    <w:p>
      <w:pPr>
        <w:pStyle w:val="ListParagraph"/>
        <w:numPr>
          <w:ilvl w:val="1"/>
          <w:numId w:val="2"/>
        </w:numPr>
        <w:tabs>
          <w:tab w:pos="1092" w:val="left" w:leader="none"/>
          <w:tab w:pos="1093" w:val="left" w:leader="none"/>
        </w:tabs>
        <w:spacing w:line="240" w:lineRule="auto" w:before="0" w:after="0"/>
        <w:ind w:left="1092" w:right="112" w:hanging="361"/>
        <w:jc w:val="left"/>
        <w:rPr>
          <w:sz w:val="22"/>
        </w:rPr>
      </w:pPr>
      <w:r>
        <w:rPr>
          <w:sz w:val="22"/>
        </w:rPr>
        <w:t>handle and draft replies to oral and written questions from Members of European Parliament and petitions from the public;</w:t>
      </w:r>
    </w:p>
    <w:p>
      <w:pPr>
        <w:pStyle w:val="BodyText"/>
        <w:rPr>
          <w:sz w:val="20"/>
        </w:rPr>
      </w:pPr>
    </w:p>
    <w:p>
      <w:pPr>
        <w:pStyle w:val="BodyText"/>
        <w:spacing w:before="5"/>
        <w:rPr>
          <w:sz w:val="20"/>
        </w:rPr>
      </w:pPr>
      <w:r>
        <w:rPr/>
        <w:pict>
          <v:rect style="position:absolute;margin-left:42.599998pt;margin-top:12.989569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2"/>
        </w:numPr>
        <w:tabs>
          <w:tab w:pos="1092" w:val="left" w:leader="none"/>
          <w:tab w:pos="1093" w:val="left" w:leader="none"/>
        </w:tabs>
        <w:spacing w:line="240" w:lineRule="auto" w:before="89" w:after="0"/>
        <w:ind w:left="1092" w:right="114" w:hanging="361"/>
        <w:jc w:val="left"/>
        <w:rPr>
          <w:sz w:val="22"/>
        </w:rPr>
      </w:pPr>
      <w:r>
        <w:rPr>
          <w:sz w:val="22"/>
        </w:rPr>
        <w:t>contributing</w:t>
      </w:r>
      <w:r>
        <w:rPr>
          <w:spacing w:val="34"/>
          <w:sz w:val="22"/>
        </w:rPr>
        <w:t> </w:t>
      </w:r>
      <w:r>
        <w:rPr>
          <w:sz w:val="22"/>
        </w:rPr>
        <w:t>to</w:t>
      </w:r>
      <w:r>
        <w:rPr>
          <w:spacing w:val="37"/>
          <w:sz w:val="22"/>
        </w:rPr>
        <w:t> </w:t>
      </w:r>
      <w:r>
        <w:rPr>
          <w:sz w:val="22"/>
        </w:rPr>
        <w:t>the</w:t>
      </w:r>
      <w:r>
        <w:rPr>
          <w:spacing w:val="37"/>
          <w:sz w:val="22"/>
        </w:rPr>
        <w:t> </w:t>
      </w:r>
      <w:r>
        <w:rPr>
          <w:sz w:val="22"/>
        </w:rPr>
        <w:t>broader</w:t>
      </w:r>
      <w:r>
        <w:rPr>
          <w:spacing w:val="38"/>
          <w:sz w:val="22"/>
        </w:rPr>
        <w:t> </w:t>
      </w:r>
      <w:r>
        <w:rPr>
          <w:sz w:val="22"/>
        </w:rPr>
        <w:t>work</w:t>
      </w:r>
      <w:r>
        <w:rPr>
          <w:spacing w:val="34"/>
          <w:sz w:val="22"/>
        </w:rPr>
        <w:t> </w:t>
      </w:r>
      <w:r>
        <w:rPr>
          <w:sz w:val="22"/>
        </w:rPr>
        <w:t>of</w:t>
      </w:r>
      <w:r>
        <w:rPr>
          <w:spacing w:val="38"/>
          <w:sz w:val="22"/>
        </w:rPr>
        <w:t> </w:t>
      </w:r>
      <w:r>
        <w:rPr>
          <w:sz w:val="22"/>
        </w:rPr>
        <w:t>the</w:t>
      </w:r>
      <w:r>
        <w:rPr>
          <w:spacing w:val="37"/>
          <w:sz w:val="22"/>
        </w:rPr>
        <w:t> </w:t>
      </w:r>
      <w:r>
        <w:rPr>
          <w:sz w:val="22"/>
        </w:rPr>
        <w:t>unit,</w:t>
      </w:r>
      <w:r>
        <w:rPr>
          <w:spacing w:val="37"/>
          <w:sz w:val="22"/>
        </w:rPr>
        <w:t> </w:t>
      </w:r>
      <w:r>
        <w:rPr>
          <w:sz w:val="22"/>
        </w:rPr>
        <w:t>including</w:t>
      </w:r>
      <w:r>
        <w:rPr>
          <w:spacing w:val="34"/>
          <w:sz w:val="22"/>
        </w:rPr>
        <w:t> </w:t>
      </w:r>
      <w:r>
        <w:rPr>
          <w:sz w:val="22"/>
        </w:rPr>
        <w:t>help</w:t>
      </w:r>
      <w:r>
        <w:rPr>
          <w:spacing w:val="37"/>
          <w:sz w:val="22"/>
        </w:rPr>
        <w:t> </w:t>
      </w:r>
      <w:r>
        <w:rPr>
          <w:sz w:val="22"/>
        </w:rPr>
        <w:t>in</w:t>
      </w:r>
      <w:r>
        <w:rPr>
          <w:spacing w:val="37"/>
          <w:sz w:val="22"/>
        </w:rPr>
        <w:t> </w:t>
      </w:r>
      <w:r>
        <w:rPr>
          <w:sz w:val="22"/>
        </w:rPr>
        <w:t>answering</w:t>
      </w:r>
      <w:r>
        <w:rPr>
          <w:spacing w:val="34"/>
          <w:sz w:val="22"/>
        </w:rPr>
        <w:t> </w:t>
      </w:r>
      <w:r>
        <w:rPr>
          <w:sz w:val="22"/>
        </w:rPr>
        <w:t>requests</w:t>
      </w:r>
      <w:r>
        <w:rPr>
          <w:spacing w:val="37"/>
          <w:sz w:val="22"/>
        </w:rPr>
        <w:t> </w:t>
      </w:r>
      <w:r>
        <w:rPr>
          <w:sz w:val="22"/>
        </w:rPr>
        <w:t>from</w:t>
      </w:r>
      <w:r>
        <w:rPr>
          <w:spacing w:val="33"/>
          <w:sz w:val="22"/>
        </w:rPr>
        <w:t> </w:t>
      </w:r>
      <w:r>
        <w:rPr>
          <w:sz w:val="22"/>
        </w:rPr>
        <w:t>hierarchy</w:t>
      </w:r>
      <w:r>
        <w:rPr>
          <w:spacing w:val="34"/>
          <w:sz w:val="22"/>
        </w:rPr>
        <w:t> </w:t>
      </w:r>
      <w:r>
        <w:rPr>
          <w:sz w:val="22"/>
        </w:rPr>
        <w:t>and ensuring coherence and prioritisation of tasks and support and back up of colleagues.</w:t>
      </w:r>
    </w:p>
    <w:p>
      <w:pPr>
        <w:pStyle w:val="BodyText"/>
        <w:spacing w:before="10"/>
        <w:rPr>
          <w:sz w:val="21"/>
        </w:rPr>
      </w:pPr>
    </w:p>
    <w:p>
      <w:pPr>
        <w:pStyle w:val="BodyText"/>
        <w:spacing w:before="1"/>
        <w:ind w:left="372" w:right="111"/>
        <w:jc w:val="both"/>
      </w:pPr>
      <w:r>
        <w:rPr/>
        <w:t>The SNE will be in unit C2 and integrated in the SANTE HTA team, working in synergy and close cooperation with the colleagues and all parties involved in the HTAR implementation.</w:t>
      </w:r>
    </w:p>
    <w:p>
      <w:pPr>
        <w:pStyle w:val="BodyText"/>
        <w:spacing w:before="1"/>
      </w:pPr>
    </w:p>
    <w:p>
      <w:pPr>
        <w:pStyle w:val="BodyText"/>
        <w:ind w:left="372" w:right="104"/>
        <w:jc w:val="both"/>
      </w:pPr>
      <w:r>
        <w:rPr/>
        <w:t>The SNE will work under the supervision of an administrator. Without prejudice to the principle of loyal cooperation between national/ regional and European/ EFTA/ EEA administrations, the SNE will not work on individual legal cases with implications for files which he/ she dealt with in his/ her national administration in the two years preceding his/ her entry into the Commission, or directly related cases. Under no circumstances will he/ she represent the Commission with a view to entering into commitments, whether financial or otherwise, or negotiating on its behalf.</w:t>
      </w:r>
    </w:p>
    <w:p>
      <w:pPr>
        <w:pStyle w:val="BodyText"/>
        <w:spacing w:before="3"/>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8"/>
        <w:rPr>
          <w:b/>
          <w:sz w:val="21"/>
        </w:rPr>
      </w:pPr>
    </w:p>
    <w:p>
      <w:pPr>
        <w:pStyle w:val="BodyText"/>
        <w:ind w:left="799" w:right="109"/>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4"/>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4"/>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0"/>
          <w:numId w:val="4"/>
        </w:numPr>
        <w:tabs>
          <w:tab w:pos="1081" w:val="left" w:leader="none"/>
        </w:tabs>
        <w:spacing w:line="240" w:lineRule="auto" w:before="1"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2"/>
        <w:ind w:left="1080"/>
      </w:pPr>
      <w:r>
        <w:rPr>
          <w:spacing w:val="-2"/>
          <w:u w:val="single"/>
        </w:rPr>
        <w:t>Diploma</w:t>
      </w:r>
    </w:p>
    <w:p>
      <w:pPr>
        <w:pStyle w:val="ListParagraph"/>
        <w:numPr>
          <w:ilvl w:val="1"/>
          <w:numId w:val="3"/>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firstLine="110"/>
      </w:pPr>
      <w:r>
        <w:rPr/>
        <w:t>in</w:t>
      </w:r>
      <w:r>
        <w:rPr>
          <w:spacing w:val="-3"/>
        </w:rPr>
        <w:t> </w:t>
      </w:r>
      <w:r>
        <w:rPr/>
        <w:t>the</w:t>
      </w:r>
      <w:r>
        <w:rPr>
          <w:spacing w:val="-3"/>
        </w:rPr>
        <w:t> </w:t>
      </w:r>
      <w:r>
        <w:rPr/>
        <w:t>field(s)</w:t>
      </w:r>
      <w:r>
        <w:rPr>
          <w:spacing w:val="-3"/>
        </w:rPr>
        <w:t> </w:t>
      </w:r>
      <w:r>
        <w:rPr/>
        <w:t>:health</w:t>
      </w:r>
      <w:r>
        <w:rPr>
          <w:spacing w:val="-3"/>
        </w:rPr>
        <w:t> </w:t>
      </w:r>
      <w:r>
        <w:rPr/>
        <w:t>sciences,</w:t>
      </w:r>
      <w:r>
        <w:rPr>
          <w:spacing w:val="-3"/>
        </w:rPr>
        <w:t> </w:t>
      </w:r>
      <w:r>
        <w:rPr/>
        <w:t>medical,</w:t>
      </w:r>
      <w:r>
        <w:rPr>
          <w:spacing w:val="-3"/>
        </w:rPr>
        <w:t> </w:t>
      </w:r>
      <w:r>
        <w:rPr/>
        <w:t>public</w:t>
      </w:r>
      <w:r>
        <w:rPr>
          <w:spacing w:val="-3"/>
        </w:rPr>
        <w:t> </w:t>
      </w:r>
      <w:r>
        <w:rPr/>
        <w:t>health,</w:t>
      </w:r>
      <w:r>
        <w:rPr>
          <w:spacing w:val="-3"/>
        </w:rPr>
        <w:t> </w:t>
      </w:r>
      <w:r>
        <w:rPr/>
        <w:t>health</w:t>
      </w:r>
      <w:r>
        <w:rPr>
          <w:spacing w:val="-3"/>
        </w:rPr>
        <w:t> </w:t>
      </w:r>
      <w:r>
        <w:rPr/>
        <w:t>technology</w:t>
      </w:r>
      <w:r>
        <w:rPr>
          <w:spacing w:val="-2"/>
        </w:rPr>
        <w:t> </w:t>
      </w:r>
      <w:r>
        <w:rPr/>
        <w:t>assessment,</w:t>
      </w:r>
      <w:r>
        <w:rPr>
          <w:spacing w:val="-2"/>
        </w:rPr>
        <w:t> </w:t>
      </w:r>
      <w:r>
        <w:rPr/>
        <w:t>pharmacoeconomics science, medical or otherwise relevant for the post</w:t>
      </w:r>
    </w:p>
    <w:p>
      <w:pPr>
        <w:pStyle w:val="BodyText"/>
        <w:spacing w:before="2"/>
      </w:pPr>
    </w:p>
    <w:p>
      <w:pPr>
        <w:pStyle w:val="BodyText"/>
        <w:ind w:left="1080"/>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line="480" w:lineRule="auto" w:before="92"/>
        <w:ind w:left="1080" w:right="434"/>
      </w:pPr>
      <w:r>
        <w:rPr/>
        <w:t>at</w:t>
      </w:r>
      <w:r>
        <w:rPr>
          <w:spacing w:val="-1"/>
        </w:rPr>
        <w:t> </w:t>
      </w:r>
      <w:r>
        <w:rPr/>
        <w:t>least</w:t>
      </w:r>
      <w:r>
        <w:rPr>
          <w:spacing w:val="-4"/>
        </w:rPr>
        <w:t> </w:t>
      </w:r>
      <w:r>
        <w:rPr/>
        <w:t>two</w:t>
      </w:r>
      <w:r>
        <w:rPr>
          <w:spacing w:val="-2"/>
        </w:rPr>
        <w:t> </w:t>
      </w:r>
      <w:r>
        <w:rPr/>
        <w:t>years</w:t>
      </w:r>
      <w:r>
        <w:rPr>
          <w:spacing w:val="-4"/>
        </w:rPr>
        <w:t> </w:t>
      </w:r>
      <w:r>
        <w:rPr/>
        <w:t>in</w:t>
      </w:r>
      <w:r>
        <w:rPr>
          <w:spacing w:val="-5"/>
        </w:rPr>
        <w:t> </w:t>
      </w:r>
      <w:r>
        <w:rPr/>
        <w:t>the</w:t>
      </w:r>
      <w:r>
        <w:rPr>
          <w:spacing w:val="-4"/>
        </w:rPr>
        <w:t> </w:t>
      </w:r>
      <w:r>
        <w:rPr/>
        <w:t>field</w:t>
      </w:r>
      <w:r>
        <w:rPr>
          <w:spacing w:val="-2"/>
        </w:rPr>
        <w:t> </w:t>
      </w:r>
      <w:r>
        <w:rPr/>
        <w:t>of</w:t>
      </w:r>
      <w:r>
        <w:rPr>
          <w:spacing w:val="-2"/>
        </w:rPr>
        <w:t> </w:t>
      </w:r>
      <w:r>
        <w:rPr/>
        <w:t>health</w:t>
      </w:r>
      <w:r>
        <w:rPr>
          <w:spacing w:val="-5"/>
        </w:rPr>
        <w:t> </w:t>
      </w:r>
      <w:r>
        <w:rPr/>
        <w:t>technology</w:t>
      </w:r>
      <w:r>
        <w:rPr>
          <w:spacing w:val="-5"/>
        </w:rPr>
        <w:t> </w:t>
      </w:r>
      <w:r>
        <w:rPr/>
        <w:t>assessment</w:t>
      </w:r>
      <w:r>
        <w:rPr>
          <w:spacing w:val="-1"/>
        </w:rPr>
        <w:t> </w:t>
      </w:r>
      <w:r>
        <w:rPr/>
        <w:t>(preferable)</w:t>
      </w:r>
      <w:r>
        <w:rPr>
          <w:spacing w:val="-2"/>
        </w:rPr>
        <w:t> </w:t>
      </w:r>
      <w:r>
        <w:rPr/>
        <w:t>or</w:t>
      </w:r>
      <w:r>
        <w:rPr>
          <w:spacing w:val="-2"/>
        </w:rPr>
        <w:t> </w:t>
      </w:r>
      <w:r>
        <w:rPr/>
        <w:t>health</w:t>
      </w:r>
      <w:r>
        <w:rPr>
          <w:spacing w:val="-2"/>
        </w:rPr>
        <w:t> </w:t>
      </w:r>
      <w:r>
        <w:rPr/>
        <w:t>sciences </w:t>
      </w:r>
      <w:r>
        <w:rPr>
          <w:u w:val="single"/>
        </w:rPr>
        <w:t>Language(s) necessary for the performance of duties</w:t>
      </w:r>
    </w:p>
    <w:p>
      <w:pPr>
        <w:pStyle w:val="BodyText"/>
        <w:spacing w:before="1"/>
        <w:ind w:left="1080"/>
      </w:pPr>
      <w:r>
        <w:rPr/>
        <w:t>Good</w:t>
      </w:r>
      <w:r>
        <w:rPr>
          <w:spacing w:val="27"/>
        </w:rPr>
        <w:t> </w:t>
      </w:r>
      <w:r>
        <w:rPr/>
        <w:t>command</w:t>
      </w:r>
      <w:r>
        <w:rPr>
          <w:spacing w:val="28"/>
        </w:rPr>
        <w:t> </w:t>
      </w:r>
      <w:r>
        <w:rPr/>
        <w:t>of</w:t>
      </w:r>
      <w:r>
        <w:rPr>
          <w:spacing w:val="28"/>
        </w:rPr>
        <w:t> </w:t>
      </w:r>
      <w:r>
        <w:rPr/>
        <w:t>English</w:t>
      </w:r>
      <w:r>
        <w:rPr>
          <w:spacing w:val="27"/>
        </w:rPr>
        <w:t> </w:t>
      </w:r>
      <w:r>
        <w:rPr/>
        <w:t>is</w:t>
      </w:r>
      <w:r>
        <w:rPr>
          <w:spacing w:val="28"/>
        </w:rPr>
        <w:t> </w:t>
      </w:r>
      <w:r>
        <w:rPr/>
        <w:t>essential</w:t>
      </w:r>
      <w:r>
        <w:rPr>
          <w:spacing w:val="32"/>
        </w:rPr>
        <w:t> </w:t>
      </w:r>
      <w:r>
        <w:rPr/>
        <w:t>as</w:t>
      </w:r>
      <w:r>
        <w:rPr>
          <w:spacing w:val="26"/>
        </w:rPr>
        <w:t> </w:t>
      </w:r>
      <w:r>
        <w:rPr/>
        <w:t>this</w:t>
      </w:r>
      <w:r>
        <w:rPr>
          <w:spacing w:val="28"/>
        </w:rPr>
        <w:t> </w:t>
      </w:r>
      <w:r>
        <w:rPr/>
        <w:t>is</w:t>
      </w:r>
      <w:r>
        <w:rPr>
          <w:spacing w:val="25"/>
        </w:rPr>
        <w:t> </w:t>
      </w:r>
      <w:r>
        <w:rPr/>
        <w:t>the</w:t>
      </w:r>
      <w:r>
        <w:rPr>
          <w:spacing w:val="28"/>
        </w:rPr>
        <w:t> </w:t>
      </w:r>
      <w:r>
        <w:rPr/>
        <w:t>main</w:t>
      </w:r>
      <w:r>
        <w:rPr>
          <w:spacing w:val="27"/>
        </w:rPr>
        <w:t> </w:t>
      </w:r>
      <w:r>
        <w:rPr/>
        <w:t>working</w:t>
      </w:r>
      <w:r>
        <w:rPr>
          <w:spacing w:val="25"/>
        </w:rPr>
        <w:t> </w:t>
      </w:r>
      <w:r>
        <w:rPr/>
        <w:t>language.</w:t>
      </w:r>
      <w:r>
        <w:rPr>
          <w:spacing w:val="27"/>
        </w:rPr>
        <w:t> </w:t>
      </w:r>
      <w:r>
        <w:rPr/>
        <w:t>Competency</w:t>
      </w:r>
      <w:r>
        <w:rPr>
          <w:spacing w:val="25"/>
        </w:rPr>
        <w:t> </w:t>
      </w:r>
      <w:r>
        <w:rPr/>
        <w:t>in</w:t>
      </w:r>
      <w:r>
        <w:rPr>
          <w:spacing w:val="27"/>
        </w:rPr>
        <w:t> </w:t>
      </w:r>
      <w:r>
        <w:rPr/>
        <w:t>other</w:t>
      </w:r>
      <w:r>
        <w:rPr>
          <w:spacing w:val="28"/>
        </w:rPr>
        <w:t> </w:t>
      </w:r>
      <w:r>
        <w:rPr/>
        <w:t>EU languages would be an asset.</w:t>
      </w:r>
    </w:p>
    <w:p>
      <w:pPr>
        <w:pStyle w:val="BodyText"/>
        <w:spacing w:before="4"/>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before="92"/>
        <w:ind w:left="799" w:right="278"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3"/>
          <w:sz w:val="22"/>
          <w:u w:val="single"/>
        </w:rPr>
        <w:t> </w:t>
      </w:r>
      <w:r>
        <w:rPr>
          <w:b/>
          <w:sz w:val="22"/>
          <w:u w:val="single"/>
        </w:rPr>
        <w:t>Permanent Representation</w:t>
      </w:r>
      <w:r>
        <w:rPr>
          <w:b/>
          <w:spacing w:val="-2"/>
          <w:sz w:val="22"/>
          <w:u w:val="single"/>
        </w:rPr>
        <w:t> </w:t>
      </w:r>
      <w:r>
        <w:rPr>
          <w:b/>
          <w:sz w:val="22"/>
          <w:u w:val="single"/>
        </w:rPr>
        <w:t>/ Diplomatic</w:t>
      </w:r>
      <w:r>
        <w:rPr>
          <w:b/>
          <w:spacing w:val="-3"/>
          <w:sz w:val="22"/>
          <w:u w:val="single"/>
        </w:rPr>
        <w:t> </w:t>
      </w:r>
      <w:r>
        <w:rPr>
          <w:b/>
          <w:sz w:val="22"/>
          <w:u w:val="single"/>
        </w:rPr>
        <w:t>Mission</w:t>
      </w:r>
      <w:r>
        <w:rPr>
          <w:b/>
          <w:spacing w:val="-1"/>
          <w:sz w:val="22"/>
          <w:u w:val="single"/>
        </w:rPr>
        <w:t> </w:t>
      </w:r>
      <w:r>
        <w:rPr>
          <w:b/>
          <w:sz w:val="22"/>
          <w:u w:val="single"/>
        </w:rPr>
        <w:t>to</w:t>
      </w:r>
      <w:r>
        <w:rPr>
          <w:b/>
          <w:spacing w:val="5"/>
          <w:sz w:val="22"/>
          <w:u w:val="single"/>
        </w:rPr>
        <w:t> </w:t>
      </w:r>
      <w:r>
        <w:rPr>
          <w:b/>
          <w:sz w:val="22"/>
          <w:u w:val="single"/>
        </w:rPr>
        <w:t>the</w:t>
      </w:r>
      <w:r>
        <w:rPr>
          <w:b/>
          <w:spacing w:val="-1"/>
          <w:sz w:val="22"/>
          <w:u w:val="single"/>
        </w:rPr>
        <w:t> </w:t>
      </w:r>
      <w:r>
        <w:rPr>
          <w:b/>
          <w:sz w:val="22"/>
          <w:u w:val="single"/>
        </w:rPr>
        <w:t>EU</w:t>
      </w:r>
      <w:r>
        <w:rPr>
          <w:b/>
          <w:spacing w:val="-2"/>
          <w:sz w:val="22"/>
          <w:u w:val="single"/>
        </w:rPr>
        <w:t> </w:t>
      </w:r>
      <w:r>
        <w:rPr>
          <w:b/>
          <w:sz w:val="22"/>
          <w:u w:val="single"/>
        </w:rPr>
        <w:t>of</w:t>
      </w:r>
      <w:r>
        <w:rPr>
          <w:b/>
          <w:spacing w:val="3"/>
          <w:sz w:val="22"/>
          <w:u w:val="single"/>
        </w:rPr>
        <w:t> </w:t>
      </w:r>
      <w:r>
        <w:rPr>
          <w:b/>
          <w:sz w:val="22"/>
          <w:u w:val="single"/>
        </w:rPr>
        <w:t>their</w:t>
      </w:r>
      <w:r>
        <w:rPr>
          <w:b/>
          <w:spacing w:val="-1"/>
          <w:sz w:val="22"/>
          <w:u w:val="single"/>
        </w:rPr>
        <w:t> </w:t>
      </w:r>
      <w:r>
        <w:rPr>
          <w:b/>
          <w:sz w:val="22"/>
          <w:u w:val="single"/>
        </w:rPr>
        <w:t>country</w:t>
      </w:r>
      <w:r>
        <w:rPr>
          <w:sz w:val="22"/>
        </w:rPr>
        <w:t>,</w:t>
      </w:r>
      <w:r>
        <w:rPr>
          <w:spacing w:val="-1"/>
          <w:sz w:val="22"/>
        </w:rPr>
        <w:t> </w:t>
      </w:r>
      <w:r>
        <w:rPr>
          <w:sz w:val="22"/>
        </w:rPr>
        <w:t>which will</w:t>
      </w:r>
      <w:r>
        <w:rPr>
          <w:spacing w:val="-2"/>
          <w:sz w:val="22"/>
        </w:rPr>
        <w:t> </w:t>
      </w:r>
      <w:r>
        <w:rPr>
          <w:sz w:val="22"/>
        </w:rPr>
        <w:t>forward</w:t>
      </w:r>
      <w:r>
        <w:rPr>
          <w:spacing w:val="-1"/>
          <w:sz w:val="22"/>
        </w:rPr>
        <w:t> </w:t>
      </w:r>
      <w:r>
        <w:rPr>
          <w:sz w:val="22"/>
        </w:rPr>
        <w:t>it</w:t>
      </w:r>
      <w:r>
        <w:rPr>
          <w:spacing w:val="1"/>
          <w:sz w:val="22"/>
        </w:rPr>
        <w:t> </w:t>
      </w:r>
      <w:r>
        <w:rPr>
          <w:spacing w:val="-5"/>
          <w:sz w:val="22"/>
        </w:rPr>
        <w:t>to</w:t>
      </w:r>
    </w:p>
    <w:p>
      <w:pPr>
        <w:spacing w:after="0"/>
        <w:jc w:val="both"/>
        <w:rPr>
          <w:sz w:val="22"/>
        </w:rPr>
        <w:sectPr>
          <w:pgSz w:w="11910" w:h="16840"/>
          <w:pgMar w:header="0" w:footer="690" w:top="1020" w:bottom="880" w:left="480" w:right="740"/>
        </w:sectPr>
      </w:pPr>
    </w:p>
    <w:p>
      <w:pPr>
        <w:spacing w:line="242" w:lineRule="auto" w:before="68"/>
        <w:ind w:left="799" w:right="281" w:firstLine="0"/>
        <w:jc w:val="both"/>
        <w:rPr>
          <w:b/>
          <w:sz w:val="22"/>
        </w:rPr>
      </w:pPr>
      <w:r>
        <w:rPr>
          <w:sz w:val="22"/>
        </w:rPr>
        <w:t>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5"/>
        <w:rPr>
          <w:b/>
          <w:sz w:val="21"/>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9"/>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4"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2"/>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56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2"/>
      </w:pPr>
    </w:p>
    <w:p>
      <w:pPr>
        <w:pStyle w:val="Heading1"/>
        <w:numPr>
          <w:ilvl w:val="0"/>
          <w:numId w:val="5"/>
        </w:numPr>
        <w:tabs>
          <w:tab w:pos="1081" w:val="left" w:leader="none"/>
        </w:tabs>
        <w:spacing w:line="240" w:lineRule="auto"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spacing w:after="0" w:line="240" w:lineRule="auto"/>
        <w:jc w:val="both"/>
        <w:sectPr>
          <w:pgSz w:w="11910" w:h="16840"/>
          <w:pgMar w:header="0" w:footer="690" w:top="1040" w:bottom="880" w:left="480" w:right="740"/>
        </w:sectPr>
      </w:pPr>
    </w:p>
    <w:p>
      <w:pPr>
        <w:pStyle w:val="BodyText"/>
        <w:spacing w:before="68"/>
        <w:ind w:left="1080" w:right="284"/>
        <w:jc w:val="both"/>
      </w:pPr>
      <w:r>
        <w:rPr/>
        <w:pict>
          <v:rect style="position:absolute;margin-left:230.330002pt;margin-top:27.589539pt;width:3.72pt;height:.48pt;mso-position-horizontal-relative:page;mso-position-vertical-relative:paragraph;z-index:-15822848"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2"/>
        <w:ind w:left="1080"/>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pt;height:10.95pt;mso-position-horizontal-relative:page;mso-position-vertical-relative:page;z-index:-15823872"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10-</w:t>
                </w:r>
                <w:r>
                  <w:rPr>
                    <w:spacing w:val="-4"/>
                    <w:sz w:val="16"/>
                  </w:rPr>
                  <w:t>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w w:val="99"/>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aya.MATTHEW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2023-02-16T16:56:56Z</dcterms:created>
  <dcterms:modified xsi:type="dcterms:W3CDTF">2023-02-16T16:56:56Z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