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5"/>
              <w:rPr>
                <w:sz w:val="24"/>
              </w:rPr>
            </w:pPr>
            <w:r>
              <w:rPr>
                <w:sz w:val="24"/>
              </w:rPr>
              <w:t>CNECT</w:t>
            </w:r>
            <w:r>
              <w:rPr>
                <w:spacing w:val="-4"/>
                <w:sz w:val="24"/>
              </w:rPr>
              <w:t> </w:t>
            </w:r>
            <w:r>
              <w:rPr>
                <w:spacing w:val="-5"/>
                <w:sz w:val="24"/>
              </w:rPr>
              <w:t>F3</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ind w:right="805"/>
              <w:rPr>
                <w:sz w:val="24"/>
              </w:rPr>
            </w:pPr>
            <w:r>
              <w:rPr>
                <w:sz w:val="24"/>
              </w:rPr>
              <w:t>Filomena Chirico </w:t>
            </w:r>
            <w:hyperlink r:id="rId7">
              <w:r>
                <w:rPr>
                  <w:spacing w:val="-2"/>
                  <w:sz w:val="24"/>
                </w:rPr>
                <w:t>Filomena.chirico@ec.europa.eu</w:t>
              </w:r>
            </w:hyperlink>
          </w:p>
          <w:p>
            <w:pPr>
              <w:pStyle w:val="TableParagraph"/>
              <w:rPr>
                <w:sz w:val="24"/>
              </w:rPr>
            </w:pPr>
            <w:r>
              <w:rPr>
                <w:spacing w:val="-2"/>
                <w:sz w:val="24"/>
              </w:rPr>
              <w:t>+32.29.95265</w:t>
            </w:r>
          </w:p>
          <w:p>
            <w:pPr>
              <w:pStyle w:val="TableParagraph"/>
              <w:spacing w:line="275" w:lineRule="exact" w:before="1"/>
              <w:rPr>
                <w:b/>
                <w:sz w:val="24"/>
              </w:rPr>
            </w:pPr>
            <w:r>
              <w:rPr>
                <w:b/>
                <w:sz w:val="24"/>
              </w:rPr>
              <w:t>1</w:t>
            </w:r>
          </w:p>
          <w:p>
            <w:pPr>
              <w:pStyle w:val="TableParagraph"/>
              <w:spacing w:line="252" w:lineRule="exact"/>
              <w:rPr>
                <w:b/>
                <w:sz w:val="22"/>
              </w:rPr>
            </w:pPr>
            <w:r>
              <w:rPr>
                <w:b/>
                <w:sz w:val="22"/>
              </w:rPr>
              <w:t>3rd</w:t>
            </w:r>
            <w:r>
              <w:rPr>
                <w:b/>
                <w:spacing w:val="-7"/>
                <w:sz w:val="22"/>
              </w:rPr>
              <w:t> </w:t>
            </w:r>
            <w:r>
              <w:rPr>
                <w:b/>
                <w:sz w:val="22"/>
              </w:rPr>
              <w:t>quarter</w:t>
            </w:r>
            <w:r>
              <w:rPr>
                <w:b/>
                <w:spacing w:val="-7"/>
                <w:sz w:val="22"/>
              </w:rPr>
              <w:t> </w:t>
            </w:r>
            <w:r>
              <w:rPr>
                <w:b/>
                <w:sz w:val="22"/>
              </w:rPr>
              <w:t>2023</w:t>
            </w:r>
            <w:r>
              <w:rPr>
                <w:b/>
                <w:spacing w:val="-7"/>
                <w:sz w:val="22"/>
              </w:rPr>
              <w:t> </w:t>
            </w:r>
            <w:r>
              <w:rPr>
                <w:b/>
                <w:spacing w:val="-10"/>
                <w:sz w:val="22"/>
                <w:vertAlign w:val="superscript"/>
              </w:rPr>
              <w:t>1</w:t>
            </w:r>
          </w:p>
          <w:p>
            <w:pPr>
              <w:pStyle w:val="TableParagraph"/>
              <w:rPr>
                <w:b/>
                <w:sz w:val="22"/>
              </w:rPr>
            </w:pPr>
            <w:r>
              <w:rPr>
                <w:b/>
                <w:sz w:val="22"/>
              </w:rPr>
              <w:t>2</w:t>
            </w:r>
            <w:r>
              <w:rPr>
                <w:b/>
                <w:spacing w:val="-2"/>
                <w:sz w:val="22"/>
              </w:rPr>
              <w:t> year(s</w:t>
            </w:r>
            <w:r>
              <w:rPr>
                <w:b/>
                <w:spacing w:val="-2"/>
                <w:sz w:val="22"/>
                <w:vertAlign w:val="superscript"/>
              </w:rPr>
              <w:t>)1</w:t>
            </w:r>
          </w:p>
          <w:p>
            <w:pPr>
              <w:pStyle w:val="TableParagraph"/>
              <w:spacing w:before="3"/>
              <w:rPr>
                <w:b/>
                <w:sz w:val="22"/>
              </w:rPr>
            </w:pPr>
            <w:r>
              <w:rPr>
                <w:rFonts w:ascii="MS Gothic" w:hAnsi="MS Gothic"/>
                <w:spacing w:val="-2"/>
                <w:sz w:val="22"/>
              </w:rPr>
              <w:t>☑</w:t>
            </w:r>
            <w:r>
              <w:rPr>
                <w:b/>
                <w:spacing w:val="-2"/>
                <w:sz w:val="22"/>
              </w:rPr>
              <w:t>Brussels</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2972" w:val="left" w:leader="none"/>
                <w:tab w:pos="3444" w:val="left" w:leader="none"/>
              </w:tabs>
              <w:spacing w:before="132"/>
              <w:rPr>
                <w:b/>
                <w:sz w:val="22"/>
              </w:rPr>
            </w:pPr>
            <w:r>
              <w:rPr>
                <w:rFonts w:ascii="MS Gothic" w:hAnsi="MS Gothic"/>
                <w:sz w:val="22"/>
              </w:rPr>
              <w:t>☑</w:t>
            </w:r>
            <w:r>
              <w:rPr>
                <w:rFonts w:ascii="MS Gothic" w:hAnsi="MS Gothic"/>
                <w:spacing w:val="50"/>
                <w:w w:val="150"/>
                <w:sz w:val="22"/>
              </w:rPr>
              <w:t> </w:t>
            </w:r>
            <w:r>
              <w:rPr>
                <w:b/>
                <w:sz w:val="22"/>
              </w:rPr>
              <w:t>With</w:t>
            </w:r>
            <w:r>
              <w:rPr>
                <w:b/>
                <w:spacing w:val="-2"/>
                <w:sz w:val="22"/>
              </w:rPr>
              <w:t> 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2"/>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organisations:</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4"/>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4"/>
          <w:sz w:val="24"/>
          <w:u w:val="single"/>
        </w:rPr>
        <w:t>tasks</w:t>
      </w:r>
    </w:p>
    <w:p>
      <w:pPr>
        <w:pStyle w:val="BodyText"/>
        <w:rPr>
          <w:b/>
          <w:sz w:val="16"/>
        </w:rPr>
      </w:pPr>
    </w:p>
    <w:p>
      <w:pPr>
        <w:spacing w:before="90"/>
        <w:ind w:left="370" w:right="155" w:firstLine="0"/>
        <w:jc w:val="both"/>
        <w:rPr>
          <w:sz w:val="24"/>
        </w:rPr>
      </w:pPr>
      <w:r>
        <w:rPr>
          <w:sz w:val="24"/>
        </w:rPr>
        <w:t>We are the Platforms Directorate at DG CONNECT, in charge of the implementation of the Digital Services Act and Digital Markets Act – two major new regulatory framework for online platforms and other intermediaries that will be enforced directly by the European Commission.</w:t>
      </w:r>
    </w:p>
    <w:p>
      <w:pPr>
        <w:pStyle w:val="BodyText"/>
        <w:rPr>
          <w:sz w:val="24"/>
        </w:rPr>
      </w:pPr>
    </w:p>
    <w:p>
      <w:pPr>
        <w:spacing w:before="0"/>
        <w:ind w:left="370" w:right="153" w:firstLine="0"/>
        <w:jc w:val="both"/>
        <w:rPr>
          <w:sz w:val="24"/>
        </w:rPr>
      </w:pPr>
      <w:r>
        <w:rPr>
          <w:sz w:val="24"/>
        </w:rPr>
        <w:t>We currently manage the range of policies and regulations applicable to intermediary services, including the Digital Services Act, the Digital Markets Act (together with DG COMP), the Platform-to-Business </w:t>
      </w:r>
      <w:r>
        <w:rPr>
          <w:spacing w:val="-2"/>
          <w:sz w:val="24"/>
        </w:rPr>
        <w:t>Regulation.</w:t>
      </w:r>
    </w:p>
    <w:p>
      <w:pPr>
        <w:pStyle w:val="BodyText"/>
        <w:rPr>
          <w:sz w:val="24"/>
        </w:rPr>
      </w:pPr>
    </w:p>
    <w:p>
      <w:pPr>
        <w:spacing w:before="0"/>
        <w:ind w:left="370" w:right="3" w:firstLine="0"/>
        <w:jc w:val="left"/>
        <w:rPr>
          <w:sz w:val="24"/>
        </w:rPr>
      </w:pPr>
      <w:r>
        <w:rPr>
          <w:sz w:val="24"/>
        </w:rPr>
        <w:t>The Platforms Directorate is at present preparing for the enforcement of the Digital Services Act and Digital Markets Act. The Unit in charge of the enforcement of the Digital Markets Act is looking for national</w:t>
      </w:r>
      <w:r>
        <w:rPr>
          <w:spacing w:val="-2"/>
          <w:sz w:val="24"/>
        </w:rPr>
        <w:t> </w:t>
      </w:r>
      <w:r>
        <w:rPr>
          <w:sz w:val="24"/>
        </w:rPr>
        <w:t>experts</w:t>
      </w:r>
      <w:r>
        <w:rPr>
          <w:spacing w:val="-2"/>
          <w:sz w:val="24"/>
        </w:rPr>
        <w:t> </w:t>
      </w:r>
      <w:r>
        <w:rPr>
          <w:sz w:val="24"/>
        </w:rPr>
        <w:t>with</w:t>
      </w:r>
      <w:r>
        <w:rPr>
          <w:spacing w:val="-2"/>
          <w:sz w:val="24"/>
        </w:rPr>
        <w:t> </w:t>
      </w:r>
      <w:r>
        <w:rPr>
          <w:sz w:val="24"/>
        </w:rPr>
        <w:t>experience</w:t>
      </w:r>
      <w:r>
        <w:rPr>
          <w:spacing w:val="-2"/>
          <w:sz w:val="24"/>
        </w:rPr>
        <w:t> </w:t>
      </w:r>
      <w:r>
        <w:rPr>
          <w:sz w:val="24"/>
        </w:rPr>
        <w:t>in</w:t>
      </w:r>
      <w:r>
        <w:rPr>
          <w:spacing w:val="-4"/>
          <w:sz w:val="24"/>
        </w:rPr>
        <w:t> </w:t>
      </w:r>
      <w:r>
        <w:rPr>
          <w:sz w:val="24"/>
        </w:rPr>
        <w:t>regulated</w:t>
      </w:r>
      <w:r>
        <w:rPr>
          <w:spacing w:val="-2"/>
          <w:sz w:val="24"/>
        </w:rPr>
        <w:t> </w:t>
      </w:r>
      <w:r>
        <w:rPr>
          <w:sz w:val="24"/>
        </w:rPr>
        <w:t>industries</w:t>
      </w:r>
      <w:r>
        <w:rPr>
          <w:spacing w:val="-2"/>
          <w:sz w:val="24"/>
        </w:rPr>
        <w:t> </w:t>
      </w:r>
      <w:r>
        <w:rPr>
          <w:sz w:val="24"/>
        </w:rPr>
        <w:t>or</w:t>
      </w:r>
      <w:r>
        <w:rPr>
          <w:spacing w:val="-2"/>
          <w:sz w:val="24"/>
        </w:rPr>
        <w:t> </w:t>
      </w:r>
      <w:r>
        <w:rPr>
          <w:sz w:val="24"/>
        </w:rPr>
        <w:t>competition</w:t>
      </w:r>
      <w:r>
        <w:rPr>
          <w:spacing w:val="-4"/>
          <w:sz w:val="24"/>
        </w:rPr>
        <w:t> </w:t>
      </w:r>
      <w:r>
        <w:rPr>
          <w:sz w:val="24"/>
        </w:rPr>
        <w:t>to</w:t>
      </w:r>
      <w:r>
        <w:rPr>
          <w:spacing w:val="-4"/>
          <w:sz w:val="24"/>
        </w:rPr>
        <w:t> </w:t>
      </w:r>
      <w:r>
        <w:rPr>
          <w:sz w:val="24"/>
        </w:rPr>
        <w:t>join</w:t>
      </w:r>
      <w:r>
        <w:rPr>
          <w:spacing w:val="-2"/>
          <w:sz w:val="24"/>
        </w:rPr>
        <w:t> </w:t>
      </w:r>
      <w:r>
        <w:rPr>
          <w:sz w:val="24"/>
        </w:rPr>
        <w:t>the</w:t>
      </w:r>
      <w:r>
        <w:rPr>
          <w:spacing w:val="-2"/>
          <w:sz w:val="24"/>
        </w:rPr>
        <w:t> </w:t>
      </w:r>
      <w:r>
        <w:rPr>
          <w:sz w:val="24"/>
        </w:rPr>
        <w:t>team.</w:t>
      </w:r>
      <w:r>
        <w:rPr>
          <w:spacing w:val="-2"/>
          <w:sz w:val="24"/>
        </w:rPr>
        <w:t> </w:t>
      </w:r>
      <w:r>
        <w:rPr>
          <w:sz w:val="24"/>
        </w:rPr>
        <w:t>The</w:t>
      </w:r>
      <w:r>
        <w:rPr>
          <w:spacing w:val="-2"/>
          <w:sz w:val="24"/>
        </w:rPr>
        <w:t> </w:t>
      </w:r>
      <w:r>
        <w:rPr>
          <w:sz w:val="24"/>
        </w:rPr>
        <w:t>seconded national expert will therefore be involved in the setting up and preparations for the enforcement and application of the Digital Markets Act.</w:t>
      </w:r>
    </w:p>
    <w:p>
      <w:pPr>
        <w:pStyle w:val="BodyText"/>
        <w:rPr>
          <w:sz w:val="24"/>
        </w:rPr>
      </w:pPr>
    </w:p>
    <w:p>
      <w:pPr>
        <w:spacing w:before="0"/>
        <w:ind w:left="370" w:right="3" w:firstLine="0"/>
        <w:jc w:val="left"/>
        <w:rPr>
          <w:sz w:val="24"/>
        </w:rPr>
      </w:pPr>
      <w:r>
        <w:rPr>
          <w:sz w:val="24"/>
        </w:rPr>
        <w:t>Our</w:t>
      </w:r>
      <w:r>
        <w:rPr>
          <w:spacing w:val="-3"/>
          <w:sz w:val="24"/>
        </w:rPr>
        <w:t> </w:t>
      </w:r>
      <w:r>
        <w:rPr>
          <w:sz w:val="24"/>
        </w:rPr>
        <w:t>work</w:t>
      </w:r>
      <w:r>
        <w:rPr>
          <w:spacing w:val="-3"/>
          <w:sz w:val="24"/>
        </w:rPr>
        <w:t> </w:t>
      </w:r>
      <w:r>
        <w:rPr>
          <w:sz w:val="24"/>
        </w:rPr>
        <w:t>requires</w:t>
      </w:r>
      <w:r>
        <w:rPr>
          <w:spacing w:val="-3"/>
          <w:sz w:val="24"/>
        </w:rPr>
        <w:t> </w:t>
      </w:r>
      <w:r>
        <w:rPr>
          <w:sz w:val="24"/>
        </w:rPr>
        <w:t>close</w:t>
      </w:r>
      <w:r>
        <w:rPr>
          <w:spacing w:val="-4"/>
          <w:sz w:val="24"/>
        </w:rPr>
        <w:t> </w:t>
      </w:r>
      <w:r>
        <w:rPr>
          <w:sz w:val="24"/>
        </w:rPr>
        <w:t>cooperation</w:t>
      </w:r>
      <w:r>
        <w:rPr>
          <w:spacing w:val="-5"/>
          <w:sz w:val="24"/>
        </w:rPr>
        <w:t> </w:t>
      </w:r>
      <w:r>
        <w:rPr>
          <w:sz w:val="24"/>
        </w:rPr>
        <w:t>with</w:t>
      </w:r>
      <w:r>
        <w:rPr>
          <w:spacing w:val="-3"/>
          <w:sz w:val="24"/>
        </w:rPr>
        <w:t> </w:t>
      </w:r>
      <w:r>
        <w:rPr>
          <w:sz w:val="24"/>
        </w:rPr>
        <w:t>various</w:t>
      </w:r>
      <w:r>
        <w:rPr>
          <w:spacing w:val="-4"/>
          <w:sz w:val="24"/>
        </w:rPr>
        <w:t> </w:t>
      </w:r>
      <w:r>
        <w:rPr>
          <w:sz w:val="24"/>
        </w:rPr>
        <w:t>directorates</w:t>
      </w:r>
      <w:r>
        <w:rPr>
          <w:spacing w:val="-4"/>
          <w:sz w:val="24"/>
        </w:rPr>
        <w:t> </w:t>
      </w:r>
      <w:r>
        <w:rPr>
          <w:sz w:val="24"/>
        </w:rPr>
        <w:t>general</w:t>
      </w:r>
      <w:r>
        <w:rPr>
          <w:spacing w:val="-3"/>
          <w:sz w:val="24"/>
        </w:rPr>
        <w:t> </w:t>
      </w:r>
      <w:r>
        <w:rPr>
          <w:sz w:val="24"/>
        </w:rPr>
        <w:t>of</w:t>
      </w:r>
      <w:r>
        <w:rPr>
          <w:spacing w:val="-4"/>
          <w:sz w:val="24"/>
        </w:rPr>
        <w:t> </w:t>
      </w:r>
      <w:r>
        <w:rPr>
          <w:sz w:val="24"/>
        </w:rPr>
        <w:t>the</w:t>
      </w:r>
      <w:r>
        <w:rPr>
          <w:spacing w:val="-3"/>
          <w:sz w:val="24"/>
        </w:rPr>
        <w:t> </w:t>
      </w:r>
      <w:r>
        <w:rPr>
          <w:sz w:val="24"/>
        </w:rPr>
        <w:t>Commission,</w:t>
      </w:r>
      <w:r>
        <w:rPr>
          <w:spacing w:val="-3"/>
          <w:sz w:val="24"/>
        </w:rPr>
        <w:t> </w:t>
      </w:r>
      <w:r>
        <w:rPr>
          <w:sz w:val="24"/>
        </w:rPr>
        <w:t>notably</w:t>
      </w:r>
      <w:r>
        <w:rPr>
          <w:spacing w:val="-5"/>
          <w:sz w:val="24"/>
        </w:rPr>
        <w:t> </w:t>
      </w:r>
      <w:r>
        <w:rPr>
          <w:sz w:val="24"/>
        </w:rPr>
        <w:t>DG Competition, and frequent interaction with an extensive stakeholder base.</w:t>
      </w:r>
    </w:p>
    <w:p>
      <w:pPr>
        <w:pStyle w:val="BodyText"/>
        <w:rPr>
          <w:sz w:val="26"/>
        </w:rPr>
      </w:pPr>
    </w:p>
    <w:p>
      <w:pPr>
        <w:pStyle w:val="ListParagraph"/>
        <w:numPr>
          <w:ilvl w:val="0"/>
          <w:numId w:val="2"/>
        </w:numPr>
        <w:tabs>
          <w:tab w:pos="796" w:val="left" w:leader="none"/>
          <w:tab w:pos="797" w:val="left" w:leader="none"/>
        </w:tabs>
        <w:spacing w:line="240" w:lineRule="auto" w:before="21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rPr>
          <w:b/>
          <w:sz w:val="16"/>
        </w:rPr>
      </w:pPr>
    </w:p>
    <w:p>
      <w:pPr>
        <w:pStyle w:val="Heading1"/>
        <w:numPr>
          <w:ilvl w:val="1"/>
          <w:numId w:val="2"/>
        </w:numPr>
        <w:tabs>
          <w:tab w:pos="1036" w:val="left" w:leader="none"/>
        </w:tabs>
        <w:spacing w:line="240" w:lineRule="auto" w:before="91" w:after="0"/>
        <w:ind w:left="1035" w:right="0" w:hanging="240"/>
        <w:jc w:val="left"/>
      </w:pPr>
      <w:r>
        <w:rPr/>
        <w:t>Eligibility</w:t>
      </w:r>
      <w:r>
        <w:rPr>
          <w:spacing w:val="-12"/>
        </w:rPr>
        <w:t> </w:t>
      </w:r>
      <w:r>
        <w:rPr>
          <w:spacing w:val="-2"/>
        </w:rPr>
        <w:t>criteria</w:t>
      </w:r>
    </w:p>
    <w:p>
      <w:pPr>
        <w:pStyle w:val="BodyText"/>
        <w:rPr>
          <w:b/>
          <w:sz w:val="20"/>
        </w:rPr>
      </w:pPr>
    </w:p>
    <w:p>
      <w:pPr>
        <w:pStyle w:val="BodyText"/>
        <w:rPr>
          <w:b/>
          <w:sz w:val="20"/>
        </w:rPr>
      </w:pPr>
    </w:p>
    <w:p>
      <w:pPr>
        <w:pStyle w:val="BodyText"/>
        <w:spacing w:before="7"/>
        <w:rPr>
          <w:b/>
          <w:sz w:val="20"/>
        </w:rPr>
      </w:pPr>
      <w:r>
        <w:rPr/>
        <w:pict>
          <v:rect style="position:absolute;margin-left:42.540001pt;margin-top:13.079125pt;width:144pt;height:.72pt;mso-position-horizontal-relative:page;mso-position-vertical-relative:paragraph;z-index:-15728640;mso-wrap-distance-left:0;mso-wrap-distance-right:0" id="docshape2" filled="true" fillcolor="#000000" stroked="false">
            <v:fill type="solid"/>
            <w10:wrap type="topAndBottom"/>
          </v:rect>
        </w:pict>
      </w:r>
    </w:p>
    <w:p>
      <w:pPr>
        <w:spacing w:before="97"/>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BodyText"/>
        <w:spacing w:before="74"/>
        <w:ind w:left="796" w:right="105"/>
        <w:jc w:val="both"/>
      </w:pPr>
      <w:r>
        <w:rPr/>
        <w:t>The following eligibility criteria must be fulfilled</w:t>
      </w:r>
      <w:r>
        <w:rPr>
          <w:spacing w:val="-1"/>
        </w:rPr>
        <w:t> </w:t>
      </w:r>
      <w:r>
        <w:rPr/>
        <w:t>by the candidate in order to be seconded to the Commission. Consequently, the candidate who does not fulfil all of these criteria will be automatically eliminated from the selection process.</w:t>
      </w:r>
    </w:p>
    <w:p>
      <w:pPr>
        <w:pStyle w:val="BodyText"/>
        <w:spacing w:before="11"/>
        <w:rPr>
          <w:sz w:val="21"/>
        </w:rPr>
      </w:pPr>
    </w:p>
    <w:p>
      <w:pPr>
        <w:pStyle w:val="ListParagraph"/>
        <w:numPr>
          <w:ilvl w:val="2"/>
          <w:numId w:val="2"/>
        </w:numPr>
        <w:tabs>
          <w:tab w:pos="1081" w:val="left" w:leader="none"/>
        </w:tabs>
        <w:spacing w:line="240" w:lineRule="auto" w:before="0" w:after="0"/>
        <w:ind w:left="1080" w:right="10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
      </w:pPr>
    </w:p>
    <w:p>
      <w:pPr>
        <w:pStyle w:val="ListParagraph"/>
        <w:numPr>
          <w:ilvl w:val="2"/>
          <w:numId w:val="2"/>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1"/>
        <w:rPr>
          <w:sz w:val="21"/>
        </w:rPr>
      </w:pPr>
    </w:p>
    <w:p>
      <w:pPr>
        <w:pStyle w:val="ListParagraph"/>
        <w:numPr>
          <w:ilvl w:val="2"/>
          <w:numId w:val="2"/>
        </w:numPr>
        <w:tabs>
          <w:tab w:pos="1081"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1"/>
        <w:rPr>
          <w:sz w:val="24"/>
        </w:rPr>
      </w:pPr>
    </w:p>
    <w:p>
      <w:pPr>
        <w:pStyle w:val="Heading1"/>
        <w:numPr>
          <w:ilvl w:val="1"/>
          <w:numId w:val="2"/>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before="91"/>
        <w:ind w:left="1080"/>
      </w:pPr>
      <w:r>
        <w:rPr>
          <w:spacing w:val="-2"/>
          <w:u w:val="single"/>
        </w:rPr>
        <w:t>Diploma</w:t>
      </w:r>
    </w:p>
    <w:p>
      <w:pPr>
        <w:pStyle w:val="ListParagraph"/>
        <w:numPr>
          <w:ilvl w:val="0"/>
          <w:numId w:val="3"/>
        </w:numPr>
        <w:tabs>
          <w:tab w:pos="1209" w:val="left" w:leader="none"/>
        </w:tabs>
        <w:spacing w:line="253" w:lineRule="exact"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0"/>
          <w:numId w:val="3"/>
        </w:numPr>
        <w:tabs>
          <w:tab w:pos="1209" w:val="left" w:leader="none"/>
        </w:tabs>
        <w:spacing w:line="253" w:lineRule="exact"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pPr>
    </w:p>
    <w:p>
      <w:pPr>
        <w:pStyle w:val="BodyText"/>
        <w:spacing w:line="480" w:lineRule="auto" w:before="1"/>
        <w:ind w:left="1080" w:right="1500" w:firstLine="110"/>
      </w:pPr>
      <w:r>
        <w:rPr/>
        <w:t>in</w:t>
      </w:r>
      <w:r>
        <w:rPr>
          <w:spacing w:val="-3"/>
        </w:rPr>
        <w:t> </w:t>
      </w:r>
      <w:r>
        <w:rPr/>
        <w:t>the</w:t>
      </w:r>
      <w:r>
        <w:rPr>
          <w:spacing w:val="-4"/>
        </w:rPr>
        <w:t> </w:t>
      </w:r>
      <w:r>
        <w:rPr/>
        <w:t>field(s)</w:t>
      </w:r>
      <w:r>
        <w:rPr>
          <w:spacing w:val="-3"/>
        </w:rPr>
        <w:t> </w:t>
      </w:r>
      <w:r>
        <w:rPr/>
        <w:t>:data</w:t>
      </w:r>
      <w:r>
        <w:rPr>
          <w:spacing w:val="-4"/>
        </w:rPr>
        <w:t> </w:t>
      </w:r>
      <w:r>
        <w:rPr/>
        <w:t>science,</w:t>
      </w:r>
      <w:r>
        <w:rPr>
          <w:spacing w:val="-3"/>
        </w:rPr>
        <w:t> </w:t>
      </w:r>
      <w:r>
        <w:rPr/>
        <w:t>law</w:t>
      </w:r>
      <w:r>
        <w:rPr>
          <w:spacing w:val="-4"/>
        </w:rPr>
        <w:t> </w:t>
      </w:r>
      <w:r>
        <w:rPr/>
        <w:t>enforcement</w:t>
      </w:r>
      <w:r>
        <w:rPr>
          <w:spacing w:val="-3"/>
        </w:rPr>
        <w:t> </w:t>
      </w:r>
      <w:r>
        <w:rPr/>
        <w:t>or</w:t>
      </w:r>
      <w:r>
        <w:rPr>
          <w:spacing w:val="-3"/>
        </w:rPr>
        <w:t> </w:t>
      </w:r>
      <w:r>
        <w:rPr/>
        <w:t>other</w:t>
      </w:r>
      <w:r>
        <w:rPr>
          <w:spacing w:val="-3"/>
        </w:rPr>
        <w:t> </w:t>
      </w:r>
      <w:r>
        <w:rPr/>
        <w:t>relevant</w:t>
      </w:r>
      <w:r>
        <w:rPr>
          <w:spacing w:val="-3"/>
        </w:rPr>
        <w:t> </w:t>
      </w:r>
      <w:r>
        <w:rPr/>
        <w:t>fields</w:t>
      </w:r>
      <w:r>
        <w:rPr>
          <w:spacing w:val="-4"/>
        </w:rPr>
        <w:t> </w:t>
      </w:r>
      <w:r>
        <w:rPr/>
        <w:t>to</w:t>
      </w:r>
      <w:r>
        <w:rPr>
          <w:spacing w:val="-3"/>
        </w:rPr>
        <w:t> </w:t>
      </w:r>
      <w:r>
        <w:rPr/>
        <w:t>the</w:t>
      </w:r>
      <w:r>
        <w:rPr>
          <w:spacing w:val="-4"/>
        </w:rPr>
        <w:t> </w:t>
      </w:r>
      <w:r>
        <w:rPr/>
        <w:t>post </w:t>
      </w:r>
      <w:r>
        <w:rPr>
          <w:u w:val="single"/>
        </w:rPr>
        <w:t>Professional experience</w:t>
      </w:r>
    </w:p>
    <w:p>
      <w:pPr>
        <w:pStyle w:val="ListParagraph"/>
        <w:numPr>
          <w:ilvl w:val="1"/>
          <w:numId w:val="3"/>
        </w:numPr>
        <w:tabs>
          <w:tab w:pos="1799" w:val="left" w:leader="none"/>
          <w:tab w:pos="1800" w:val="left" w:leader="none"/>
        </w:tabs>
        <w:spacing w:line="269" w:lineRule="exact" w:before="0" w:after="0"/>
        <w:ind w:left="1799" w:right="0" w:hanging="361"/>
        <w:jc w:val="left"/>
        <w:rPr>
          <w:sz w:val="22"/>
        </w:rPr>
      </w:pPr>
      <w:r>
        <w:rPr>
          <w:sz w:val="22"/>
        </w:rPr>
        <w:t>Sound</w:t>
      </w:r>
      <w:r>
        <w:rPr>
          <w:spacing w:val="-9"/>
          <w:sz w:val="22"/>
        </w:rPr>
        <w:t> </w:t>
      </w:r>
      <w:r>
        <w:rPr>
          <w:sz w:val="22"/>
        </w:rPr>
        <w:t>experience</w:t>
      </w:r>
      <w:r>
        <w:rPr>
          <w:spacing w:val="-9"/>
          <w:sz w:val="22"/>
        </w:rPr>
        <w:t> </w:t>
      </w:r>
      <w:r>
        <w:rPr>
          <w:sz w:val="22"/>
        </w:rPr>
        <w:t>in</w:t>
      </w:r>
      <w:r>
        <w:rPr>
          <w:spacing w:val="-8"/>
          <w:sz w:val="22"/>
        </w:rPr>
        <w:t> </w:t>
      </w:r>
      <w:r>
        <w:rPr>
          <w:sz w:val="22"/>
        </w:rPr>
        <w:t>digital</w:t>
      </w:r>
      <w:r>
        <w:rPr>
          <w:spacing w:val="-8"/>
          <w:sz w:val="22"/>
        </w:rPr>
        <w:t> </w:t>
      </w:r>
      <w:r>
        <w:rPr>
          <w:sz w:val="22"/>
        </w:rPr>
        <w:t>regulation</w:t>
      </w:r>
      <w:r>
        <w:rPr>
          <w:spacing w:val="-8"/>
          <w:sz w:val="22"/>
        </w:rPr>
        <w:t> </w:t>
      </w:r>
      <w:r>
        <w:rPr>
          <w:sz w:val="22"/>
        </w:rPr>
        <w:t>and/or</w:t>
      </w:r>
      <w:r>
        <w:rPr>
          <w:spacing w:val="-8"/>
          <w:sz w:val="22"/>
        </w:rPr>
        <w:t> </w:t>
      </w:r>
      <w:r>
        <w:rPr>
          <w:sz w:val="22"/>
        </w:rPr>
        <w:t>digital</w:t>
      </w:r>
      <w:r>
        <w:rPr>
          <w:spacing w:val="-9"/>
          <w:sz w:val="22"/>
        </w:rPr>
        <w:t> </w:t>
      </w:r>
      <w:r>
        <w:rPr>
          <w:spacing w:val="-2"/>
          <w:sz w:val="22"/>
        </w:rPr>
        <w:t>policy</w:t>
      </w:r>
    </w:p>
    <w:p>
      <w:pPr>
        <w:pStyle w:val="ListParagraph"/>
        <w:numPr>
          <w:ilvl w:val="1"/>
          <w:numId w:val="3"/>
        </w:numPr>
        <w:tabs>
          <w:tab w:pos="1799" w:val="left" w:leader="none"/>
          <w:tab w:pos="1800" w:val="left" w:leader="none"/>
        </w:tabs>
        <w:spacing w:line="268" w:lineRule="exact" w:before="0" w:after="0"/>
        <w:ind w:left="1799" w:right="0" w:hanging="361"/>
        <w:jc w:val="left"/>
        <w:rPr>
          <w:sz w:val="22"/>
        </w:rPr>
      </w:pPr>
      <w:r>
        <w:rPr>
          <w:sz w:val="22"/>
        </w:rPr>
        <w:t>Good</w:t>
      </w:r>
      <w:r>
        <w:rPr>
          <w:spacing w:val="-8"/>
          <w:sz w:val="22"/>
        </w:rPr>
        <w:t> </w:t>
      </w:r>
      <w:r>
        <w:rPr>
          <w:sz w:val="22"/>
        </w:rPr>
        <w:t>understanding</w:t>
      </w:r>
      <w:r>
        <w:rPr>
          <w:spacing w:val="-7"/>
          <w:sz w:val="22"/>
        </w:rPr>
        <w:t> </w:t>
      </w:r>
      <w:r>
        <w:rPr>
          <w:sz w:val="22"/>
        </w:rPr>
        <w:t>of</w:t>
      </w:r>
      <w:r>
        <w:rPr>
          <w:spacing w:val="-8"/>
          <w:sz w:val="22"/>
        </w:rPr>
        <w:t> </w:t>
      </w:r>
      <w:r>
        <w:rPr>
          <w:sz w:val="22"/>
        </w:rPr>
        <w:t>key</w:t>
      </w:r>
      <w:r>
        <w:rPr>
          <w:spacing w:val="-7"/>
          <w:sz w:val="22"/>
        </w:rPr>
        <w:t> </w:t>
      </w:r>
      <w:r>
        <w:rPr>
          <w:sz w:val="22"/>
        </w:rPr>
        <w:t>legal</w:t>
      </w:r>
      <w:r>
        <w:rPr>
          <w:spacing w:val="-7"/>
          <w:sz w:val="22"/>
        </w:rPr>
        <w:t> </w:t>
      </w:r>
      <w:r>
        <w:rPr>
          <w:sz w:val="22"/>
        </w:rPr>
        <w:t>concepts</w:t>
      </w:r>
      <w:r>
        <w:rPr>
          <w:spacing w:val="-8"/>
          <w:sz w:val="22"/>
        </w:rPr>
        <w:t> </w:t>
      </w:r>
      <w:r>
        <w:rPr>
          <w:sz w:val="22"/>
        </w:rPr>
        <w:t>of</w:t>
      </w:r>
      <w:r>
        <w:rPr>
          <w:spacing w:val="-7"/>
          <w:sz w:val="22"/>
        </w:rPr>
        <w:t> </w:t>
      </w:r>
      <w:r>
        <w:rPr>
          <w:sz w:val="22"/>
        </w:rPr>
        <w:t>the</w:t>
      </w:r>
      <w:r>
        <w:rPr>
          <w:spacing w:val="-8"/>
          <w:sz w:val="22"/>
        </w:rPr>
        <w:t> </w:t>
      </w:r>
      <w:r>
        <w:rPr>
          <w:sz w:val="22"/>
        </w:rPr>
        <w:t>Digital</w:t>
      </w:r>
      <w:r>
        <w:rPr>
          <w:spacing w:val="-7"/>
          <w:sz w:val="22"/>
        </w:rPr>
        <w:t> </w:t>
      </w:r>
      <w:r>
        <w:rPr>
          <w:sz w:val="22"/>
        </w:rPr>
        <w:t>Markets</w:t>
      </w:r>
      <w:r>
        <w:rPr>
          <w:spacing w:val="-8"/>
          <w:sz w:val="22"/>
        </w:rPr>
        <w:t> </w:t>
      </w:r>
      <w:r>
        <w:rPr>
          <w:spacing w:val="-5"/>
          <w:sz w:val="22"/>
        </w:rPr>
        <w:t>Act</w:t>
      </w:r>
    </w:p>
    <w:p>
      <w:pPr>
        <w:pStyle w:val="ListParagraph"/>
        <w:numPr>
          <w:ilvl w:val="1"/>
          <w:numId w:val="3"/>
        </w:numPr>
        <w:tabs>
          <w:tab w:pos="1799" w:val="left" w:leader="none"/>
          <w:tab w:pos="1800" w:val="left" w:leader="none"/>
        </w:tabs>
        <w:spacing w:line="269" w:lineRule="exact" w:before="0" w:after="0"/>
        <w:ind w:left="1799" w:right="0" w:hanging="361"/>
        <w:jc w:val="left"/>
        <w:rPr>
          <w:sz w:val="22"/>
        </w:rPr>
      </w:pPr>
      <w:r>
        <w:rPr>
          <w:sz w:val="22"/>
        </w:rPr>
        <w:t>Knowledge</w:t>
      </w:r>
      <w:r>
        <w:rPr>
          <w:spacing w:val="-9"/>
          <w:sz w:val="22"/>
        </w:rPr>
        <w:t> </w:t>
      </w:r>
      <w:r>
        <w:rPr>
          <w:sz w:val="22"/>
        </w:rPr>
        <w:t>and</w:t>
      </w:r>
      <w:r>
        <w:rPr>
          <w:spacing w:val="-7"/>
          <w:sz w:val="22"/>
        </w:rPr>
        <w:t> </w:t>
      </w:r>
      <w:r>
        <w:rPr>
          <w:sz w:val="22"/>
        </w:rPr>
        <w:t>interest</w:t>
      </w:r>
      <w:r>
        <w:rPr>
          <w:spacing w:val="-7"/>
          <w:sz w:val="22"/>
        </w:rPr>
        <w:t> </w:t>
      </w:r>
      <w:r>
        <w:rPr>
          <w:sz w:val="22"/>
        </w:rPr>
        <w:t>of</w:t>
      </w:r>
      <w:r>
        <w:rPr>
          <w:spacing w:val="-8"/>
          <w:sz w:val="22"/>
        </w:rPr>
        <w:t> </w:t>
      </w:r>
      <w:r>
        <w:rPr>
          <w:sz w:val="22"/>
        </w:rPr>
        <w:t>the</w:t>
      </w:r>
      <w:r>
        <w:rPr>
          <w:spacing w:val="-8"/>
          <w:sz w:val="22"/>
        </w:rPr>
        <w:t> </w:t>
      </w:r>
      <w:r>
        <w:rPr>
          <w:sz w:val="22"/>
        </w:rPr>
        <w:t>regulated</w:t>
      </w:r>
      <w:r>
        <w:rPr>
          <w:spacing w:val="-7"/>
          <w:sz w:val="22"/>
        </w:rPr>
        <w:t> </w:t>
      </w:r>
      <w:r>
        <w:rPr>
          <w:spacing w:val="-2"/>
          <w:sz w:val="22"/>
        </w:rPr>
        <w:t>areas</w:t>
      </w:r>
    </w:p>
    <w:p>
      <w:pPr>
        <w:pStyle w:val="ListParagraph"/>
        <w:numPr>
          <w:ilvl w:val="1"/>
          <w:numId w:val="3"/>
        </w:numPr>
        <w:tabs>
          <w:tab w:pos="1799" w:val="left" w:leader="none"/>
          <w:tab w:pos="1800" w:val="left" w:leader="none"/>
        </w:tabs>
        <w:spacing w:line="269" w:lineRule="exact" w:before="0" w:after="0"/>
        <w:ind w:left="1799" w:right="0" w:hanging="361"/>
        <w:jc w:val="left"/>
        <w:rPr>
          <w:sz w:val="22"/>
        </w:rPr>
      </w:pPr>
      <w:r>
        <w:rPr>
          <w:sz w:val="22"/>
        </w:rPr>
        <w:t>Technical</w:t>
      </w:r>
      <w:r>
        <w:rPr>
          <w:spacing w:val="-7"/>
          <w:sz w:val="22"/>
        </w:rPr>
        <w:t> </w:t>
      </w:r>
      <w:r>
        <w:rPr>
          <w:sz w:val="22"/>
        </w:rPr>
        <w:t>expertize</w:t>
      </w:r>
      <w:r>
        <w:rPr>
          <w:spacing w:val="-8"/>
          <w:sz w:val="22"/>
        </w:rPr>
        <w:t> </w:t>
      </w:r>
      <w:r>
        <w:rPr>
          <w:sz w:val="22"/>
        </w:rPr>
        <w:t>in</w:t>
      </w:r>
      <w:r>
        <w:rPr>
          <w:spacing w:val="-7"/>
          <w:sz w:val="22"/>
        </w:rPr>
        <w:t> </w:t>
      </w:r>
      <w:r>
        <w:rPr>
          <w:sz w:val="22"/>
        </w:rPr>
        <w:t>the</w:t>
      </w:r>
      <w:r>
        <w:rPr>
          <w:spacing w:val="-8"/>
          <w:sz w:val="22"/>
        </w:rPr>
        <w:t> </w:t>
      </w:r>
      <w:r>
        <w:rPr>
          <w:sz w:val="22"/>
        </w:rPr>
        <w:t>areas</w:t>
      </w:r>
      <w:r>
        <w:rPr>
          <w:spacing w:val="-8"/>
          <w:sz w:val="22"/>
        </w:rPr>
        <w:t> </w:t>
      </w:r>
      <w:r>
        <w:rPr>
          <w:sz w:val="22"/>
        </w:rPr>
        <w:t>relevant</w:t>
      </w:r>
      <w:r>
        <w:rPr>
          <w:spacing w:val="-6"/>
          <w:sz w:val="22"/>
        </w:rPr>
        <w:t> </w:t>
      </w:r>
      <w:r>
        <w:rPr>
          <w:sz w:val="22"/>
        </w:rPr>
        <w:t>for</w:t>
      </w:r>
      <w:r>
        <w:rPr>
          <w:spacing w:val="-6"/>
          <w:sz w:val="22"/>
        </w:rPr>
        <w:t> </w:t>
      </w:r>
      <w:r>
        <w:rPr>
          <w:sz w:val="22"/>
        </w:rPr>
        <w:t>the</w:t>
      </w:r>
      <w:r>
        <w:rPr>
          <w:spacing w:val="-8"/>
          <w:sz w:val="22"/>
        </w:rPr>
        <w:t> </w:t>
      </w:r>
      <w:r>
        <w:rPr>
          <w:sz w:val="22"/>
        </w:rPr>
        <w:t>Digital</w:t>
      </w:r>
      <w:r>
        <w:rPr>
          <w:spacing w:val="-7"/>
          <w:sz w:val="22"/>
        </w:rPr>
        <w:t> </w:t>
      </w:r>
      <w:r>
        <w:rPr>
          <w:sz w:val="22"/>
        </w:rPr>
        <w:t>Markets</w:t>
      </w:r>
      <w:r>
        <w:rPr>
          <w:spacing w:val="-8"/>
          <w:sz w:val="22"/>
        </w:rPr>
        <w:t> </w:t>
      </w:r>
      <w:r>
        <w:rPr>
          <w:spacing w:val="-5"/>
          <w:sz w:val="22"/>
        </w:rPr>
        <w:t>Act</w:t>
      </w:r>
    </w:p>
    <w:p>
      <w:pPr>
        <w:pStyle w:val="BodyText"/>
        <w:rPr>
          <w:sz w:val="26"/>
        </w:rPr>
      </w:pPr>
    </w:p>
    <w:p>
      <w:pPr>
        <w:pStyle w:val="BodyText"/>
        <w:spacing w:before="207"/>
        <w:ind w:left="1080"/>
      </w:pPr>
      <w:r>
        <w:rPr>
          <w:u w:val="single"/>
        </w:rPr>
        <w:t>Language(s)</w:t>
      </w:r>
      <w:r>
        <w:rPr>
          <w:spacing w:val="-9"/>
          <w:u w:val="single"/>
        </w:rPr>
        <w:t> </w:t>
      </w:r>
      <w:r>
        <w:rPr>
          <w:u w:val="single"/>
        </w:rPr>
        <w:t>necessary</w:t>
      </w:r>
      <w:r>
        <w:rPr>
          <w:spacing w:val="-7"/>
          <w:u w:val="single"/>
        </w:rPr>
        <w:t> </w:t>
      </w:r>
      <w:r>
        <w:rPr>
          <w:u w:val="single"/>
        </w:rPr>
        <w:t>for</w:t>
      </w:r>
      <w:r>
        <w:rPr>
          <w:spacing w:val="-9"/>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2"/>
        <w:rPr>
          <w:sz w:val="14"/>
        </w:rPr>
      </w:pPr>
    </w:p>
    <w:p>
      <w:pPr>
        <w:pStyle w:val="BodyText"/>
        <w:spacing w:before="90"/>
        <w:ind w:left="1080"/>
      </w:pPr>
      <w:r>
        <w:rPr>
          <w:u w:val="single"/>
        </w:rPr>
        <w:t>Excellent</w:t>
      </w:r>
      <w:r>
        <w:rPr>
          <w:spacing w:val="-7"/>
          <w:u w:val="single"/>
        </w:rPr>
        <w:t> </w:t>
      </w:r>
      <w:r>
        <w:rPr>
          <w:u w:val="single"/>
        </w:rPr>
        <w:t>level</w:t>
      </w:r>
      <w:r>
        <w:rPr>
          <w:spacing w:val="-6"/>
          <w:u w:val="single"/>
        </w:rPr>
        <w:t> </w:t>
      </w:r>
      <w:r>
        <w:rPr>
          <w:u w:val="single"/>
        </w:rPr>
        <w:t>of</w:t>
      </w:r>
      <w:r>
        <w:rPr>
          <w:spacing w:val="-7"/>
          <w:u w:val="single"/>
        </w:rPr>
        <w:t> </w:t>
      </w:r>
      <w:r>
        <w:rPr>
          <w:u w:val="single"/>
        </w:rPr>
        <w:t>written</w:t>
      </w:r>
      <w:r>
        <w:rPr>
          <w:spacing w:val="-6"/>
          <w:u w:val="single"/>
        </w:rPr>
        <w:t> </w:t>
      </w:r>
      <w:r>
        <w:rPr>
          <w:u w:val="single"/>
        </w:rPr>
        <w:t>and</w:t>
      </w:r>
      <w:r>
        <w:rPr>
          <w:spacing w:val="-6"/>
          <w:u w:val="single"/>
        </w:rPr>
        <w:t> </w:t>
      </w:r>
      <w:r>
        <w:rPr>
          <w:u w:val="single"/>
        </w:rPr>
        <w:t>oral</w:t>
      </w:r>
      <w:r>
        <w:rPr>
          <w:spacing w:val="-6"/>
          <w:u w:val="single"/>
        </w:rPr>
        <w:t> </w:t>
      </w:r>
      <w:r>
        <w:rPr>
          <w:spacing w:val="-2"/>
          <w:u w:val="single"/>
        </w:rPr>
        <w:t>English</w:t>
      </w:r>
    </w:p>
    <w:p>
      <w:pPr>
        <w:pStyle w:val="BodyText"/>
        <w:rPr>
          <w:sz w:val="20"/>
        </w:rPr>
      </w:pPr>
    </w:p>
    <w:p>
      <w:pPr>
        <w:pStyle w:val="BodyText"/>
        <w:spacing w:before="4"/>
        <w:rPr>
          <w:sz w:val="16"/>
        </w:rPr>
      </w:pPr>
    </w:p>
    <w:p>
      <w:pPr>
        <w:pStyle w:val="ListParagraph"/>
        <w:numPr>
          <w:ilvl w:val="0"/>
          <w:numId w:val="2"/>
        </w:numPr>
        <w:tabs>
          <w:tab w:pos="796" w:val="left" w:leader="none"/>
          <w:tab w:pos="797" w:val="left" w:leader="none"/>
        </w:tabs>
        <w:spacing w:line="240" w:lineRule="auto" w:before="9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spacing w:before="11"/>
        <w:rPr>
          <w:b/>
          <w:sz w:val="15"/>
        </w:rPr>
      </w:pPr>
    </w:p>
    <w:p>
      <w:pPr>
        <w:spacing w:before="90"/>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spacing w:before="1"/>
        <w:rPr>
          <w:b/>
        </w:rPr>
      </w:pPr>
    </w:p>
    <w:p>
      <w:pPr>
        <w:pStyle w:val="BodyText"/>
        <w:ind w:left="796" w:right="3"/>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spacing w:line="252" w:lineRule="exac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spacing w:before="11"/>
        <w:rPr>
          <w:b/>
          <w:sz w:val="15"/>
        </w:rPr>
      </w:pPr>
    </w:p>
    <w:p>
      <w:pPr>
        <w:spacing w:before="90"/>
        <w:ind w:left="796" w:right="284"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ind w:left="796" w:right="285"/>
        <w:jc w:val="both"/>
      </w:pPr>
      <w:r>
        <w:rPr/>
        <w:t>The SNE will remain employed and remunerated by his/her employer during the secondment. He/she will equally remain covered by the national social security system.</w:t>
      </w:r>
    </w:p>
    <w:p>
      <w:pPr>
        <w:spacing w:after="0"/>
        <w:jc w:val="both"/>
        <w:sectPr>
          <w:pgSz w:w="11910" w:h="16840"/>
          <w:pgMar w:header="0" w:footer="690" w:top="1040" w:bottom="880" w:left="480" w:right="740"/>
        </w:sectPr>
      </w:pPr>
    </w:p>
    <w:p>
      <w:pPr>
        <w:pStyle w:val="BodyText"/>
        <w:spacing w:before="74"/>
        <w:ind w:left="796" w:right="284"/>
        <w:jc w:val="both"/>
      </w:pPr>
      <w:r>
        <w:rPr/>
        <w:t>Unless for cost-free SNE, allowances may be granted by the Commission to SNE fulfilling the conditions provided for in Art. 17 of the SNE decision.</w:t>
      </w:r>
    </w:p>
    <w:p>
      <w:pPr>
        <w:pStyle w:val="BodyText"/>
        <w:spacing w:before="11"/>
        <w:rPr>
          <w:sz w:val="21"/>
        </w:rPr>
      </w:pPr>
    </w:p>
    <w:p>
      <w:pPr>
        <w:pStyle w:val="BodyText"/>
        <w:ind w:left="796" w:right="283"/>
        <w:jc w:val="both"/>
      </w:pPr>
      <w:r>
        <w:rPr/>
        <w:t>During the secondment, SNE are subject to confidentiality, loyalty and absence of conflict of interest obligations, as provided for in Art. 6 and 7 of the SNE Decision.</w:t>
      </w:r>
    </w:p>
    <w:p>
      <w:pPr>
        <w:pStyle w:val="BodyTex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6" w:right="109"/>
        <w:jc w:val="both"/>
      </w:pPr>
      <w:r>
        <w:rPr/>
        <w:t>The selected candidate has the obligation to launch the vetting procedure before getting the secondment </w:t>
      </w:r>
      <w:r>
        <w:rPr>
          <w:spacing w:val="-2"/>
        </w:rPr>
        <w:t>confirmation.</w:t>
      </w:r>
    </w:p>
    <w:p>
      <w:pPr>
        <w:pStyle w:val="BodyText"/>
        <w:spacing w:before="1"/>
        <w:rPr>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rPr>
          <w:b/>
          <w:sz w:val="16"/>
        </w:rPr>
      </w:pPr>
    </w:p>
    <w:p>
      <w:pPr>
        <w:pStyle w:val="BodyText"/>
        <w:spacing w:before="91"/>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pStyle w:val="BodyText"/>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pPr>
    </w:p>
    <w:p>
      <w:pPr>
        <w:pStyle w:val="Heading1"/>
        <w:ind w:left="796" w:firstLine="0"/>
      </w:pPr>
      <w:r>
        <w:rPr>
          <w:u w:val="single"/>
        </w:rPr>
        <w:t>Contact</w:t>
      </w:r>
      <w:r>
        <w:rPr>
          <w:spacing w:val="-10"/>
          <w:u w:val="single"/>
        </w:rPr>
        <w:t> </w:t>
      </w:r>
      <w:r>
        <w:rPr>
          <w:spacing w:val="-2"/>
          <w:u w:val="single"/>
        </w:rPr>
        <w:t>information</w:t>
      </w:r>
    </w:p>
    <w:p>
      <w:pPr>
        <w:pStyle w:val="BodyText"/>
        <w:spacing w:before="1"/>
        <w:rPr>
          <w:b/>
        </w:rPr>
      </w:pPr>
    </w:p>
    <w:p>
      <w:pPr>
        <w:pStyle w:val="ListParagraph"/>
        <w:numPr>
          <w:ilvl w:val="0"/>
          <w:numId w:val="4"/>
        </w:numPr>
        <w:tabs>
          <w:tab w:pos="1079" w:val="left" w:leader="none"/>
        </w:tabs>
        <w:spacing w:line="268" w:lineRule="exact"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ind w:left="1080" w:right="28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9">
        <w:r>
          <w:rPr>
            <w:color w:val="0000FF"/>
            <w:u w:val="single" w:color="0000FF"/>
          </w:rPr>
          <w:t>HR-MAIL-</w:t>
        </w:r>
      </w:hyperlink>
      <w:r>
        <w:rPr>
          <w:color w:val="0000FF"/>
          <w:spacing w:val="40"/>
        </w:rPr>
        <w:t> </w:t>
      </w:r>
      <w:hyperlink r:id="rId9">
        <w:r>
          <w:rPr>
            <w:color w:val="0000FF"/>
            <w:spacing w:val="-2"/>
            <w:u w:val="single" w:color="0000FF"/>
          </w:rPr>
          <w:t>B4@ec.europa.eu</w:t>
        </w:r>
        <w:r>
          <w:rPr>
            <w:spacing w:val="-2"/>
          </w:rPr>
          <w:t>.</w:t>
        </w:r>
      </w:hyperlink>
    </w:p>
    <w:p>
      <w:pPr>
        <w:pStyle w:val="BodyText"/>
      </w:pPr>
    </w:p>
    <w:p>
      <w:pPr>
        <w:pStyle w:val="Heading1"/>
        <w:numPr>
          <w:ilvl w:val="0"/>
          <w:numId w:val="4"/>
        </w:numPr>
        <w:tabs>
          <w:tab w:pos="1079" w:val="left" w:leader="none"/>
        </w:tabs>
        <w:spacing w:line="268" w:lineRule="exact" w:before="0" w:after="0"/>
        <w:ind w:left="1078" w:right="0" w:hanging="283"/>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ind w:left="1080" w:right="286"/>
        <w:jc w:val="both"/>
      </w:pPr>
      <w:r>
        <w:rPr/>
        <w:t>You may contact the Data Protection Officer (</w:t>
      </w:r>
      <w:hyperlink r:id="rId10">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pPr>
    </w:p>
    <w:p>
      <w:pPr>
        <w:pStyle w:val="Heading1"/>
        <w:numPr>
          <w:ilvl w:val="0"/>
          <w:numId w:val="4"/>
        </w:numPr>
        <w:tabs>
          <w:tab w:pos="1079" w:val="left" w:leader="none"/>
        </w:tabs>
        <w:spacing w:line="268" w:lineRule="exact" w:before="0" w:after="0"/>
        <w:ind w:left="1078" w:right="0" w:hanging="283"/>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ind w:left="1080" w:right="281"/>
        <w:jc w:val="both"/>
      </w:pPr>
      <w:r>
        <w:rPr/>
        <w:pict>
          <v:rect style="position:absolute;margin-left:230.160004pt;margin-top:24.119085pt;width:3.66pt;height:.54pt;mso-position-horizontal-relative:page;mso-position-vertical-relative:paragraph;z-index:15729152" id="docshape3"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Verdana">
    <w:altName w:val="Verdana"/>
    <w:charset w:val="0"/>
    <w:family w:val="swiss"/>
    <w:pitch w:val="variable"/>
  </w:font>
  <w:font w:name="MS Gothic">
    <w:altName w:val="MS Gothic"/>
    <w:charset w:val="0"/>
    <w:family w:val="modern"/>
    <w:pitch w:val="fixed"/>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17728"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2">
    <w:multiLevelType w:val="hybridMultilevel"/>
    <w:lvl w:ilvl="0">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1799" w:hanging="360"/>
      </w:pPr>
      <w:rPr>
        <w:rFonts w:hint="default" w:ascii="Symbol" w:hAnsi="Symbol" w:eastAsia="Symbol" w:cs="Symbol"/>
        <w:b w:val="0"/>
        <w:bCs w:val="0"/>
        <w:i w:val="0"/>
        <w:iCs w:val="0"/>
        <w:w w:val="99"/>
        <w:sz w:val="22"/>
        <w:szCs w:val="22"/>
        <w:lang w:val="en-US" w:eastAsia="en-US" w:bidi="ar-SA"/>
      </w:rPr>
    </w:lvl>
    <w:lvl w:ilvl="2">
      <w:start w:val="0"/>
      <w:numFmt w:val="bullet"/>
      <w:lvlText w:val="•"/>
      <w:lvlJc w:val="left"/>
      <w:pPr>
        <w:ind w:left="2787" w:hanging="360"/>
      </w:pPr>
      <w:rPr>
        <w:rFonts w:hint="default"/>
        <w:lang w:val="en-US" w:eastAsia="en-US" w:bidi="ar-SA"/>
      </w:rPr>
    </w:lvl>
    <w:lvl w:ilvl="3">
      <w:start w:val="0"/>
      <w:numFmt w:val="bullet"/>
      <w:lvlText w:val="•"/>
      <w:lvlJc w:val="left"/>
      <w:pPr>
        <w:ind w:left="3774" w:hanging="360"/>
      </w:pPr>
      <w:rPr>
        <w:rFonts w:hint="default"/>
        <w:lang w:val="en-US" w:eastAsia="en-US" w:bidi="ar-SA"/>
      </w:rPr>
    </w:lvl>
    <w:lvl w:ilvl="4">
      <w:start w:val="0"/>
      <w:numFmt w:val="bullet"/>
      <w:lvlText w:val="•"/>
      <w:lvlJc w:val="left"/>
      <w:pPr>
        <w:ind w:left="4762" w:hanging="360"/>
      </w:pPr>
      <w:rPr>
        <w:rFonts w:hint="default"/>
        <w:lang w:val="en-US" w:eastAsia="en-US" w:bidi="ar-SA"/>
      </w:rPr>
    </w:lvl>
    <w:lvl w:ilvl="5">
      <w:start w:val="0"/>
      <w:numFmt w:val="bullet"/>
      <w:lvlText w:val="•"/>
      <w:lvlJc w:val="left"/>
      <w:pPr>
        <w:ind w:left="5749"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24" w:hanging="360"/>
      </w:pPr>
      <w:rPr>
        <w:rFonts w:hint="default"/>
        <w:lang w:val="en-US" w:eastAsia="en-US" w:bidi="ar-SA"/>
      </w:rPr>
    </w:lvl>
    <w:lvl w:ilvl="8">
      <w:start w:val="0"/>
      <w:numFmt w:val="bullet"/>
      <w:lvlText w:val="•"/>
      <w:lvlJc w:val="left"/>
      <w:pPr>
        <w:ind w:left="8711" w:hanging="360"/>
      </w:pPr>
      <w:rPr>
        <w:rFonts w:hint="default"/>
        <w:lang w:val="en-US" w:eastAsia="en-US" w:bidi="ar-SA"/>
      </w:rPr>
    </w:lvl>
  </w:abstractNum>
  <w:abstractNum w:abstractNumId="0">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5" w:hanging="275"/>
      </w:pPr>
      <w:rPr>
        <w:rFonts w:hint="default"/>
        <w:lang w:val="en-US" w:eastAsia="en-US" w:bidi="ar-SA"/>
      </w:rPr>
    </w:lvl>
    <w:lvl w:ilvl="7">
      <w:start w:val="0"/>
      <w:numFmt w:val="bullet"/>
      <w:lvlText w:val="•"/>
      <w:lvlJc w:val="left"/>
      <w:pPr>
        <w:ind w:left="6998" w:hanging="275"/>
      </w:pPr>
      <w:rPr>
        <w:rFonts w:hint="default"/>
        <w:lang w:val="en-US" w:eastAsia="en-US" w:bidi="ar-SA"/>
      </w:rPr>
    </w:lvl>
    <w:lvl w:ilvl="8">
      <w:start w:val="0"/>
      <w:numFmt w:val="bullet"/>
      <w:lvlText w:val="•"/>
      <w:lvlJc w:val="left"/>
      <w:pPr>
        <w:ind w:left="7981" w:hanging="275"/>
      </w:pPr>
      <w:rPr>
        <w:rFonts w:hint="default"/>
        <w:lang w:val="en-US" w:eastAsia="en-US" w:bidi="ar-SA"/>
      </w:rPr>
    </w:lvl>
  </w:abstractNum>
  <w:abstractNum w:abstractNumId="1">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2">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280" w:hanging="284"/>
      </w:pPr>
      <w:rPr>
        <w:rFonts w:hint="default"/>
        <w:lang w:val="en-US" w:eastAsia="en-US" w:bidi="ar-SA"/>
      </w:rPr>
    </w:lvl>
    <w:lvl w:ilvl="4">
      <w:start w:val="0"/>
      <w:numFmt w:val="bullet"/>
      <w:lvlText w:val="•"/>
      <w:lvlJc w:val="left"/>
      <w:pPr>
        <w:ind w:left="3481" w:hanging="284"/>
      </w:pPr>
      <w:rPr>
        <w:rFonts w:hint="default"/>
        <w:lang w:val="en-US" w:eastAsia="en-US" w:bidi="ar-SA"/>
      </w:rPr>
    </w:lvl>
    <w:lvl w:ilvl="5">
      <w:start w:val="0"/>
      <w:numFmt w:val="bullet"/>
      <w:lvlText w:val="•"/>
      <w:lvlJc w:val="left"/>
      <w:pPr>
        <w:ind w:left="4682" w:hanging="284"/>
      </w:pPr>
      <w:rPr>
        <w:rFonts w:hint="default"/>
        <w:lang w:val="en-US" w:eastAsia="en-US" w:bidi="ar-SA"/>
      </w:rPr>
    </w:lvl>
    <w:lvl w:ilvl="6">
      <w:start w:val="0"/>
      <w:numFmt w:val="bullet"/>
      <w:lvlText w:val="•"/>
      <w:lvlJc w:val="left"/>
      <w:pPr>
        <w:ind w:left="5883" w:hanging="284"/>
      </w:pPr>
      <w:rPr>
        <w:rFonts w:hint="default"/>
        <w:lang w:val="en-US" w:eastAsia="en-US" w:bidi="ar-SA"/>
      </w:rPr>
    </w:lvl>
    <w:lvl w:ilvl="7">
      <w:start w:val="0"/>
      <w:numFmt w:val="bullet"/>
      <w:lvlText w:val="•"/>
      <w:lvlJc w:val="left"/>
      <w:pPr>
        <w:ind w:left="7084" w:hanging="284"/>
      </w:pPr>
      <w:rPr>
        <w:rFonts w:hint="default"/>
        <w:lang w:val="en-US" w:eastAsia="en-US" w:bidi="ar-SA"/>
      </w:rPr>
    </w:lvl>
    <w:lvl w:ilvl="8">
      <w:start w:val="0"/>
      <w:numFmt w:val="bullet"/>
      <w:lvlText w:val="•"/>
      <w:lvlJc w:val="left"/>
      <w:pPr>
        <w:ind w:left="8284" w:hanging="284"/>
      </w:pPr>
      <w:rPr>
        <w:rFonts w:hint="default"/>
        <w:lang w:val="en-US" w:eastAsia="en-US" w:bidi="ar-SA"/>
      </w:rPr>
    </w:lvl>
  </w:abstract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3"/>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Filomena.chirico@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MAIL-B4@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2023-03-16T10:32:47Z</dcterms:created>
  <dcterms:modified xsi:type="dcterms:W3CDTF">2023-03-16T10:32:47Z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0x0101008044DD005F33BF4182D860CEF03E9E56</vt:lpwstr>
  </property>
  <property fmtid="{D5CDD505-2E9C-101B-9397-08002B2CF9AE}" pid="3" name="Created">
    <vt:filetime>2023-03-16T00:00:00Z</vt:filetime>
  </property>
  <property fmtid="{D5CDD505-2E9C-101B-9397-08002B2CF9AE}" pid="4" name="Creator">
    <vt:lpwstr>Acrobat PDFMaker 22 for Word</vt:lpwstr>
  </property>
  <property fmtid="{D5CDD505-2E9C-101B-9397-08002B2CF9AE}" pid="5" name="LastSaved">
    <vt:filetime>2023-03-16T00:00:00Z</vt:filetime>
  </property>
  <property fmtid="{D5CDD505-2E9C-101B-9397-08002B2CF9AE}" pid="6" name="MSIP_Label_6bd9ddd1-4d20-43f6-abfa-fc3c07406f94_ActionId">
    <vt:lpwstr>fcedc797-f156-4c53-a3c1-343ffd297079</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2022-12-08T12:41:44Z</vt:lpwstr>
  </property>
  <property fmtid="{D5CDD505-2E9C-101B-9397-08002B2CF9AE}" pid="12" name="MSIP_Label_6bd9ddd1-4d20-43f6-abfa-fc3c07406f94_SiteId">
    <vt:lpwstr>b24c8b06-522c-46fe-9080-70926f8dddb1</vt:lpwstr>
  </property>
  <property fmtid="{D5CDD505-2E9C-101B-9397-08002B2CF9AE}" pid="13" name="Producer">
    <vt:lpwstr>Adobe PDF Library 22.3.90</vt:lpwstr>
  </property>
  <property fmtid="{D5CDD505-2E9C-101B-9397-08002B2CF9AE}" pid="14" name="SourceModified">
    <vt:lpwstr>D:20230313154730</vt:lpwstr>
  </property>
</Properties>
</file>