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71600" cy="6762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71600" cy="676275"/>
                    </a:xfrm>
                    <a:prstGeom prst="rect">
                      <a:avLst/>
                    </a:prstGeom>
                  </pic:spPr>
                </pic:pic>
              </a:graphicData>
            </a:graphic>
          </wp:inline>
        </w:drawing>
      </w:r>
      <w:r>
        <w:rPr>
          <w:sz w:val="20"/>
        </w:rPr>
      </w:r>
    </w:p>
    <w:p>
      <w:pPr>
        <w:spacing w:before="81"/>
        <w:ind w:left="1296" w:right="1627" w:firstLine="0"/>
        <w:jc w:val="center"/>
        <w:rPr>
          <w:b/>
          <w:sz w:val="24"/>
        </w:rPr>
      </w:pPr>
      <w:r>
        <w:rPr>
          <w:b/>
          <w:spacing w:val="-2"/>
          <w:sz w:val="24"/>
        </w:rPr>
        <w:t>VACANCY</w:t>
      </w:r>
      <w:r>
        <w:rPr>
          <w:b/>
          <w:spacing w:val="-3"/>
          <w:sz w:val="24"/>
        </w:rPr>
        <w:t> </w:t>
      </w:r>
      <w:r>
        <w:rPr>
          <w:b/>
          <w:spacing w:val="-2"/>
          <w:sz w:val="24"/>
        </w:rPr>
        <w:t>NOTICE</w:t>
      </w:r>
    </w:p>
    <w:p>
      <w:pPr>
        <w:pStyle w:val="BodyText"/>
        <w:spacing w:before="11"/>
        <w:rPr>
          <w:b/>
          <w:sz w:val="23"/>
        </w:rPr>
      </w:pPr>
    </w:p>
    <w:p>
      <w:pPr>
        <w:spacing w:before="0"/>
        <w:ind w:left="1296" w:right="1632" w:firstLine="0"/>
        <w:jc w:val="center"/>
        <w:rPr>
          <w:b/>
          <w:sz w:val="24"/>
        </w:rPr>
      </w:pPr>
      <w:r>
        <w:rPr>
          <w:b/>
          <w:sz w:val="24"/>
        </w:rPr>
        <w:t>SECONDED</w:t>
      </w:r>
      <w:r>
        <w:rPr>
          <w:b/>
          <w:spacing w:val="-8"/>
          <w:sz w:val="24"/>
        </w:rPr>
        <w:t> </w:t>
      </w:r>
      <w:r>
        <w:rPr>
          <w:b/>
          <w:sz w:val="24"/>
        </w:rPr>
        <w:t>NATIONAL</w:t>
      </w:r>
      <w:r>
        <w:rPr>
          <w:b/>
          <w:spacing w:val="-7"/>
          <w:sz w:val="24"/>
        </w:rPr>
        <w:t> </w:t>
      </w:r>
      <w:r>
        <w:rPr>
          <w:b/>
          <w:sz w:val="24"/>
        </w:rPr>
        <w:t>EXPERT</w:t>
      </w:r>
      <w:r>
        <w:rPr>
          <w:b/>
          <w:spacing w:val="-7"/>
          <w:sz w:val="24"/>
        </w:rPr>
        <w:t> </w:t>
      </w:r>
      <w:r>
        <w:rPr>
          <w:b/>
          <w:sz w:val="24"/>
        </w:rPr>
        <w:t>TO</w:t>
      </w:r>
      <w:r>
        <w:rPr>
          <w:b/>
          <w:spacing w:val="-8"/>
          <w:sz w:val="24"/>
        </w:rPr>
        <w:t> </w:t>
      </w:r>
      <w:r>
        <w:rPr>
          <w:b/>
          <w:sz w:val="24"/>
        </w:rPr>
        <w:t>THE</w:t>
      </w:r>
      <w:r>
        <w:rPr>
          <w:b/>
          <w:spacing w:val="-9"/>
          <w:sz w:val="24"/>
        </w:rPr>
        <w:t> </w:t>
      </w:r>
      <w:r>
        <w:rPr>
          <w:b/>
          <w:sz w:val="24"/>
        </w:rPr>
        <w:t>EUROPEAN</w:t>
      </w:r>
      <w:r>
        <w:rPr>
          <w:b/>
          <w:spacing w:val="-8"/>
          <w:sz w:val="24"/>
        </w:rPr>
        <w:t> </w:t>
      </w:r>
      <w:r>
        <w:rPr>
          <w:b/>
          <w:spacing w:val="-2"/>
          <w:sz w:val="24"/>
        </w:rPr>
        <w:t>COMMISSION</w:t>
      </w:r>
    </w:p>
    <w:p>
      <w:pPr>
        <w:pStyle w:val="BodyText"/>
        <w:spacing w:before="1"/>
        <w:rPr>
          <w:b/>
          <w:sz w:val="24"/>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9"/>
        <w:gridCol w:w="2545"/>
        <w:gridCol w:w="3051"/>
      </w:tblGrid>
      <w:tr>
        <w:trPr>
          <w:trHeight w:val="280" w:hRule="atLeast"/>
        </w:trPr>
        <w:tc>
          <w:tcPr>
            <w:tcW w:w="4359" w:type="dxa"/>
            <w:tcBorders>
              <w:bottom w:val="nil"/>
            </w:tcBorders>
          </w:tcPr>
          <w:p>
            <w:pPr>
              <w:pStyle w:val="TableParagraph"/>
              <w:spacing w:line="259" w:lineRule="exact" w:before="1"/>
              <w:rPr>
                <w:b/>
                <w:sz w:val="24"/>
              </w:rPr>
            </w:pPr>
            <w:r>
              <w:rPr>
                <w:b/>
                <w:sz w:val="24"/>
              </w:rPr>
              <w:t>Post</w:t>
            </w:r>
            <w:r>
              <w:rPr>
                <w:b/>
                <w:spacing w:val="-6"/>
                <w:sz w:val="24"/>
              </w:rPr>
              <w:t> </w:t>
            </w:r>
            <w:r>
              <w:rPr>
                <w:b/>
                <w:spacing w:val="-2"/>
                <w:sz w:val="24"/>
              </w:rPr>
              <w:t>identification:</w:t>
            </w:r>
          </w:p>
        </w:tc>
        <w:tc>
          <w:tcPr>
            <w:tcW w:w="5596" w:type="dxa"/>
            <w:gridSpan w:val="2"/>
            <w:tcBorders>
              <w:bottom w:val="nil"/>
            </w:tcBorders>
          </w:tcPr>
          <w:p>
            <w:pPr>
              <w:pStyle w:val="TableParagraph"/>
              <w:spacing w:line="259" w:lineRule="exact" w:before="1"/>
              <w:rPr>
                <w:b/>
                <w:sz w:val="24"/>
              </w:rPr>
            </w:pPr>
            <w:r>
              <w:rPr>
                <w:b/>
                <w:spacing w:val="-2"/>
                <w:sz w:val="24"/>
              </w:rPr>
              <w:t>COMPETITION</w:t>
            </w:r>
          </w:p>
        </w:tc>
      </w:tr>
      <w:tr>
        <w:trPr>
          <w:trHeight w:val="278" w:hRule="atLeast"/>
        </w:trPr>
        <w:tc>
          <w:tcPr>
            <w:tcW w:w="4359" w:type="dxa"/>
            <w:tcBorders>
              <w:top w:val="nil"/>
              <w:bottom w:val="nil"/>
            </w:tcBorders>
          </w:tcPr>
          <w:p>
            <w:pPr>
              <w:pStyle w:val="TableParagraph"/>
              <w:spacing w:line="258" w:lineRule="exact"/>
              <w:rPr>
                <w:sz w:val="24"/>
              </w:rPr>
            </w:pPr>
            <w:r>
              <w:rPr>
                <w:spacing w:val="-2"/>
                <w:sz w:val="24"/>
              </w:rPr>
              <w:t>(DG-DIR-</w:t>
            </w:r>
            <w:r>
              <w:rPr>
                <w:spacing w:val="-4"/>
                <w:sz w:val="24"/>
              </w:rPr>
              <w:t>UNIT)</w:t>
            </w:r>
          </w:p>
        </w:tc>
        <w:tc>
          <w:tcPr>
            <w:tcW w:w="5596" w:type="dxa"/>
            <w:gridSpan w:val="2"/>
            <w:tcBorders>
              <w:top w:val="nil"/>
              <w:bottom w:val="nil"/>
            </w:tcBorders>
          </w:tcPr>
          <w:p>
            <w:pPr>
              <w:pStyle w:val="TableParagraph"/>
              <w:spacing w:line="258" w:lineRule="exact"/>
              <w:rPr>
                <w:b/>
                <w:sz w:val="24"/>
              </w:rPr>
            </w:pPr>
            <w:r>
              <w:rPr>
                <w:b/>
                <w:sz w:val="24"/>
              </w:rPr>
              <w:t>E</w:t>
            </w:r>
            <w:r>
              <w:rPr>
                <w:b/>
                <w:spacing w:val="-6"/>
                <w:sz w:val="24"/>
              </w:rPr>
              <w:t> </w:t>
            </w:r>
            <w:r>
              <w:rPr>
                <w:b/>
                <w:sz w:val="24"/>
              </w:rPr>
              <w:t>-</w:t>
            </w:r>
            <w:r>
              <w:rPr>
                <w:b/>
                <w:spacing w:val="-7"/>
                <w:sz w:val="24"/>
              </w:rPr>
              <w:t> </w:t>
            </w:r>
            <w:r>
              <w:rPr>
                <w:b/>
                <w:sz w:val="24"/>
              </w:rPr>
              <w:t>Basic</w:t>
            </w:r>
            <w:r>
              <w:rPr>
                <w:b/>
                <w:spacing w:val="-5"/>
                <w:sz w:val="24"/>
              </w:rPr>
              <w:t> </w:t>
            </w:r>
            <w:r>
              <w:rPr>
                <w:b/>
                <w:sz w:val="24"/>
              </w:rPr>
              <w:t>industries,</w:t>
            </w:r>
            <w:r>
              <w:rPr>
                <w:b/>
                <w:spacing w:val="-6"/>
                <w:sz w:val="24"/>
              </w:rPr>
              <w:t> </w:t>
            </w:r>
            <w:r>
              <w:rPr>
                <w:b/>
                <w:sz w:val="24"/>
              </w:rPr>
              <w:t>manufacturing</w:t>
            </w:r>
            <w:r>
              <w:rPr>
                <w:b/>
                <w:spacing w:val="-5"/>
                <w:sz w:val="24"/>
              </w:rPr>
              <w:t> </w:t>
            </w:r>
            <w:r>
              <w:rPr>
                <w:b/>
                <w:sz w:val="24"/>
              </w:rPr>
              <w:t>and</w:t>
            </w:r>
            <w:r>
              <w:rPr>
                <w:b/>
                <w:spacing w:val="-6"/>
                <w:sz w:val="24"/>
              </w:rPr>
              <w:t> </w:t>
            </w:r>
            <w:r>
              <w:rPr>
                <w:b/>
                <w:spacing w:val="-2"/>
                <w:sz w:val="24"/>
              </w:rPr>
              <w:t>agriculture</w:t>
            </w:r>
          </w:p>
        </w:tc>
      </w:tr>
      <w:tr>
        <w:trPr>
          <w:trHeight w:val="275" w:hRule="atLeast"/>
        </w:trPr>
        <w:tc>
          <w:tcPr>
            <w:tcW w:w="4359" w:type="dxa"/>
            <w:tcBorders>
              <w:top w:val="nil"/>
              <w:bottom w:val="nil"/>
            </w:tcBorders>
          </w:tcPr>
          <w:p>
            <w:pPr>
              <w:pStyle w:val="TableParagraph"/>
              <w:ind w:left="0"/>
              <w:rPr>
                <w:sz w:val="20"/>
              </w:rPr>
            </w:pPr>
          </w:p>
        </w:tc>
        <w:tc>
          <w:tcPr>
            <w:tcW w:w="5596" w:type="dxa"/>
            <w:gridSpan w:val="2"/>
            <w:tcBorders>
              <w:top w:val="nil"/>
              <w:bottom w:val="nil"/>
            </w:tcBorders>
          </w:tcPr>
          <w:p>
            <w:pPr>
              <w:pStyle w:val="TableParagraph"/>
              <w:spacing w:line="256" w:lineRule="exact"/>
              <w:rPr>
                <w:b/>
                <w:sz w:val="24"/>
              </w:rPr>
            </w:pPr>
            <w:r>
              <w:rPr>
                <w:b/>
                <w:sz w:val="24"/>
              </w:rPr>
              <w:t>State</w:t>
            </w:r>
            <w:r>
              <w:rPr>
                <w:b/>
                <w:spacing w:val="-7"/>
                <w:sz w:val="24"/>
              </w:rPr>
              <w:t> </w:t>
            </w:r>
            <w:r>
              <w:rPr>
                <w:b/>
                <w:sz w:val="24"/>
              </w:rPr>
              <w:t>Aids</w:t>
            </w:r>
            <w:r>
              <w:rPr>
                <w:b/>
                <w:spacing w:val="-5"/>
                <w:sz w:val="24"/>
              </w:rPr>
              <w:t> </w:t>
            </w:r>
            <w:r>
              <w:rPr>
                <w:b/>
                <w:sz w:val="24"/>
              </w:rPr>
              <w:t>-</w:t>
            </w:r>
            <w:r>
              <w:rPr>
                <w:b/>
                <w:spacing w:val="-6"/>
                <w:sz w:val="24"/>
              </w:rPr>
              <w:t> </w:t>
            </w:r>
            <w:r>
              <w:rPr>
                <w:b/>
                <w:sz w:val="24"/>
              </w:rPr>
              <w:t>Industrial</w:t>
            </w:r>
            <w:r>
              <w:rPr>
                <w:b/>
                <w:spacing w:val="-8"/>
                <w:sz w:val="24"/>
              </w:rPr>
              <w:t> </w:t>
            </w:r>
            <w:r>
              <w:rPr>
                <w:b/>
                <w:spacing w:val="-2"/>
                <w:sz w:val="24"/>
              </w:rPr>
              <w:t>Restructuring</w:t>
            </w:r>
          </w:p>
        </w:tc>
      </w:tr>
      <w:tr>
        <w:trPr>
          <w:trHeight w:val="271" w:hRule="atLeast"/>
        </w:trPr>
        <w:tc>
          <w:tcPr>
            <w:tcW w:w="4359" w:type="dxa"/>
            <w:tcBorders>
              <w:top w:val="nil"/>
            </w:tcBorders>
          </w:tcPr>
          <w:p>
            <w:pPr>
              <w:pStyle w:val="TableParagraph"/>
              <w:ind w:left="0"/>
              <w:rPr>
                <w:sz w:val="20"/>
              </w:rPr>
            </w:pPr>
          </w:p>
        </w:tc>
        <w:tc>
          <w:tcPr>
            <w:tcW w:w="5596" w:type="dxa"/>
            <w:gridSpan w:val="2"/>
            <w:tcBorders>
              <w:top w:val="nil"/>
            </w:tcBorders>
          </w:tcPr>
          <w:p>
            <w:pPr>
              <w:pStyle w:val="TableParagraph"/>
              <w:spacing w:line="252" w:lineRule="exact"/>
              <w:rPr>
                <w:b/>
                <w:sz w:val="24"/>
              </w:rPr>
            </w:pPr>
            <w:r>
              <w:rPr>
                <w:b/>
                <w:spacing w:val="-2"/>
                <w:sz w:val="24"/>
              </w:rPr>
              <w:t>COMP-E-</w:t>
            </w:r>
            <w:r>
              <w:rPr>
                <w:b/>
                <w:spacing w:val="-10"/>
                <w:sz w:val="24"/>
              </w:rPr>
              <w:t>3</w:t>
            </w:r>
          </w:p>
        </w:tc>
      </w:tr>
      <w:tr>
        <w:trPr>
          <w:trHeight w:val="1975" w:hRule="atLeast"/>
        </w:trPr>
        <w:tc>
          <w:tcPr>
            <w:tcW w:w="4359" w:type="dxa"/>
            <w:tcBorders>
              <w:bottom w:val="nil"/>
            </w:tcBorders>
          </w:tcPr>
          <w:p>
            <w:pPr>
              <w:pStyle w:val="TableParagraph"/>
              <w:spacing w:line="251" w:lineRule="exact"/>
              <w:rPr>
                <w:b/>
                <w:sz w:val="22"/>
              </w:rPr>
            </w:pPr>
            <w:r>
              <w:rPr>
                <w:b/>
                <w:sz w:val="22"/>
              </w:rPr>
              <w:t>Head</w:t>
            </w:r>
            <w:r>
              <w:rPr>
                <w:b/>
                <w:spacing w:val="-4"/>
                <w:sz w:val="22"/>
              </w:rPr>
              <w:t> </w:t>
            </w:r>
            <w:r>
              <w:rPr>
                <w:b/>
                <w:sz w:val="22"/>
              </w:rPr>
              <w:t>of</w:t>
            </w:r>
            <w:r>
              <w:rPr>
                <w:b/>
                <w:spacing w:val="-1"/>
                <w:sz w:val="22"/>
              </w:rPr>
              <w:t> </w:t>
            </w:r>
            <w:r>
              <w:rPr>
                <w:b/>
                <w:spacing w:val="-2"/>
                <w:sz w:val="22"/>
              </w:rPr>
              <w:t>Unit:</w:t>
            </w:r>
          </w:p>
          <w:p>
            <w:pPr>
              <w:pStyle w:val="TableParagraph"/>
              <w:ind w:right="2826"/>
              <w:rPr>
                <w:b/>
                <w:sz w:val="22"/>
              </w:rPr>
            </w:pPr>
            <w:r>
              <w:rPr>
                <w:b/>
                <w:sz w:val="22"/>
              </w:rPr>
              <w:t>Email</w:t>
            </w:r>
            <w:r>
              <w:rPr>
                <w:b/>
                <w:spacing w:val="-14"/>
                <w:sz w:val="22"/>
              </w:rPr>
              <w:t> </w:t>
            </w:r>
            <w:r>
              <w:rPr>
                <w:b/>
                <w:sz w:val="22"/>
              </w:rPr>
              <w:t>address: </w:t>
            </w:r>
            <w:r>
              <w:rPr>
                <w:b/>
                <w:spacing w:val="-2"/>
                <w:sz w:val="22"/>
              </w:rPr>
              <w:t>Telephone:</w:t>
            </w:r>
          </w:p>
          <w:p>
            <w:pPr>
              <w:pStyle w:val="TableParagraph"/>
              <w:ind w:right="1278"/>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4"/>
                <w:sz w:val="22"/>
              </w:rPr>
              <w:t> </w:t>
            </w:r>
            <w:r>
              <w:rPr>
                <w:b/>
                <w:sz w:val="22"/>
              </w:rPr>
              <w:t>posts: Suggested taking up duty: Suggested</w:t>
            </w:r>
            <w:r>
              <w:rPr>
                <w:b/>
                <w:spacing w:val="-5"/>
                <w:sz w:val="22"/>
              </w:rPr>
              <w:t> </w:t>
            </w:r>
            <w:r>
              <w:rPr>
                <w:b/>
                <w:sz w:val="22"/>
              </w:rPr>
              <w:t>initial</w:t>
            </w:r>
            <w:r>
              <w:rPr>
                <w:b/>
                <w:spacing w:val="-4"/>
                <w:sz w:val="22"/>
              </w:rPr>
              <w:t> </w:t>
            </w:r>
            <w:r>
              <w:rPr>
                <w:b/>
                <w:sz w:val="22"/>
              </w:rPr>
              <w:t>duration: Place of secondment:</w:t>
            </w:r>
          </w:p>
        </w:tc>
        <w:tc>
          <w:tcPr>
            <w:tcW w:w="5596" w:type="dxa"/>
            <w:gridSpan w:val="2"/>
          </w:tcPr>
          <w:p>
            <w:pPr>
              <w:pStyle w:val="TableParagraph"/>
              <w:ind w:right="2109"/>
              <w:rPr>
                <w:b/>
                <w:sz w:val="20"/>
              </w:rPr>
            </w:pPr>
            <w:r>
              <w:rPr>
                <w:b/>
                <w:sz w:val="20"/>
              </w:rPr>
              <w:t>Flavio LAINA </w:t>
            </w:r>
            <w:hyperlink r:id="rId7">
              <w:r>
                <w:rPr>
                  <w:b/>
                  <w:color w:val="0000FF"/>
                  <w:spacing w:val="-2"/>
                  <w:sz w:val="20"/>
                  <w:u w:val="single" w:color="0000FF"/>
                </w:rPr>
                <w:t>flavio.laina@ec.europa.eu</w:t>
              </w:r>
            </w:hyperlink>
          </w:p>
          <w:p>
            <w:pPr>
              <w:pStyle w:val="TableParagraph"/>
              <w:spacing w:line="226" w:lineRule="exact"/>
              <w:rPr>
                <w:b/>
                <w:sz w:val="20"/>
              </w:rPr>
            </w:pPr>
            <w:r>
              <w:rPr>
                <w:b/>
                <w:sz w:val="20"/>
              </w:rPr>
              <w:t>+32</w:t>
            </w:r>
            <w:r>
              <w:rPr>
                <w:b/>
                <w:spacing w:val="-2"/>
                <w:sz w:val="20"/>
              </w:rPr>
              <w:t> </w:t>
            </w:r>
            <w:r>
              <w:rPr>
                <w:b/>
                <w:sz w:val="20"/>
              </w:rPr>
              <w:t>2</w:t>
            </w:r>
            <w:r>
              <w:rPr>
                <w:b/>
                <w:spacing w:val="-1"/>
                <w:sz w:val="20"/>
              </w:rPr>
              <w:t> </w:t>
            </w:r>
            <w:r>
              <w:rPr>
                <w:b/>
                <w:spacing w:val="-2"/>
                <w:sz w:val="20"/>
              </w:rPr>
              <w:t>2969669</w:t>
            </w:r>
          </w:p>
          <w:p>
            <w:pPr>
              <w:pStyle w:val="TableParagraph"/>
              <w:spacing w:line="273" w:lineRule="exact"/>
              <w:rPr>
                <w:sz w:val="24"/>
              </w:rPr>
            </w:pPr>
            <w:r>
              <w:rPr>
                <w:sz w:val="24"/>
              </w:rPr>
              <w:t>1</w:t>
            </w:r>
          </w:p>
          <w:p>
            <w:pPr>
              <w:pStyle w:val="TableParagraph"/>
              <w:spacing w:before="5"/>
              <w:rPr>
                <w:b/>
                <w:sz w:val="22"/>
              </w:rPr>
            </w:pPr>
            <w:r>
              <w:rPr>
                <w:b/>
                <w:sz w:val="24"/>
              </w:rPr>
              <w:t>June</w:t>
            </w:r>
            <w:r>
              <w:rPr>
                <w:b/>
                <w:spacing w:val="-10"/>
                <w:sz w:val="24"/>
              </w:rPr>
              <w:t> </w:t>
            </w:r>
            <w:r>
              <w:rPr>
                <w:b/>
                <w:spacing w:val="-2"/>
                <w:sz w:val="22"/>
              </w:rPr>
              <w:t>2023</w:t>
            </w:r>
            <w:r>
              <w:rPr>
                <w:b/>
                <w:spacing w:val="-2"/>
                <w:sz w:val="22"/>
                <w:vertAlign w:val="superscript"/>
              </w:rPr>
              <w:t>1</w:t>
            </w:r>
          </w:p>
          <w:p>
            <w:pPr>
              <w:pStyle w:val="TableParagraph"/>
              <w:rPr>
                <w:b/>
                <w:sz w:val="22"/>
              </w:rPr>
            </w:pPr>
            <w:r>
              <w:rPr>
                <w:b/>
                <w:sz w:val="22"/>
              </w:rPr>
              <w:t>1 </w:t>
            </w:r>
            <w:r>
              <w:rPr>
                <w:b/>
                <w:spacing w:val="-2"/>
                <w:sz w:val="22"/>
              </w:rPr>
              <w:t>year(s)</w:t>
            </w:r>
            <w:r>
              <w:rPr>
                <w:b/>
                <w:spacing w:val="-2"/>
                <w:sz w:val="22"/>
                <w:vertAlign w:val="superscript"/>
              </w:rPr>
              <w:t>1</w:t>
            </w:r>
          </w:p>
          <w:p>
            <w:pPr>
              <w:pStyle w:val="TableParagraph"/>
              <w:spacing w:before="1"/>
              <w:rPr>
                <w:b/>
                <w:sz w:val="22"/>
              </w:rPr>
            </w:pPr>
            <w:r>
              <w:rPr>
                <w:rFonts w:ascii="Wingdings" w:hAnsi="Wingdings"/>
                <w:sz w:val="22"/>
              </w:rPr>
              <w:t></w:t>
            </w:r>
            <w:r>
              <w:rPr>
                <w:spacing w:val="-6"/>
                <w:sz w:val="22"/>
              </w:rPr>
              <w:t> </w:t>
            </w:r>
            <w:r>
              <w:rPr>
                <w:b/>
                <w:sz w:val="22"/>
              </w:rPr>
              <w:t>Brussels</w:t>
            </w:r>
            <w:r>
              <w:rPr>
                <w:b/>
                <w:spacing w:val="52"/>
                <w:sz w:val="22"/>
              </w:rPr>
              <w:t> </w:t>
            </w:r>
            <w:r>
              <w:rPr>
                <w:rFonts w:ascii="Wingdings 2" w:hAnsi="Wingdings 2"/>
                <w:sz w:val="22"/>
              </w:rPr>
              <w:t></w:t>
            </w:r>
            <w:r>
              <w:rPr>
                <w:spacing w:val="-2"/>
                <w:sz w:val="22"/>
              </w:rPr>
              <w:t> </w:t>
            </w:r>
            <w:r>
              <w:rPr>
                <w:b/>
                <w:sz w:val="22"/>
              </w:rPr>
              <w:t>Luxemburg</w:t>
            </w:r>
            <w:r>
              <w:rPr>
                <w:b/>
                <w:spacing w:val="51"/>
                <w:sz w:val="22"/>
              </w:rPr>
              <w:t> </w:t>
            </w:r>
            <w:r>
              <w:rPr>
                <w:rFonts w:ascii="Wingdings 2" w:hAnsi="Wingdings 2"/>
                <w:sz w:val="22"/>
              </w:rPr>
              <w:t></w:t>
            </w:r>
            <w:r>
              <w:rPr>
                <w:spacing w:val="-2"/>
                <w:sz w:val="22"/>
              </w:rPr>
              <w:t> </w:t>
            </w:r>
            <w:r>
              <w:rPr>
                <w:b/>
                <w:sz w:val="22"/>
              </w:rPr>
              <w:t>Other:</w:t>
            </w:r>
            <w:r>
              <w:rPr>
                <w:b/>
                <w:spacing w:val="-2"/>
                <w:sz w:val="22"/>
              </w:rPr>
              <w:t> ……………..</w:t>
            </w:r>
          </w:p>
        </w:tc>
      </w:tr>
      <w:tr>
        <w:trPr>
          <w:trHeight w:val="546" w:hRule="atLeast"/>
        </w:trPr>
        <w:tc>
          <w:tcPr>
            <w:tcW w:w="4359" w:type="dxa"/>
            <w:tcBorders>
              <w:top w:val="nil"/>
            </w:tcBorders>
          </w:tcPr>
          <w:p>
            <w:pPr>
              <w:pStyle w:val="TableParagraph"/>
              <w:ind w:left="0"/>
              <w:rPr>
                <w:sz w:val="20"/>
              </w:rPr>
            </w:pPr>
          </w:p>
        </w:tc>
        <w:tc>
          <w:tcPr>
            <w:tcW w:w="2545" w:type="dxa"/>
            <w:tcBorders>
              <w:right w:val="nil"/>
            </w:tcBorders>
          </w:tcPr>
          <w:p>
            <w:pPr>
              <w:pStyle w:val="TableParagraph"/>
              <w:tabs>
                <w:tab w:pos="561" w:val="left" w:leader="none"/>
              </w:tabs>
              <w:spacing w:before="145"/>
              <w:rPr>
                <w:b/>
                <w:sz w:val="22"/>
              </w:rPr>
            </w:pPr>
            <w:r>
              <w:rPr>
                <w:rFonts w:ascii="Wingdings" w:hAnsi="Wingdings"/>
                <w:spacing w:val="-10"/>
                <w:sz w:val="22"/>
              </w:rPr>
              <w:t></w:t>
            </w:r>
            <w:r>
              <w:rPr>
                <w:sz w:val="22"/>
              </w:rPr>
              <w:tab/>
            </w:r>
            <w:r>
              <w:rPr>
                <w:b/>
                <w:sz w:val="22"/>
              </w:rPr>
              <w:t>With</w:t>
            </w:r>
            <w:r>
              <w:rPr>
                <w:b/>
                <w:spacing w:val="-6"/>
                <w:sz w:val="22"/>
              </w:rPr>
              <w:t> </w:t>
            </w:r>
            <w:r>
              <w:rPr>
                <w:b/>
                <w:spacing w:val="-2"/>
                <w:sz w:val="22"/>
              </w:rPr>
              <w:t>allowances</w:t>
            </w:r>
          </w:p>
        </w:tc>
        <w:tc>
          <w:tcPr>
            <w:tcW w:w="3051" w:type="dxa"/>
            <w:tcBorders>
              <w:left w:val="nil"/>
            </w:tcBorders>
          </w:tcPr>
          <w:p>
            <w:pPr>
              <w:pStyle w:val="TableParagraph"/>
              <w:numPr>
                <w:ilvl w:val="0"/>
                <w:numId w:val="1"/>
              </w:numPr>
              <w:tabs>
                <w:tab w:pos="918" w:val="left" w:leader="none"/>
                <w:tab w:pos="919" w:val="left" w:leader="none"/>
              </w:tabs>
              <w:spacing w:line="240" w:lineRule="auto" w:before="145" w:after="0"/>
              <w:ind w:left="919" w:right="0" w:hanging="473"/>
              <w:jc w:val="left"/>
              <w:rPr>
                <w:b/>
                <w:sz w:val="22"/>
              </w:rPr>
            </w:pPr>
            <w:r>
              <w:rPr>
                <w:b/>
                <w:spacing w:val="-2"/>
                <w:sz w:val="22"/>
              </w:rPr>
              <w:t>Cost-</w:t>
            </w:r>
            <w:r>
              <w:rPr>
                <w:b/>
                <w:spacing w:val="-4"/>
                <w:sz w:val="22"/>
              </w:rPr>
              <w:t>free</w:t>
            </w:r>
          </w:p>
        </w:tc>
      </w:tr>
      <w:tr>
        <w:trPr>
          <w:trHeight w:val="2111" w:hRule="atLeast"/>
        </w:trPr>
        <w:tc>
          <w:tcPr>
            <w:tcW w:w="9955" w:type="dxa"/>
            <w:gridSpan w:val="3"/>
          </w:tcPr>
          <w:p>
            <w:pPr>
              <w:pStyle w:val="TableParagraph"/>
              <w:spacing w:before="111"/>
              <w:rPr>
                <w:b/>
                <w:sz w:val="22"/>
              </w:rPr>
            </w:pPr>
            <w:r>
              <w:rPr>
                <w:b/>
                <w:sz w:val="22"/>
              </w:rPr>
              <w:t>This</w:t>
            </w:r>
            <w:r>
              <w:rPr>
                <w:b/>
                <w:spacing w:val="-2"/>
                <w:sz w:val="22"/>
              </w:rPr>
              <w:t> </w:t>
            </w:r>
            <w:r>
              <w:rPr>
                <w:b/>
                <w:sz w:val="22"/>
              </w:rPr>
              <w:t>vacancy</w:t>
            </w:r>
            <w:r>
              <w:rPr>
                <w:b/>
                <w:spacing w:val="-2"/>
                <w:sz w:val="22"/>
              </w:rPr>
              <w:t> </w:t>
            </w:r>
            <w:r>
              <w:rPr>
                <w:b/>
                <w:sz w:val="22"/>
              </w:rPr>
              <w:t>notice</w:t>
            </w:r>
            <w:r>
              <w:rPr>
                <w:b/>
                <w:spacing w:val="-3"/>
                <w:sz w:val="22"/>
              </w:rPr>
              <w:t> </w:t>
            </w:r>
            <w:r>
              <w:rPr>
                <w:b/>
                <w:sz w:val="22"/>
              </w:rPr>
              <w:t>is</w:t>
            </w:r>
            <w:r>
              <w:rPr>
                <w:b/>
                <w:spacing w:val="-2"/>
                <w:sz w:val="22"/>
              </w:rPr>
              <w:t> </w:t>
            </w:r>
            <w:r>
              <w:rPr>
                <w:b/>
                <w:sz w:val="22"/>
              </w:rPr>
              <w:t>also</w:t>
            </w:r>
            <w:r>
              <w:rPr>
                <w:b/>
                <w:spacing w:val="-2"/>
                <w:sz w:val="22"/>
              </w:rPr>
              <w:t> </w:t>
            </w:r>
            <w:r>
              <w:rPr>
                <w:b/>
                <w:sz w:val="22"/>
              </w:rPr>
              <w:t>open</w:t>
            </w:r>
            <w:r>
              <w:rPr>
                <w:b/>
                <w:spacing w:val="-2"/>
                <w:sz w:val="22"/>
              </w:rPr>
              <w:t> </w:t>
            </w:r>
            <w:r>
              <w:rPr>
                <w:b/>
                <w:spacing w:val="-5"/>
                <w:sz w:val="22"/>
              </w:rPr>
              <w:t>to</w:t>
            </w:r>
          </w:p>
          <w:p>
            <w:pPr>
              <w:pStyle w:val="TableParagraph"/>
              <w:spacing w:before="1"/>
              <w:ind w:left="0"/>
              <w:rPr>
                <w:b/>
                <w:sz w:val="22"/>
              </w:rPr>
            </w:pPr>
          </w:p>
          <w:p>
            <w:pPr>
              <w:pStyle w:val="TableParagraph"/>
              <w:numPr>
                <w:ilvl w:val="0"/>
                <w:numId w:val="2"/>
              </w:numPr>
              <w:tabs>
                <w:tab w:pos="561" w:val="left" w:leader="none"/>
                <w:tab w:pos="562" w:val="left" w:leader="none"/>
              </w:tabs>
              <w:spacing w:line="240" w:lineRule="auto" w:before="0" w:after="0"/>
              <w:ind w:left="561" w:right="0" w:hanging="457"/>
              <w:jc w:val="left"/>
              <w:rPr>
                <w:b/>
                <w:sz w:val="24"/>
              </w:rPr>
            </w:pPr>
            <w:r>
              <w:rPr>
                <w:b/>
                <w:sz w:val="24"/>
              </w:rPr>
              <w:t>the</w:t>
            </w:r>
            <w:r>
              <w:rPr>
                <w:b/>
                <w:spacing w:val="-8"/>
                <w:sz w:val="24"/>
              </w:rPr>
              <w:t> </w:t>
            </w:r>
            <w:r>
              <w:rPr>
                <w:b/>
                <w:sz w:val="24"/>
              </w:rPr>
              <w:t>following</w:t>
            </w:r>
            <w:r>
              <w:rPr>
                <w:b/>
                <w:spacing w:val="-6"/>
                <w:sz w:val="24"/>
              </w:rPr>
              <w:t> </w:t>
            </w:r>
            <w:r>
              <w:rPr>
                <w:b/>
                <w:sz w:val="24"/>
              </w:rPr>
              <w:t>EFTA</w:t>
            </w:r>
            <w:r>
              <w:rPr>
                <w:b/>
                <w:spacing w:val="-7"/>
                <w:sz w:val="24"/>
              </w:rPr>
              <w:t> </w:t>
            </w:r>
            <w:r>
              <w:rPr>
                <w:b/>
                <w:sz w:val="24"/>
              </w:rPr>
              <w:t>countries</w:t>
            </w:r>
            <w:r>
              <w:rPr>
                <w:b/>
                <w:spacing w:val="-6"/>
                <w:sz w:val="24"/>
              </w:rPr>
              <w:t> </w:t>
            </w:r>
            <w:r>
              <w:rPr>
                <w:b/>
                <w:spacing w:val="-10"/>
                <w:sz w:val="24"/>
              </w:rPr>
              <w:t>:</w:t>
            </w:r>
          </w:p>
          <w:p>
            <w:pPr>
              <w:pStyle w:val="TableParagraph"/>
              <w:numPr>
                <w:ilvl w:val="1"/>
                <w:numId w:val="2"/>
              </w:numPr>
              <w:tabs>
                <w:tab w:pos="1090" w:val="left" w:leader="none"/>
              </w:tabs>
              <w:spacing w:line="240" w:lineRule="auto" w:before="0" w:after="0"/>
              <w:ind w:left="1089" w:right="0" w:hanging="277"/>
              <w:jc w:val="left"/>
              <w:rPr>
                <w:b/>
                <w:sz w:val="24"/>
              </w:rPr>
            </w:pPr>
            <w:r>
              <w:rPr>
                <w:b/>
                <w:sz w:val="24"/>
              </w:rPr>
              <w:t>Iceland</w:t>
            </w:r>
            <w:r>
              <w:rPr>
                <w:b/>
                <w:spacing w:val="49"/>
                <w:sz w:val="24"/>
              </w:rPr>
              <w:t> </w:t>
            </w:r>
            <w:r>
              <w:rPr>
                <w:rFonts w:ascii="Wingdings 2" w:hAnsi="Wingdings 2"/>
                <w:b/>
                <w:sz w:val="24"/>
              </w:rPr>
              <w:t></w:t>
            </w:r>
            <w:r>
              <w:rPr>
                <w:spacing w:val="-2"/>
                <w:sz w:val="24"/>
              </w:rPr>
              <w:t> </w:t>
            </w:r>
            <w:r>
              <w:rPr>
                <w:b/>
                <w:sz w:val="24"/>
              </w:rPr>
              <w:t>Liechtenstein</w:t>
            </w:r>
            <w:r>
              <w:rPr>
                <w:b/>
                <w:spacing w:val="53"/>
                <w:sz w:val="24"/>
              </w:rPr>
              <w:t> </w:t>
            </w:r>
            <w:r>
              <w:rPr>
                <w:rFonts w:ascii="Wingdings 2" w:hAnsi="Wingdings 2"/>
                <w:b/>
                <w:sz w:val="24"/>
              </w:rPr>
              <w:t></w:t>
            </w:r>
            <w:r>
              <w:rPr>
                <w:spacing w:val="-3"/>
                <w:sz w:val="24"/>
              </w:rPr>
              <w:t> </w:t>
            </w:r>
            <w:r>
              <w:rPr>
                <w:b/>
                <w:sz w:val="24"/>
              </w:rPr>
              <w:t>Norway</w:t>
            </w:r>
            <w:r>
              <w:rPr>
                <w:b/>
                <w:spacing w:val="49"/>
                <w:sz w:val="24"/>
              </w:rPr>
              <w:t> </w:t>
            </w:r>
            <w:r>
              <w:rPr>
                <w:rFonts w:ascii="Wingdings 2" w:hAnsi="Wingdings 2"/>
                <w:b/>
                <w:sz w:val="24"/>
              </w:rPr>
              <w:t></w:t>
            </w:r>
            <w:r>
              <w:rPr>
                <w:spacing w:val="-3"/>
                <w:sz w:val="24"/>
              </w:rPr>
              <w:t> </w:t>
            </w:r>
            <w:r>
              <w:rPr>
                <w:b/>
                <w:spacing w:val="-2"/>
                <w:sz w:val="24"/>
              </w:rPr>
              <w:t>Switzerland</w:t>
            </w:r>
          </w:p>
          <w:p>
            <w:pPr>
              <w:pStyle w:val="TableParagraph"/>
              <w:numPr>
                <w:ilvl w:val="1"/>
                <w:numId w:val="2"/>
              </w:numPr>
              <w:tabs>
                <w:tab w:pos="1090" w:val="left" w:leader="none"/>
              </w:tabs>
              <w:spacing w:line="240" w:lineRule="auto" w:before="0" w:after="0"/>
              <w:ind w:left="1089" w:right="0" w:hanging="277"/>
              <w:jc w:val="left"/>
              <w:rPr>
                <w:b/>
                <w:sz w:val="24"/>
              </w:rPr>
            </w:pPr>
            <w:r>
              <w:rPr>
                <w:b/>
                <w:sz w:val="24"/>
              </w:rPr>
              <w:t>EFTA-EEA</w:t>
            </w:r>
            <w:r>
              <w:rPr>
                <w:b/>
                <w:spacing w:val="-10"/>
                <w:sz w:val="24"/>
              </w:rPr>
              <w:t> </w:t>
            </w:r>
            <w:r>
              <w:rPr>
                <w:b/>
                <w:sz w:val="24"/>
              </w:rPr>
              <w:t>In-Kind</w:t>
            </w:r>
            <w:r>
              <w:rPr>
                <w:b/>
                <w:spacing w:val="-11"/>
                <w:sz w:val="24"/>
              </w:rPr>
              <w:t> </w:t>
            </w:r>
            <w:r>
              <w:rPr>
                <w:b/>
                <w:sz w:val="24"/>
              </w:rPr>
              <w:t>agreement</w:t>
            </w:r>
            <w:r>
              <w:rPr>
                <w:b/>
                <w:spacing w:val="-10"/>
                <w:sz w:val="24"/>
              </w:rPr>
              <w:t> </w:t>
            </w:r>
            <w:r>
              <w:rPr>
                <w:b/>
                <w:sz w:val="24"/>
              </w:rPr>
              <w:t>(Iceland,</w:t>
            </w:r>
            <w:r>
              <w:rPr>
                <w:b/>
                <w:spacing w:val="-9"/>
                <w:sz w:val="24"/>
              </w:rPr>
              <w:t> </w:t>
            </w:r>
            <w:r>
              <w:rPr>
                <w:b/>
                <w:sz w:val="24"/>
              </w:rPr>
              <w:t>Liechtenstein,</w:t>
            </w:r>
            <w:r>
              <w:rPr>
                <w:b/>
                <w:spacing w:val="-10"/>
                <w:sz w:val="24"/>
              </w:rPr>
              <w:t> </w:t>
            </w:r>
            <w:r>
              <w:rPr>
                <w:b/>
                <w:spacing w:val="-2"/>
                <w:sz w:val="24"/>
              </w:rPr>
              <w:t>Norway)</w:t>
            </w:r>
          </w:p>
          <w:p>
            <w:pPr>
              <w:pStyle w:val="TableParagraph"/>
              <w:numPr>
                <w:ilvl w:val="0"/>
                <w:numId w:val="2"/>
              </w:numPr>
              <w:tabs>
                <w:tab w:pos="561" w:val="left" w:leader="none"/>
                <w:tab w:pos="562" w:val="left" w:leader="none"/>
              </w:tabs>
              <w:spacing w:line="240" w:lineRule="auto" w:before="0" w:after="0"/>
              <w:ind w:left="561" w:right="0" w:hanging="457"/>
              <w:jc w:val="left"/>
              <w:rPr>
                <w:b/>
                <w:sz w:val="24"/>
              </w:rPr>
            </w:pPr>
            <w:r>
              <w:rPr>
                <w:b/>
                <w:sz w:val="24"/>
              </w:rPr>
              <w:t>the</w:t>
            </w:r>
            <w:r>
              <w:rPr>
                <w:b/>
                <w:spacing w:val="-6"/>
                <w:sz w:val="24"/>
              </w:rPr>
              <w:t> </w:t>
            </w:r>
            <w:r>
              <w:rPr>
                <w:b/>
                <w:sz w:val="24"/>
              </w:rPr>
              <w:t>following</w:t>
            </w:r>
            <w:r>
              <w:rPr>
                <w:b/>
                <w:spacing w:val="-5"/>
                <w:sz w:val="24"/>
              </w:rPr>
              <w:t> </w:t>
            </w:r>
            <w:r>
              <w:rPr>
                <w:b/>
                <w:sz w:val="24"/>
              </w:rPr>
              <w:t>third</w:t>
            </w:r>
            <w:r>
              <w:rPr>
                <w:b/>
                <w:spacing w:val="-6"/>
                <w:sz w:val="24"/>
              </w:rPr>
              <w:t> </w:t>
            </w:r>
            <w:r>
              <w:rPr>
                <w:b/>
                <w:spacing w:val="-2"/>
                <w:sz w:val="24"/>
              </w:rPr>
              <w:t>countries:</w:t>
            </w:r>
          </w:p>
          <w:p>
            <w:pPr>
              <w:pStyle w:val="TableParagraph"/>
              <w:numPr>
                <w:ilvl w:val="0"/>
                <w:numId w:val="2"/>
              </w:numPr>
              <w:tabs>
                <w:tab w:pos="561" w:val="left" w:leader="none"/>
                <w:tab w:pos="562" w:val="left" w:leader="none"/>
              </w:tabs>
              <w:spacing w:line="240" w:lineRule="auto" w:before="0" w:after="0"/>
              <w:ind w:left="561" w:right="0" w:hanging="457"/>
              <w:jc w:val="left"/>
              <w:rPr>
                <w:b/>
                <w:sz w:val="24"/>
              </w:rPr>
            </w:pPr>
            <w:r>
              <w:rPr>
                <w:b/>
                <w:sz w:val="24"/>
              </w:rPr>
              <w:t>the</w:t>
            </w:r>
            <w:r>
              <w:rPr>
                <w:b/>
                <w:spacing w:val="-13"/>
                <w:sz w:val="24"/>
              </w:rPr>
              <w:t> </w:t>
            </w:r>
            <w:r>
              <w:rPr>
                <w:b/>
                <w:sz w:val="24"/>
              </w:rPr>
              <w:t>following</w:t>
            </w:r>
            <w:r>
              <w:rPr>
                <w:b/>
                <w:spacing w:val="-13"/>
                <w:sz w:val="24"/>
              </w:rPr>
              <w:t> </w:t>
            </w:r>
            <w:r>
              <w:rPr>
                <w:b/>
                <w:sz w:val="24"/>
              </w:rPr>
              <w:t>intergovernmental</w:t>
            </w:r>
            <w:r>
              <w:rPr>
                <w:b/>
                <w:spacing w:val="-12"/>
                <w:sz w:val="24"/>
              </w:rPr>
              <w:t> </w:t>
            </w:r>
            <w:r>
              <w:rPr>
                <w:b/>
                <w:spacing w:val="-2"/>
                <w:sz w:val="24"/>
              </w:rPr>
              <w:t>organisations:</w:t>
            </w:r>
          </w:p>
        </w:tc>
      </w:tr>
    </w:tbl>
    <w:p>
      <w:pPr>
        <w:pStyle w:val="BodyText"/>
        <w:spacing w:before="2"/>
        <w:rPr>
          <w:b/>
          <w:sz w:val="24"/>
        </w:rPr>
      </w:pPr>
    </w:p>
    <w:p>
      <w:pPr>
        <w:pStyle w:val="ListParagraph"/>
        <w:numPr>
          <w:ilvl w:val="0"/>
          <w:numId w:val="3"/>
        </w:numPr>
        <w:tabs>
          <w:tab w:pos="799" w:val="left" w:leader="none"/>
          <w:tab w:pos="800" w:val="left" w:leader="none"/>
        </w:tabs>
        <w:spacing w:line="240" w:lineRule="auto" w:before="1" w:after="0"/>
        <w:ind w:left="799" w:right="0" w:hanging="428"/>
        <w:jc w:val="left"/>
        <w:rPr>
          <w:b/>
          <w:sz w:val="24"/>
        </w:rPr>
      </w:pPr>
      <w:r>
        <w:rPr>
          <w:b/>
          <w:sz w:val="24"/>
          <w:u w:val="single"/>
        </w:rPr>
        <w:t>Nature</w:t>
      </w:r>
      <w:r>
        <w:rPr>
          <w:b/>
          <w:spacing w:val="-5"/>
          <w:sz w:val="24"/>
          <w:u w:val="single"/>
        </w:rPr>
        <w:t> </w:t>
      </w:r>
      <w:r>
        <w:rPr>
          <w:b/>
          <w:sz w:val="24"/>
          <w:u w:val="single"/>
        </w:rPr>
        <w:t>of</w:t>
      </w:r>
      <w:r>
        <w:rPr>
          <w:b/>
          <w:spacing w:val="-2"/>
          <w:sz w:val="24"/>
          <w:u w:val="single"/>
        </w:rPr>
        <w:t> </w:t>
      </w:r>
      <w:r>
        <w:rPr>
          <w:b/>
          <w:sz w:val="24"/>
          <w:u w:val="single"/>
        </w:rPr>
        <w:t>the</w:t>
      </w:r>
      <w:r>
        <w:rPr>
          <w:b/>
          <w:spacing w:val="-4"/>
          <w:sz w:val="24"/>
          <w:u w:val="single"/>
        </w:rPr>
        <w:t> tasks</w:t>
      </w:r>
    </w:p>
    <w:p>
      <w:pPr>
        <w:pStyle w:val="BodyText"/>
        <w:spacing w:before="9"/>
        <w:rPr>
          <w:b/>
          <w:sz w:val="15"/>
        </w:rPr>
      </w:pPr>
    </w:p>
    <w:p>
      <w:pPr>
        <w:spacing w:before="91"/>
        <w:ind w:left="372" w:right="2918" w:firstLine="0"/>
        <w:jc w:val="both"/>
        <w:rPr>
          <w:sz w:val="20"/>
        </w:rPr>
      </w:pPr>
      <w:r>
        <w:rPr>
          <w:sz w:val="20"/>
        </w:rPr>
        <w:t>We are looking for a case handler in unit COMP-E-3. The unit is responsible for the assessment of State aid granted by Member States for the rescue and restructuring of companies in difficulties. In addition, it is in charge of the assessment of other forms of aid granted to the manufacturing sector in general, as well as of State aid to ports.</w:t>
      </w:r>
    </w:p>
    <w:p>
      <w:pPr>
        <w:pStyle w:val="BodyText"/>
        <w:spacing w:before="11"/>
        <w:rPr>
          <w:sz w:val="19"/>
        </w:rPr>
      </w:pPr>
    </w:p>
    <w:p>
      <w:pPr>
        <w:spacing w:before="0"/>
        <w:ind w:left="372" w:right="2914" w:firstLine="0"/>
        <w:jc w:val="both"/>
        <w:rPr>
          <w:sz w:val="20"/>
        </w:rPr>
      </w:pPr>
      <w:r>
        <w:rPr>
          <w:sz w:val="20"/>
        </w:rPr>
        <w:t>State aid case handlers have an interesting and rewarding job. The person will mainly deal with the economic and legal assessment of individual aid cases, including major corporate restructurings.</w:t>
      </w:r>
      <w:r>
        <w:rPr>
          <w:spacing w:val="-1"/>
          <w:sz w:val="20"/>
        </w:rPr>
        <w:t> </w:t>
      </w:r>
      <w:r>
        <w:rPr>
          <w:sz w:val="20"/>
        </w:rPr>
        <w:t>The work</w:t>
      </w:r>
      <w:r>
        <w:rPr>
          <w:spacing w:val="-2"/>
          <w:sz w:val="20"/>
        </w:rPr>
        <w:t> </w:t>
      </w:r>
      <w:r>
        <w:rPr>
          <w:sz w:val="20"/>
        </w:rPr>
        <w:t>is generally</w:t>
      </w:r>
      <w:r>
        <w:rPr>
          <w:spacing w:val="-4"/>
          <w:sz w:val="20"/>
        </w:rPr>
        <w:t> </w:t>
      </w:r>
      <w:r>
        <w:rPr>
          <w:sz w:val="20"/>
        </w:rPr>
        <w:t>organised in</w:t>
      </w:r>
      <w:r>
        <w:rPr>
          <w:spacing w:val="-2"/>
          <w:sz w:val="20"/>
        </w:rPr>
        <w:t> </w:t>
      </w:r>
      <w:r>
        <w:rPr>
          <w:sz w:val="20"/>
        </w:rPr>
        <w:t>case teams.</w:t>
      </w:r>
      <w:r>
        <w:rPr>
          <w:spacing w:val="-1"/>
          <w:sz w:val="20"/>
        </w:rPr>
        <w:t> </w:t>
      </w:r>
      <w:r>
        <w:rPr>
          <w:sz w:val="20"/>
        </w:rPr>
        <w:t>Case handlers</w:t>
      </w:r>
      <w:r>
        <w:rPr>
          <w:spacing w:val="-1"/>
          <w:sz w:val="20"/>
        </w:rPr>
        <w:t> </w:t>
      </w:r>
      <w:r>
        <w:rPr>
          <w:sz w:val="20"/>
        </w:rPr>
        <w:t>are responsible for the treatment of cases from their start until a final Commission decision and its publication, and possibly its monitoring. The unit offers a good working atmosphere within a young and dynamic team of 20 people. Flexitime is applied.</w:t>
      </w:r>
    </w:p>
    <w:p>
      <w:pPr>
        <w:pStyle w:val="BodyText"/>
        <w:spacing w:before="5"/>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Main</w:t>
      </w:r>
      <w:r>
        <w:rPr>
          <w:b/>
          <w:spacing w:val="-2"/>
          <w:sz w:val="24"/>
          <w:u w:val="single"/>
        </w:rPr>
        <w:t> qualifications</w:t>
      </w:r>
    </w:p>
    <w:p>
      <w:pPr>
        <w:pStyle w:val="BodyText"/>
        <w:rPr>
          <w:b/>
          <w:sz w:val="16"/>
        </w:rPr>
      </w:pPr>
    </w:p>
    <w:p>
      <w:pPr>
        <w:pStyle w:val="Heading1"/>
        <w:numPr>
          <w:ilvl w:val="1"/>
          <w:numId w:val="3"/>
        </w:numPr>
        <w:tabs>
          <w:tab w:pos="1040" w:val="left" w:leader="none"/>
        </w:tabs>
        <w:spacing w:line="240" w:lineRule="auto" w:before="92" w:after="0"/>
        <w:ind w:left="1039" w:right="0" w:hanging="241"/>
        <w:jc w:val="left"/>
      </w:pPr>
      <w:r>
        <w:rPr/>
        <w:t>Eligibility</w:t>
      </w:r>
      <w:r>
        <w:rPr>
          <w:spacing w:val="-10"/>
        </w:rPr>
        <w:t> </w:t>
      </w:r>
      <w:r>
        <w:rPr>
          <w:spacing w:val="-2"/>
        </w:rPr>
        <w:t>criteria</w:t>
      </w:r>
    </w:p>
    <w:p>
      <w:pPr>
        <w:pStyle w:val="BodyText"/>
        <w:spacing w:before="5"/>
        <w:rPr>
          <w:b/>
          <w:sz w:val="21"/>
        </w:rPr>
      </w:pPr>
    </w:p>
    <w:p>
      <w:pPr>
        <w:pStyle w:val="BodyText"/>
        <w:ind w:left="799" w:right="105"/>
        <w:jc w:val="both"/>
      </w:pPr>
      <w:r>
        <w:rPr/>
        <w:t>The</w:t>
      </w:r>
      <w:r>
        <w:rPr>
          <w:spacing w:val="-1"/>
        </w:rPr>
        <w:t> </w:t>
      </w:r>
      <w:r>
        <w:rPr/>
        <w:t>following</w:t>
      </w:r>
      <w:r>
        <w:rPr>
          <w:spacing w:val="-2"/>
        </w:rPr>
        <w:t> </w:t>
      </w:r>
      <w:r>
        <w:rPr/>
        <w:t>eligibility</w:t>
      </w:r>
      <w:r>
        <w:rPr>
          <w:spacing w:val="-2"/>
        </w:rPr>
        <w:t> </w:t>
      </w:r>
      <w:r>
        <w:rPr/>
        <w:t>criteria must be fulfilled by</w:t>
      </w:r>
      <w:r>
        <w:rPr>
          <w:spacing w:val="-2"/>
        </w:rPr>
        <w:t> </w:t>
      </w:r>
      <w:r>
        <w:rPr/>
        <w:t>the candidate in order to be</w:t>
      </w:r>
      <w:r>
        <w:rPr>
          <w:spacing w:val="-1"/>
        </w:rPr>
        <w:t> </w:t>
      </w:r>
      <w:r>
        <w:rPr/>
        <w:t>seconded to</w:t>
      </w:r>
      <w:r>
        <w:rPr>
          <w:spacing w:val="-1"/>
        </w:rPr>
        <w:t> </w:t>
      </w:r>
      <w:r>
        <w:rPr/>
        <w:t>the Commission. Consequently, the candidate who does not fulfil all of these criteria will be automatically eliminated from the selection process.</w:t>
      </w:r>
    </w:p>
    <w:p>
      <w:pPr>
        <w:pStyle w:val="BodyText"/>
      </w:pPr>
    </w:p>
    <w:p>
      <w:pPr>
        <w:pStyle w:val="ListParagraph"/>
        <w:numPr>
          <w:ilvl w:val="2"/>
          <w:numId w:val="3"/>
        </w:numPr>
        <w:tabs>
          <w:tab w:pos="1080" w:val="left" w:leader="none"/>
          <w:tab w:pos="1081" w:val="left" w:leader="none"/>
        </w:tabs>
        <w:spacing w:line="240" w:lineRule="auto" w:before="1" w:after="0"/>
        <w:ind w:left="1080" w:right="114" w:hanging="281"/>
        <w:jc w:val="left"/>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rPr>
          <w:sz w:val="20"/>
        </w:rPr>
      </w:pPr>
    </w:p>
    <w:p>
      <w:pPr>
        <w:pStyle w:val="BodyText"/>
        <w:spacing w:before="9"/>
        <w:rPr>
          <w:sz w:val="29"/>
        </w:rPr>
      </w:pPr>
      <w:r>
        <w:rPr/>
        <w:pict>
          <v:rect style="position:absolute;margin-left:42.599998pt;margin-top:18.347343pt;width:144.020pt;height:.599980pt;mso-position-horizontal-relative:page;mso-position-vertical-relative:paragraph;z-index:-15728640;mso-wrap-distance-left:0;mso-wrap-distance-right:0" id="docshape2" filled="true" fillcolor="#000000" stroked="false">
            <v:fill type="solid"/>
            <w10:wrap type="topAndBottom"/>
          </v:rect>
        </w:pict>
      </w:r>
    </w:p>
    <w:p>
      <w:pPr>
        <w:spacing w:before="101"/>
        <w:ind w:left="372" w:right="0" w:firstLine="0"/>
        <w:jc w:val="left"/>
        <w:rPr>
          <w:sz w:val="20"/>
        </w:rPr>
      </w:pPr>
      <w:r>
        <w:rPr>
          <w:sz w:val="20"/>
          <w:vertAlign w:val="superscript"/>
        </w:rPr>
        <w:t>1</w:t>
      </w:r>
      <w:r>
        <w:rPr>
          <w:spacing w:val="-4"/>
          <w:sz w:val="20"/>
          <w:vertAlign w:val="baseline"/>
        </w:rPr>
        <w:t> </w:t>
      </w:r>
      <w:r>
        <w:rPr>
          <w:sz w:val="20"/>
          <w:vertAlign w:val="baseline"/>
        </w:rPr>
        <w:t>These</w:t>
      </w:r>
      <w:r>
        <w:rPr>
          <w:spacing w:val="-4"/>
          <w:sz w:val="20"/>
          <w:vertAlign w:val="baseline"/>
        </w:rPr>
        <w:t> </w:t>
      </w:r>
      <w:r>
        <w:rPr>
          <w:sz w:val="20"/>
          <w:vertAlign w:val="baseline"/>
        </w:rPr>
        <w:t>mentions</w:t>
      </w:r>
      <w:r>
        <w:rPr>
          <w:spacing w:val="-4"/>
          <w:sz w:val="20"/>
          <w:vertAlign w:val="baseline"/>
        </w:rPr>
        <w:t> </w:t>
      </w:r>
      <w:r>
        <w:rPr>
          <w:sz w:val="20"/>
          <w:vertAlign w:val="baseline"/>
        </w:rPr>
        <w:t>are</w:t>
      </w:r>
      <w:r>
        <w:rPr>
          <w:spacing w:val="-4"/>
          <w:sz w:val="20"/>
          <w:vertAlign w:val="baseline"/>
        </w:rPr>
        <w:t> </w:t>
      </w:r>
      <w:r>
        <w:rPr>
          <w:sz w:val="20"/>
          <w:vertAlign w:val="baseline"/>
        </w:rPr>
        <w:t>given</w:t>
      </w:r>
      <w:r>
        <w:rPr>
          <w:spacing w:val="-4"/>
          <w:sz w:val="20"/>
          <w:vertAlign w:val="baseline"/>
        </w:rPr>
        <w:t> </w:t>
      </w:r>
      <w:r>
        <w:rPr>
          <w:sz w:val="20"/>
          <w:vertAlign w:val="baseline"/>
        </w:rPr>
        <w:t>on</w:t>
      </w:r>
      <w:r>
        <w:rPr>
          <w:spacing w:val="-3"/>
          <w:sz w:val="20"/>
          <w:vertAlign w:val="baseline"/>
        </w:rPr>
        <w:t> </w:t>
      </w:r>
      <w:r>
        <w:rPr>
          <w:sz w:val="20"/>
          <w:vertAlign w:val="baseline"/>
        </w:rPr>
        <w:t>an</w:t>
      </w:r>
      <w:r>
        <w:rPr>
          <w:spacing w:val="-4"/>
          <w:sz w:val="20"/>
          <w:vertAlign w:val="baseline"/>
        </w:rPr>
        <w:t> </w:t>
      </w:r>
      <w:r>
        <w:rPr>
          <w:sz w:val="20"/>
          <w:vertAlign w:val="baseline"/>
        </w:rPr>
        <w:t>indicative</w:t>
      </w:r>
      <w:r>
        <w:rPr>
          <w:spacing w:val="-4"/>
          <w:sz w:val="20"/>
          <w:vertAlign w:val="baseline"/>
        </w:rPr>
        <w:t> </w:t>
      </w:r>
      <w:r>
        <w:rPr>
          <w:sz w:val="20"/>
          <w:vertAlign w:val="baseline"/>
        </w:rPr>
        <w:t>basis</w:t>
      </w:r>
      <w:r>
        <w:rPr>
          <w:spacing w:val="-3"/>
          <w:sz w:val="20"/>
          <w:vertAlign w:val="baseline"/>
        </w:rPr>
        <w:t> </w:t>
      </w:r>
      <w:r>
        <w:rPr>
          <w:sz w:val="20"/>
          <w:vertAlign w:val="baseline"/>
        </w:rPr>
        <w:t>only</w:t>
      </w:r>
      <w:r>
        <w:rPr>
          <w:spacing w:val="-7"/>
          <w:sz w:val="20"/>
          <w:vertAlign w:val="baseline"/>
        </w:rPr>
        <w:t> </w:t>
      </w:r>
      <w:r>
        <w:rPr>
          <w:sz w:val="20"/>
          <w:vertAlign w:val="baseline"/>
        </w:rPr>
        <w:t>(Art.4 of</w:t>
      </w:r>
      <w:r>
        <w:rPr>
          <w:spacing w:val="-5"/>
          <w:sz w:val="20"/>
          <w:vertAlign w:val="baseline"/>
        </w:rPr>
        <w:t> </w:t>
      </w:r>
      <w:r>
        <w:rPr>
          <w:sz w:val="20"/>
          <w:vertAlign w:val="baseline"/>
        </w:rPr>
        <w:t>the</w:t>
      </w:r>
      <w:r>
        <w:rPr>
          <w:spacing w:val="-4"/>
          <w:sz w:val="20"/>
          <w:vertAlign w:val="baseline"/>
        </w:rPr>
        <w:t> </w:t>
      </w:r>
      <w:r>
        <w:rPr>
          <w:sz w:val="20"/>
          <w:vertAlign w:val="baseline"/>
        </w:rPr>
        <w:t>SNE</w:t>
      </w:r>
      <w:r>
        <w:rPr>
          <w:spacing w:val="-3"/>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ListParagraph"/>
        <w:numPr>
          <w:ilvl w:val="2"/>
          <w:numId w:val="3"/>
        </w:numPr>
        <w:tabs>
          <w:tab w:pos="1081" w:val="left" w:leader="none"/>
        </w:tabs>
        <w:spacing w:line="240" w:lineRule="auto" w:before="68" w:after="0"/>
        <w:ind w:left="1080" w:right="119" w:hanging="281"/>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1"/>
      </w:pPr>
    </w:p>
    <w:p>
      <w:pPr>
        <w:pStyle w:val="ListParagraph"/>
        <w:numPr>
          <w:ilvl w:val="2"/>
          <w:numId w:val="3"/>
        </w:numPr>
        <w:tabs>
          <w:tab w:pos="1081" w:val="left" w:leader="none"/>
        </w:tabs>
        <w:spacing w:line="240" w:lineRule="auto" w:before="0" w:after="0"/>
        <w:ind w:left="1080" w:right="110" w:hanging="281"/>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6"/>
        <w:rPr>
          <w:sz w:val="24"/>
        </w:rPr>
      </w:pPr>
    </w:p>
    <w:p>
      <w:pPr>
        <w:pStyle w:val="Heading1"/>
        <w:numPr>
          <w:ilvl w:val="1"/>
          <w:numId w:val="3"/>
        </w:numPr>
        <w:tabs>
          <w:tab w:pos="1081" w:val="left" w:leader="none"/>
        </w:tabs>
        <w:spacing w:line="240" w:lineRule="auto" w:before="0" w:after="0"/>
        <w:ind w:left="1080" w:right="0" w:hanging="282"/>
        <w:jc w:val="left"/>
      </w:pPr>
      <w:r>
        <w:rPr>
          <w:u w:val="single"/>
        </w:rPr>
        <w:t>Selection</w:t>
      </w:r>
      <w:r>
        <w:rPr>
          <w:spacing w:val="-5"/>
          <w:u w:val="single"/>
        </w:rPr>
        <w:t> </w:t>
      </w:r>
      <w:r>
        <w:rPr>
          <w:spacing w:val="-2"/>
          <w:u w:val="single"/>
        </w:rPr>
        <w:t>criteria</w:t>
      </w:r>
    </w:p>
    <w:p>
      <w:pPr>
        <w:pStyle w:val="BodyText"/>
        <w:spacing w:before="6"/>
        <w:rPr>
          <w:b/>
          <w:sz w:val="15"/>
        </w:rPr>
      </w:pPr>
    </w:p>
    <w:p>
      <w:pPr>
        <w:pStyle w:val="BodyText"/>
        <w:spacing w:before="92"/>
        <w:ind w:left="1080"/>
      </w:pPr>
      <w:r>
        <w:rPr>
          <w:spacing w:val="-2"/>
          <w:u w:val="single"/>
        </w:rPr>
        <w:t>Diploma</w:t>
      </w:r>
    </w:p>
    <w:p>
      <w:pPr>
        <w:pStyle w:val="ListParagraph"/>
        <w:numPr>
          <w:ilvl w:val="0"/>
          <w:numId w:val="4"/>
        </w:numPr>
        <w:tabs>
          <w:tab w:pos="1206" w:val="left" w:leader="none"/>
        </w:tabs>
        <w:spacing w:line="252" w:lineRule="exact" w:before="1" w:after="0"/>
        <w:ind w:left="1205" w:right="0" w:hanging="126"/>
        <w:jc w:val="left"/>
        <w:rPr>
          <w:sz w:val="22"/>
        </w:rPr>
      </w:pPr>
      <w:r>
        <w:rPr>
          <w:sz w:val="22"/>
        </w:rPr>
        <w:t>university</w:t>
      </w:r>
      <w:r>
        <w:rPr>
          <w:spacing w:val="-5"/>
          <w:sz w:val="22"/>
        </w:rPr>
        <w:t> </w:t>
      </w:r>
      <w:r>
        <w:rPr>
          <w:sz w:val="22"/>
        </w:rPr>
        <w:t>degree</w:t>
      </w:r>
      <w:r>
        <w:rPr>
          <w:spacing w:val="-1"/>
          <w:sz w:val="22"/>
        </w:rPr>
        <w:t> </w:t>
      </w:r>
      <w:r>
        <w:rPr>
          <w:spacing w:val="-5"/>
          <w:sz w:val="22"/>
        </w:rPr>
        <w:t>or</w:t>
      </w:r>
    </w:p>
    <w:p>
      <w:pPr>
        <w:pStyle w:val="ListParagraph"/>
        <w:numPr>
          <w:ilvl w:val="0"/>
          <w:numId w:val="4"/>
        </w:numPr>
        <w:tabs>
          <w:tab w:pos="1206" w:val="left" w:leader="none"/>
        </w:tabs>
        <w:spacing w:line="252" w:lineRule="exact" w:before="0" w:after="0"/>
        <w:ind w:left="1205" w:right="0" w:hanging="126"/>
        <w:jc w:val="left"/>
        <w:rPr>
          <w:sz w:val="22"/>
        </w:rPr>
      </w:pPr>
      <w:r>
        <w:rPr>
          <w:sz w:val="22"/>
        </w:rPr>
        <w:t>professional</w:t>
      </w:r>
      <w:r>
        <w:rPr>
          <w:spacing w:val="-4"/>
          <w:sz w:val="22"/>
        </w:rPr>
        <w:t> </w:t>
      </w:r>
      <w:r>
        <w:rPr>
          <w:sz w:val="22"/>
        </w:rPr>
        <w:t>training</w:t>
      </w:r>
      <w:r>
        <w:rPr>
          <w:spacing w:val="-6"/>
          <w:sz w:val="22"/>
        </w:rPr>
        <w:t> </w:t>
      </w:r>
      <w:r>
        <w:rPr>
          <w:sz w:val="22"/>
        </w:rPr>
        <w:t>or</w:t>
      </w:r>
      <w:r>
        <w:rPr>
          <w:spacing w:val="-3"/>
          <w:sz w:val="22"/>
        </w:rPr>
        <w:t> </w:t>
      </w:r>
      <w:r>
        <w:rPr>
          <w:sz w:val="22"/>
        </w:rPr>
        <w:t>professional</w:t>
      </w:r>
      <w:r>
        <w:rPr>
          <w:spacing w:val="-5"/>
          <w:sz w:val="22"/>
        </w:rPr>
        <w:t> </w:t>
      </w:r>
      <w:r>
        <w:rPr>
          <w:sz w:val="22"/>
        </w:rPr>
        <w:t>experience</w:t>
      </w:r>
      <w:r>
        <w:rPr>
          <w:spacing w:val="-4"/>
          <w:sz w:val="22"/>
        </w:rPr>
        <w:t> </w:t>
      </w:r>
      <w:r>
        <w:rPr>
          <w:sz w:val="22"/>
        </w:rPr>
        <w:t>of</w:t>
      </w:r>
      <w:r>
        <w:rPr>
          <w:spacing w:val="-5"/>
          <w:sz w:val="22"/>
        </w:rPr>
        <w:t> </w:t>
      </w:r>
      <w:r>
        <w:rPr>
          <w:sz w:val="22"/>
        </w:rPr>
        <w:t>an</w:t>
      </w:r>
      <w:r>
        <w:rPr>
          <w:spacing w:val="-5"/>
          <w:sz w:val="22"/>
        </w:rPr>
        <w:t> </w:t>
      </w:r>
      <w:r>
        <w:rPr>
          <w:sz w:val="22"/>
        </w:rPr>
        <w:t>equivalent</w:t>
      </w:r>
      <w:r>
        <w:rPr>
          <w:spacing w:val="-4"/>
          <w:sz w:val="22"/>
        </w:rPr>
        <w:t> </w:t>
      </w:r>
      <w:r>
        <w:rPr>
          <w:spacing w:val="-2"/>
          <w:sz w:val="22"/>
        </w:rPr>
        <w:t>level</w:t>
      </w:r>
    </w:p>
    <w:p>
      <w:pPr>
        <w:pStyle w:val="BodyText"/>
      </w:pPr>
    </w:p>
    <w:p>
      <w:pPr>
        <w:pStyle w:val="BodyText"/>
        <w:spacing w:line="253" w:lineRule="exact" w:before="1"/>
        <w:ind w:left="1190"/>
        <w:jc w:val="both"/>
      </w:pPr>
      <w:r>
        <w:rPr/>
        <w:t>in</w:t>
      </w:r>
      <w:r>
        <w:rPr>
          <w:spacing w:val="-6"/>
        </w:rPr>
        <w:t> </w:t>
      </w:r>
      <w:r>
        <w:rPr/>
        <w:t>the</w:t>
      </w:r>
      <w:r>
        <w:rPr>
          <w:spacing w:val="-3"/>
        </w:rPr>
        <w:t> </w:t>
      </w:r>
      <w:r>
        <w:rPr/>
        <w:t>field(s)</w:t>
      </w:r>
      <w:r>
        <w:rPr>
          <w:spacing w:val="-4"/>
        </w:rPr>
        <w:t> </w:t>
      </w:r>
      <w:r>
        <w:rPr>
          <w:spacing w:val="-10"/>
        </w:rPr>
        <w:t>:</w:t>
      </w:r>
    </w:p>
    <w:p>
      <w:pPr>
        <w:pStyle w:val="BodyText"/>
        <w:ind w:left="1080" w:right="167"/>
        <w:jc w:val="both"/>
      </w:pPr>
      <w:r>
        <w:rPr/>
        <w:t>We are looking for a candidate with a sound background and professional experience in corporate finance, business administration, economics or law. Background or experience as financial analyst is desired but other backgrounds may also be considered if supported by a good knowledge of State aid control and competition policy in general. The candidate should be a person with good analytical and drafting skills and ability to communicate with public authorities, economic and legal circles concerned and other Community services. She/he should be capable of working independently as well as within a team. Colleagues in the state aid field must be ready to work under tight deadlines and to resist outside pressure.</w:t>
      </w:r>
    </w:p>
    <w:p>
      <w:pPr>
        <w:pStyle w:val="BodyText"/>
        <w:spacing w:before="10"/>
        <w:rPr>
          <w:sz w:val="21"/>
        </w:rPr>
      </w:pPr>
    </w:p>
    <w:p>
      <w:pPr>
        <w:pStyle w:val="BodyText"/>
        <w:ind w:left="1080"/>
        <w:jc w:val="both"/>
      </w:pPr>
      <w:r>
        <w:rPr>
          <w:u w:val="single"/>
        </w:rPr>
        <w:t>Professional</w:t>
      </w:r>
      <w:r>
        <w:rPr>
          <w:spacing w:val="-4"/>
          <w:u w:val="single"/>
        </w:rPr>
        <w:t> </w:t>
      </w:r>
      <w:r>
        <w:rPr>
          <w:spacing w:val="-2"/>
          <w:u w:val="single"/>
        </w:rPr>
        <w:t>experience</w:t>
      </w:r>
    </w:p>
    <w:p>
      <w:pPr>
        <w:pStyle w:val="BodyText"/>
        <w:spacing w:before="1"/>
        <w:rPr>
          <w:sz w:val="14"/>
        </w:rPr>
      </w:pPr>
    </w:p>
    <w:p>
      <w:pPr>
        <w:pStyle w:val="BodyText"/>
        <w:spacing w:before="92"/>
        <w:ind w:left="1080"/>
      </w:pPr>
      <w:r>
        <w:rPr/>
        <w:t>At</w:t>
      </w:r>
      <w:r>
        <w:rPr>
          <w:spacing w:val="40"/>
        </w:rPr>
        <w:t> </w:t>
      </w:r>
      <w:r>
        <w:rPr/>
        <w:t>least</w:t>
      </w:r>
      <w:r>
        <w:rPr>
          <w:spacing w:val="40"/>
        </w:rPr>
        <w:t> </w:t>
      </w:r>
      <w:r>
        <w:rPr/>
        <w:t>three</w:t>
      </w:r>
      <w:r>
        <w:rPr>
          <w:spacing w:val="40"/>
        </w:rPr>
        <w:t> </w:t>
      </w:r>
      <w:r>
        <w:rPr/>
        <w:t>years'</w:t>
      </w:r>
      <w:r>
        <w:rPr>
          <w:spacing w:val="40"/>
        </w:rPr>
        <w:t> </w:t>
      </w:r>
      <w:r>
        <w:rPr/>
        <w:t>experience</w:t>
      </w:r>
      <w:r>
        <w:rPr>
          <w:spacing w:val="40"/>
        </w:rPr>
        <w:t> </w:t>
      </w:r>
      <w:r>
        <w:rPr/>
        <w:t>in</w:t>
      </w:r>
      <w:r>
        <w:rPr>
          <w:spacing w:val="40"/>
        </w:rPr>
        <w:t> </w:t>
      </w:r>
      <w:r>
        <w:rPr/>
        <w:t>administrative,</w:t>
      </w:r>
      <w:r>
        <w:rPr>
          <w:spacing w:val="40"/>
        </w:rPr>
        <w:t> </w:t>
      </w:r>
      <w:r>
        <w:rPr/>
        <w:t>legal,</w:t>
      </w:r>
      <w:r>
        <w:rPr>
          <w:spacing w:val="40"/>
        </w:rPr>
        <w:t> </w:t>
      </w:r>
      <w:r>
        <w:rPr/>
        <w:t>scientific,</w:t>
      </w:r>
      <w:r>
        <w:rPr>
          <w:spacing w:val="40"/>
        </w:rPr>
        <w:t> </w:t>
      </w:r>
      <w:r>
        <w:rPr/>
        <w:t>technical,</w:t>
      </w:r>
      <w:r>
        <w:rPr>
          <w:spacing w:val="40"/>
        </w:rPr>
        <w:t> </w:t>
      </w:r>
      <w:r>
        <w:rPr/>
        <w:t>advisory</w:t>
      </w:r>
      <w:r>
        <w:rPr>
          <w:spacing w:val="40"/>
        </w:rPr>
        <w:t> </w:t>
      </w:r>
      <w:r>
        <w:rPr/>
        <w:t>or</w:t>
      </w:r>
      <w:r>
        <w:rPr>
          <w:spacing w:val="40"/>
        </w:rPr>
        <w:t> </w:t>
      </w:r>
      <w:r>
        <w:rPr/>
        <w:t>supervisory functions which can be regarded as equivalent to those of function groups AD</w:t>
      </w:r>
    </w:p>
    <w:p>
      <w:pPr>
        <w:pStyle w:val="BodyText"/>
        <w:rPr>
          <w:sz w:val="24"/>
        </w:rPr>
      </w:pPr>
    </w:p>
    <w:p>
      <w:pPr>
        <w:pStyle w:val="BodyText"/>
        <w:spacing w:before="1"/>
        <w:rPr>
          <w:sz w:val="20"/>
        </w:rPr>
      </w:pPr>
    </w:p>
    <w:p>
      <w:pPr>
        <w:pStyle w:val="BodyText"/>
        <w:ind w:left="1080" w:right="201"/>
      </w:pPr>
      <w:r>
        <w:rPr/>
        <w:t>At least one year with your employer, that is having worked for an eligible employer (as described in Art.</w:t>
      </w:r>
      <w:r>
        <w:rPr>
          <w:spacing w:val="40"/>
        </w:rPr>
        <w:t> </w:t>
      </w:r>
      <w:r>
        <w:rPr/>
        <w:t>1 of the SNE decision) on a permanent or contract basis for at least 12 months before the secondment;</w:t>
      </w:r>
    </w:p>
    <w:p>
      <w:pPr>
        <w:pStyle w:val="BodyText"/>
        <w:rPr>
          <w:sz w:val="24"/>
        </w:rPr>
      </w:pPr>
    </w:p>
    <w:p>
      <w:pPr>
        <w:pStyle w:val="BodyText"/>
        <w:rPr>
          <w:sz w:val="24"/>
        </w:rPr>
      </w:pPr>
    </w:p>
    <w:p>
      <w:pPr>
        <w:pStyle w:val="BodyText"/>
        <w:rPr>
          <w:sz w:val="24"/>
        </w:rPr>
      </w:pPr>
    </w:p>
    <w:p>
      <w:pPr>
        <w:pStyle w:val="BodyText"/>
        <w:spacing w:before="183"/>
        <w:ind w:left="1080"/>
      </w:pPr>
      <w:r>
        <w:rPr>
          <w:u w:val="single"/>
        </w:rPr>
        <w:t>Language(s)</w:t>
      </w:r>
      <w:r>
        <w:rPr>
          <w:spacing w:val="-3"/>
          <w:u w:val="single"/>
        </w:rPr>
        <w:t> </w:t>
      </w:r>
      <w:r>
        <w:rPr>
          <w:u w:val="single"/>
        </w:rPr>
        <w:t>necessary</w:t>
      </w:r>
      <w:r>
        <w:rPr>
          <w:spacing w:val="-6"/>
          <w:u w:val="single"/>
        </w:rPr>
        <w:t> </w:t>
      </w:r>
      <w:r>
        <w:rPr>
          <w:u w:val="single"/>
        </w:rPr>
        <w:t>for</w:t>
      </w:r>
      <w:r>
        <w:rPr>
          <w:spacing w:val="-4"/>
          <w:u w:val="single"/>
        </w:rPr>
        <w:t> </w:t>
      </w:r>
      <w:r>
        <w:rPr>
          <w:u w:val="single"/>
        </w:rPr>
        <w:t>the</w:t>
      </w:r>
      <w:r>
        <w:rPr>
          <w:spacing w:val="-3"/>
          <w:u w:val="single"/>
        </w:rPr>
        <w:t> </w:t>
      </w:r>
      <w:r>
        <w:rPr>
          <w:u w:val="single"/>
        </w:rPr>
        <w:t>performance</w:t>
      </w:r>
      <w:r>
        <w:rPr>
          <w:spacing w:val="-4"/>
          <w:u w:val="single"/>
        </w:rPr>
        <w:t> </w:t>
      </w:r>
      <w:r>
        <w:rPr>
          <w:u w:val="single"/>
        </w:rPr>
        <w:t>of</w:t>
      </w:r>
      <w:r>
        <w:rPr>
          <w:spacing w:val="-2"/>
          <w:u w:val="single"/>
        </w:rPr>
        <w:t> duties</w:t>
      </w:r>
    </w:p>
    <w:p>
      <w:pPr>
        <w:pStyle w:val="BodyText"/>
        <w:spacing w:before="1"/>
        <w:rPr>
          <w:sz w:val="14"/>
        </w:rPr>
      </w:pPr>
    </w:p>
    <w:p>
      <w:pPr>
        <w:pStyle w:val="BodyText"/>
        <w:spacing w:before="91"/>
        <w:ind w:left="1080"/>
      </w:pPr>
      <w:r>
        <w:rPr/>
        <w:t>The</w:t>
      </w:r>
      <w:r>
        <w:rPr>
          <w:spacing w:val="31"/>
        </w:rPr>
        <w:t> </w:t>
      </w:r>
      <w:r>
        <w:rPr/>
        <w:t>main</w:t>
      </w:r>
      <w:r>
        <w:rPr>
          <w:spacing w:val="33"/>
        </w:rPr>
        <w:t> </w:t>
      </w:r>
      <w:r>
        <w:rPr/>
        <w:t>working</w:t>
      </w:r>
      <w:r>
        <w:rPr>
          <w:spacing w:val="31"/>
        </w:rPr>
        <w:t> </w:t>
      </w:r>
      <w:r>
        <w:rPr/>
        <w:t>language</w:t>
      </w:r>
      <w:r>
        <w:rPr>
          <w:spacing w:val="34"/>
        </w:rPr>
        <w:t> </w:t>
      </w:r>
      <w:r>
        <w:rPr/>
        <w:t>of</w:t>
      </w:r>
      <w:r>
        <w:rPr>
          <w:spacing w:val="34"/>
        </w:rPr>
        <w:t> </w:t>
      </w:r>
      <w:r>
        <w:rPr/>
        <w:t>the</w:t>
      </w:r>
      <w:r>
        <w:rPr>
          <w:spacing w:val="34"/>
        </w:rPr>
        <w:t> </w:t>
      </w:r>
      <w:r>
        <w:rPr/>
        <w:t>unit</w:t>
      </w:r>
      <w:r>
        <w:rPr>
          <w:spacing w:val="32"/>
        </w:rPr>
        <w:t> </w:t>
      </w:r>
      <w:r>
        <w:rPr/>
        <w:t>is</w:t>
      </w:r>
      <w:r>
        <w:rPr>
          <w:spacing w:val="31"/>
        </w:rPr>
        <w:t> </w:t>
      </w:r>
      <w:r>
        <w:rPr/>
        <w:t>English.</w:t>
      </w:r>
      <w:r>
        <w:rPr>
          <w:spacing w:val="31"/>
        </w:rPr>
        <w:t> </w:t>
      </w:r>
      <w:r>
        <w:rPr/>
        <w:t>Therefore,</w:t>
      </w:r>
      <w:r>
        <w:rPr>
          <w:spacing w:val="34"/>
        </w:rPr>
        <w:t> </w:t>
      </w:r>
      <w:r>
        <w:rPr/>
        <w:t>excellent</w:t>
      </w:r>
      <w:r>
        <w:rPr>
          <w:spacing w:val="34"/>
        </w:rPr>
        <w:t> </w:t>
      </w:r>
      <w:r>
        <w:rPr/>
        <w:t>written</w:t>
      </w:r>
      <w:r>
        <w:rPr>
          <w:spacing w:val="33"/>
        </w:rPr>
        <w:t> </w:t>
      </w:r>
      <w:r>
        <w:rPr/>
        <w:t>and</w:t>
      </w:r>
      <w:r>
        <w:rPr>
          <w:spacing w:val="32"/>
        </w:rPr>
        <w:t> </w:t>
      </w:r>
      <w:r>
        <w:rPr/>
        <w:t>spoken</w:t>
      </w:r>
      <w:r>
        <w:rPr>
          <w:spacing w:val="34"/>
        </w:rPr>
        <w:t> </w:t>
      </w:r>
      <w:r>
        <w:rPr/>
        <w:t>English</w:t>
      </w:r>
      <w:r>
        <w:rPr>
          <w:spacing w:val="31"/>
        </w:rPr>
        <w:t> </w:t>
      </w:r>
      <w:r>
        <w:rPr/>
        <w:t>is necessary. Good working knowledge of other EU languages would be an asset.</w:t>
      </w:r>
    </w:p>
    <w:p>
      <w:pPr>
        <w:pStyle w:val="BodyText"/>
        <w:spacing w:before="5"/>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Submission</w:t>
      </w:r>
      <w:r>
        <w:rPr>
          <w:b/>
          <w:spacing w:val="-7"/>
          <w:sz w:val="24"/>
          <w:u w:val="single"/>
        </w:rPr>
        <w:t> </w:t>
      </w:r>
      <w:r>
        <w:rPr>
          <w:b/>
          <w:sz w:val="24"/>
          <w:u w:val="single"/>
        </w:rPr>
        <w:t>of</w:t>
      </w:r>
      <w:r>
        <w:rPr>
          <w:b/>
          <w:spacing w:val="-6"/>
          <w:sz w:val="24"/>
          <w:u w:val="single"/>
        </w:rPr>
        <w:t> </w:t>
      </w:r>
      <w:r>
        <w:rPr>
          <w:b/>
          <w:sz w:val="24"/>
          <w:u w:val="single"/>
        </w:rPr>
        <w:t>applications</w:t>
      </w:r>
      <w:r>
        <w:rPr>
          <w:b/>
          <w:spacing w:val="-8"/>
          <w:sz w:val="24"/>
          <w:u w:val="single"/>
        </w:rPr>
        <w:t> </w:t>
      </w:r>
      <w:r>
        <w:rPr>
          <w:b/>
          <w:sz w:val="24"/>
          <w:u w:val="single"/>
        </w:rPr>
        <w:t>and</w:t>
      </w:r>
      <w:r>
        <w:rPr>
          <w:b/>
          <w:spacing w:val="-7"/>
          <w:sz w:val="24"/>
          <w:u w:val="single"/>
        </w:rPr>
        <w:t> </w:t>
      </w:r>
      <w:r>
        <w:rPr>
          <w:b/>
          <w:sz w:val="24"/>
          <w:u w:val="single"/>
        </w:rPr>
        <w:t>selection</w:t>
      </w:r>
      <w:r>
        <w:rPr>
          <w:b/>
          <w:spacing w:val="-7"/>
          <w:sz w:val="24"/>
          <w:u w:val="single"/>
        </w:rPr>
        <w:t> </w:t>
      </w:r>
      <w:r>
        <w:rPr>
          <w:b/>
          <w:spacing w:val="-2"/>
          <w:sz w:val="24"/>
          <w:u w:val="single"/>
        </w:rPr>
        <w:t>procedure</w:t>
      </w:r>
    </w:p>
    <w:p>
      <w:pPr>
        <w:pStyle w:val="BodyText"/>
        <w:spacing w:before="7"/>
        <w:rPr>
          <w:b/>
          <w:sz w:val="15"/>
        </w:rPr>
      </w:pPr>
    </w:p>
    <w:p>
      <w:pPr>
        <w:spacing w:line="240" w:lineRule="auto" w:before="91"/>
        <w:ind w:left="799" w:right="278"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w:t>
      </w:r>
      <w:r>
        <w:rPr>
          <w:b/>
          <w:spacing w:val="-1"/>
          <w:sz w:val="22"/>
          <w:u w:val="single"/>
        </w:rPr>
        <w:t> </w:t>
      </w:r>
      <w:r>
        <w:rPr>
          <w:b/>
          <w:sz w:val="22"/>
          <w:u w:val="single"/>
        </w:rPr>
        <w:t>Permanent Representation</w:t>
      </w:r>
      <w:r>
        <w:rPr>
          <w:b/>
          <w:spacing w:val="-1"/>
          <w:sz w:val="22"/>
          <w:u w:val="single"/>
        </w:rPr>
        <w:t> </w:t>
      </w:r>
      <w:r>
        <w:rPr>
          <w:b/>
          <w:sz w:val="22"/>
          <w:u w:val="single"/>
        </w:rPr>
        <w:t>/ Diplomatic</w:t>
      </w:r>
      <w:r>
        <w:rPr>
          <w:b/>
          <w:spacing w:val="-1"/>
          <w:sz w:val="22"/>
          <w:u w:val="single"/>
        </w:rPr>
        <w:t> </w:t>
      </w:r>
      <w:r>
        <w:rPr>
          <w:b/>
          <w:sz w:val="22"/>
          <w:u w:val="single"/>
        </w:rPr>
        <w:t>Mission to the EU 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spacing w:before="1"/>
        <w:rPr>
          <w:b/>
        </w:rPr>
      </w:pPr>
    </w:p>
    <w:p>
      <w:pPr>
        <w:pStyle w:val="BodyText"/>
        <w:ind w:left="799"/>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w:t>
      </w:r>
      <w:r>
        <w:rPr>
          <w:spacing w:val="40"/>
        </w:rPr>
        <w:t> </w:t>
      </w:r>
      <w:r>
        <w:rPr/>
        <w:t>certificate of professional experience, etc.). If necessary, these will be requested at a later stage.</w:t>
      </w:r>
    </w:p>
    <w:p>
      <w:pPr>
        <w:pStyle w:val="BodyText"/>
        <w:spacing w:before="1"/>
        <w:ind w:left="799"/>
      </w:pPr>
      <w:r>
        <w:rPr/>
        <w:t>Candidates</w:t>
      </w:r>
      <w:r>
        <w:rPr>
          <w:spacing w:val="-3"/>
        </w:rPr>
        <w:t> </w:t>
      </w:r>
      <w:r>
        <w:rPr/>
        <w:t>will</w:t>
      </w:r>
      <w:r>
        <w:rPr>
          <w:spacing w:val="-2"/>
        </w:rPr>
        <w:t> </w:t>
      </w:r>
      <w:r>
        <w:rPr/>
        <w:t>be</w:t>
      </w:r>
      <w:r>
        <w:rPr>
          <w:spacing w:val="-3"/>
        </w:rPr>
        <w:t> </w:t>
      </w:r>
      <w:r>
        <w:rPr/>
        <w:t>informed</w:t>
      </w:r>
      <w:r>
        <w:rPr>
          <w:spacing w:val="-3"/>
        </w:rPr>
        <w:t> </w:t>
      </w:r>
      <w:r>
        <w:rPr/>
        <w:t>of</w:t>
      </w:r>
      <w:r>
        <w:rPr>
          <w:spacing w:val="-2"/>
        </w:rPr>
        <w:t> </w:t>
      </w:r>
      <w:r>
        <w:rPr/>
        <w:t>the</w:t>
      </w:r>
      <w:r>
        <w:rPr>
          <w:spacing w:val="-3"/>
        </w:rPr>
        <w:t> </w:t>
      </w:r>
      <w:r>
        <w:rPr/>
        <w:t>follow-up</w:t>
      </w:r>
      <w:r>
        <w:rPr>
          <w:spacing w:val="-3"/>
        </w:rPr>
        <w:t> </w:t>
      </w:r>
      <w:r>
        <w:rPr/>
        <w:t>of</w:t>
      </w:r>
      <w:r>
        <w:rPr>
          <w:spacing w:val="-3"/>
        </w:rPr>
        <w:t> </w:t>
      </w:r>
      <w:r>
        <w:rPr/>
        <w:t>their</w:t>
      </w:r>
      <w:r>
        <w:rPr>
          <w:spacing w:val="-4"/>
        </w:rPr>
        <w:t> </w:t>
      </w:r>
      <w:r>
        <w:rPr/>
        <w:t>application</w:t>
      </w:r>
      <w:r>
        <w:rPr>
          <w:spacing w:val="-6"/>
        </w:rPr>
        <w:t> </w:t>
      </w:r>
      <w:r>
        <w:rPr/>
        <w:t>by</w:t>
      </w:r>
      <w:r>
        <w:rPr>
          <w:spacing w:val="-6"/>
        </w:rPr>
        <w:t> </w:t>
      </w:r>
      <w:r>
        <w:rPr/>
        <w:t>the</w:t>
      </w:r>
      <w:r>
        <w:rPr>
          <w:spacing w:val="-3"/>
        </w:rPr>
        <w:t> </w:t>
      </w:r>
      <w:r>
        <w:rPr/>
        <w:t>unit</w:t>
      </w:r>
      <w:r>
        <w:rPr>
          <w:spacing w:val="-4"/>
        </w:rPr>
        <w:t> </w:t>
      </w:r>
      <w:r>
        <w:rPr>
          <w:spacing w:val="-2"/>
        </w:rPr>
        <w:t>concerned.</w:t>
      </w:r>
    </w:p>
    <w:p>
      <w:pPr>
        <w:pStyle w:val="ListParagraph"/>
        <w:numPr>
          <w:ilvl w:val="0"/>
          <w:numId w:val="3"/>
        </w:numPr>
        <w:tabs>
          <w:tab w:pos="799" w:val="left" w:leader="none"/>
          <w:tab w:pos="800" w:val="left" w:leader="none"/>
        </w:tabs>
        <w:spacing w:line="240" w:lineRule="auto" w:before="4" w:after="0"/>
        <w:ind w:left="799" w:right="0" w:hanging="428"/>
        <w:jc w:val="left"/>
        <w:rPr>
          <w:b/>
          <w:sz w:val="24"/>
        </w:rPr>
      </w:pPr>
      <w:r>
        <w:rPr>
          <w:b/>
          <w:sz w:val="24"/>
          <w:u w:val="single"/>
        </w:rPr>
        <w:t>Conditions</w:t>
      </w:r>
      <w:r>
        <w:rPr>
          <w:b/>
          <w:spacing w:val="-6"/>
          <w:sz w:val="24"/>
          <w:u w:val="single"/>
        </w:rPr>
        <w:t> </w:t>
      </w:r>
      <w:r>
        <w:rPr>
          <w:b/>
          <w:sz w:val="24"/>
          <w:u w:val="single"/>
        </w:rPr>
        <w:t>of</w:t>
      </w:r>
      <w:r>
        <w:rPr>
          <w:b/>
          <w:spacing w:val="-4"/>
          <w:sz w:val="24"/>
          <w:u w:val="single"/>
        </w:rPr>
        <w:t> </w:t>
      </w:r>
      <w:r>
        <w:rPr>
          <w:b/>
          <w:sz w:val="24"/>
          <w:u w:val="single"/>
        </w:rPr>
        <w:t>the</w:t>
      </w:r>
      <w:r>
        <w:rPr>
          <w:b/>
          <w:spacing w:val="-5"/>
          <w:sz w:val="24"/>
          <w:u w:val="single"/>
        </w:rPr>
        <w:t> </w:t>
      </w:r>
      <w:r>
        <w:rPr>
          <w:b/>
          <w:spacing w:val="-2"/>
          <w:sz w:val="24"/>
          <w:u w:val="single"/>
        </w:rPr>
        <w:t>secondment</w:t>
      </w:r>
    </w:p>
    <w:p>
      <w:pPr>
        <w:spacing w:after="0" w:line="240" w:lineRule="auto"/>
        <w:jc w:val="left"/>
        <w:rPr>
          <w:sz w:val="24"/>
        </w:rPr>
        <w:sectPr>
          <w:pgSz w:w="11910" w:h="16840"/>
          <w:pgMar w:header="0" w:footer="690" w:top="1040" w:bottom="880" w:left="480" w:right="740"/>
        </w:sectPr>
      </w:pPr>
    </w:p>
    <w:p>
      <w:pPr>
        <w:pStyle w:val="BodyText"/>
        <w:spacing w:before="68"/>
        <w:ind w:left="799" w:right="278"/>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hyperlink>
      <w:r>
        <w:rPr/>
        <w:t>.</w:t>
      </w:r>
    </w:p>
    <w:p>
      <w:pPr>
        <w:pStyle w:val="BodyText"/>
        <w:spacing w:before="2"/>
        <w:ind w:left="799" w:right="287"/>
        <w:jc w:val="both"/>
      </w:pPr>
      <w:r>
        <w:rPr/>
        <w:t>The SNE will remain employed and remunerated by his/her employer during the secondment. He/she will equally remain covered by the national social security system.</w:t>
      </w:r>
    </w:p>
    <w:p>
      <w:pPr>
        <w:pStyle w:val="BodyText"/>
        <w:spacing w:before="1"/>
        <w:ind w:left="799" w:right="282"/>
        <w:jc w:val="both"/>
      </w:pPr>
      <w:r>
        <w:rPr/>
        <w:t>Unless for cost-free SNE, allowances may be granted by the Commission to SNE fulfilling the conditions provided for in Art. 17 of the SNE decision.</w:t>
      </w:r>
    </w:p>
    <w:p>
      <w:pPr>
        <w:pStyle w:val="BodyText"/>
        <w:spacing w:before="10"/>
        <w:rPr>
          <w:sz w:val="21"/>
        </w:rPr>
      </w:pPr>
    </w:p>
    <w:p>
      <w:pPr>
        <w:pStyle w:val="BodyText"/>
        <w:spacing w:before="1"/>
        <w:ind w:left="799" w:right="290"/>
        <w:jc w:val="both"/>
      </w:pPr>
      <w:r>
        <w:rPr/>
        <w:t>During the secondment, SNE are subject to confidentiality, loyalty and absence of conflict of interest obligations, as provided for in Art. 6 and 7 of the SNE Decision.</w:t>
      </w:r>
    </w:p>
    <w:p>
      <w:pPr>
        <w:pStyle w:val="BodyText"/>
        <w:ind w:left="799"/>
        <w:jc w:val="both"/>
      </w:pPr>
      <w:r>
        <w:rPr/>
        <w:t>If</w:t>
      </w:r>
      <w:r>
        <w:rPr>
          <w:spacing w:val="-5"/>
        </w:rPr>
        <w:t> </w:t>
      </w:r>
      <w:r>
        <w:rPr/>
        <w:t>any</w:t>
      </w:r>
      <w:r>
        <w:rPr>
          <w:spacing w:val="-5"/>
        </w:rPr>
        <w:t> </w:t>
      </w:r>
      <w:r>
        <w:rPr/>
        <w:t>document</w:t>
      </w:r>
      <w:r>
        <w:rPr>
          <w:spacing w:val="-2"/>
        </w:rPr>
        <w:t> </w:t>
      </w:r>
      <w:r>
        <w:rPr/>
        <w:t>is</w:t>
      </w:r>
      <w:r>
        <w:rPr>
          <w:spacing w:val="-5"/>
        </w:rPr>
        <w:t> </w:t>
      </w:r>
      <w:r>
        <w:rPr/>
        <w:t>inexact,</w:t>
      </w:r>
      <w:r>
        <w:rPr>
          <w:spacing w:val="-5"/>
        </w:rPr>
        <w:t> </w:t>
      </w:r>
      <w:r>
        <w:rPr/>
        <w:t>incomplete</w:t>
      </w:r>
      <w:r>
        <w:rPr>
          <w:spacing w:val="-3"/>
        </w:rPr>
        <w:t> </w:t>
      </w:r>
      <w:r>
        <w:rPr/>
        <w:t>or</w:t>
      </w:r>
      <w:r>
        <w:rPr>
          <w:spacing w:val="-4"/>
        </w:rPr>
        <w:t> </w:t>
      </w:r>
      <w:r>
        <w:rPr/>
        <w:t>missing,</w:t>
      </w:r>
      <w:r>
        <w:rPr>
          <w:spacing w:val="-3"/>
        </w:rPr>
        <w:t> </w:t>
      </w:r>
      <w:r>
        <w:rPr/>
        <w:t>the</w:t>
      </w:r>
      <w:r>
        <w:rPr>
          <w:spacing w:val="-4"/>
        </w:rPr>
        <w:t> </w:t>
      </w:r>
      <w:r>
        <w:rPr/>
        <w:t>application</w:t>
      </w:r>
      <w:r>
        <w:rPr>
          <w:spacing w:val="-3"/>
        </w:rPr>
        <w:t> </w:t>
      </w:r>
      <w:r>
        <w:rPr/>
        <w:t>may</w:t>
      </w:r>
      <w:r>
        <w:rPr>
          <w:spacing w:val="-5"/>
        </w:rPr>
        <w:t> </w:t>
      </w:r>
      <w:r>
        <w:rPr/>
        <w:t>be</w:t>
      </w:r>
      <w:r>
        <w:rPr>
          <w:spacing w:val="-2"/>
        </w:rPr>
        <w:t> cancelled.</w:t>
      </w:r>
    </w:p>
    <w:p>
      <w:pPr>
        <w:pStyle w:val="BodyText"/>
        <w:spacing w:before="9"/>
        <w:rPr>
          <w:sz w:val="21"/>
        </w:rPr>
      </w:pPr>
    </w:p>
    <w:p>
      <w:pPr>
        <w:pStyle w:val="BodyText"/>
        <w:spacing w:before="1"/>
        <w:ind w:left="799" w:right="282"/>
        <w:jc w:val="both"/>
      </w:pPr>
      <w:r>
        <w:rPr/>
        <w:t>Staff posted in a </w:t>
      </w:r>
      <w:r>
        <w:rPr>
          <w:b/>
        </w:rPr>
        <w:t>European Union Delegation </w:t>
      </w:r>
      <w:r>
        <w:rPr/>
        <w:t>are required to have a security clearance (up to SECRET UE/EU</w:t>
      </w:r>
      <w:r>
        <w:rPr>
          <w:spacing w:val="-3"/>
        </w:rPr>
        <w:t> </w:t>
      </w:r>
      <w:r>
        <w:rPr/>
        <w:t>SECRET</w:t>
      </w:r>
      <w:r>
        <w:rPr>
          <w:spacing w:val="-1"/>
        </w:rPr>
        <w:t> </w:t>
      </w:r>
      <w:r>
        <w:rPr/>
        <w:t>level</w:t>
      </w:r>
      <w:r>
        <w:rPr>
          <w:spacing w:val="-1"/>
        </w:rPr>
        <w:t> </w:t>
      </w:r>
      <w:r>
        <w:rPr/>
        <w:t>according</w:t>
      </w:r>
      <w:r>
        <w:rPr>
          <w:spacing w:val="-5"/>
        </w:rPr>
        <w:t> </w:t>
      </w:r>
      <w:r>
        <w:rPr/>
        <w:t>to</w:t>
      </w:r>
      <w:r>
        <w:rPr>
          <w:spacing w:val="-2"/>
        </w:rPr>
        <w:t> </w:t>
      </w:r>
      <w:r>
        <w:rPr/>
        <w:t>Commission</w:t>
      </w:r>
      <w:r>
        <w:rPr>
          <w:spacing w:val="-2"/>
        </w:rPr>
        <w:t> </w:t>
      </w:r>
      <w:r>
        <w:rPr/>
        <w:t>Decision</w:t>
      </w:r>
      <w:r>
        <w:rPr>
          <w:spacing w:val="-2"/>
        </w:rPr>
        <w:t> </w:t>
      </w:r>
      <w:r>
        <w:rPr/>
        <w:t>(EU,</w:t>
      </w:r>
      <w:r>
        <w:rPr>
          <w:spacing w:val="-2"/>
        </w:rPr>
        <w:t> </w:t>
      </w:r>
      <w:r>
        <w:rPr/>
        <w:t>Euratom)</w:t>
      </w:r>
      <w:r>
        <w:rPr>
          <w:spacing w:val="-2"/>
        </w:rPr>
        <w:t> </w:t>
      </w:r>
      <w:r>
        <w:rPr/>
        <w:t>2015/444</w:t>
      </w:r>
      <w:r>
        <w:rPr>
          <w:spacing w:val="-2"/>
        </w:rPr>
        <w:t> </w:t>
      </w:r>
      <w:r>
        <w:rPr/>
        <w:t>of</w:t>
      </w:r>
      <w:r>
        <w:rPr>
          <w:spacing w:val="-2"/>
        </w:rPr>
        <w:t> </w:t>
      </w:r>
      <w:r>
        <w:rPr/>
        <w:t>13</w:t>
      </w:r>
      <w:r>
        <w:rPr>
          <w:spacing w:val="-2"/>
        </w:rPr>
        <w:t> </w:t>
      </w:r>
      <w:r>
        <w:rPr/>
        <w:t>March</w:t>
      </w:r>
      <w:r>
        <w:rPr>
          <w:spacing w:val="-2"/>
        </w:rPr>
        <w:t> </w:t>
      </w:r>
      <w:r>
        <w:rPr/>
        <w:t>2015,</w:t>
      </w:r>
      <w:r>
        <w:rPr>
          <w:spacing w:val="-2"/>
        </w:rPr>
        <w:t> </w:t>
      </w:r>
      <w:r>
        <w:rPr/>
        <w:t>OJ L 72, 17.03.2015, p. 53).</w:t>
      </w:r>
    </w:p>
    <w:p>
      <w:pPr>
        <w:pStyle w:val="BodyText"/>
        <w:spacing w:before="1"/>
        <w:ind w:left="799" w:right="116"/>
        <w:jc w:val="both"/>
      </w:pPr>
      <w:r>
        <w:rPr/>
        <w:t>The selected candidate has the obligation to launch the vetting procedure before getting the secondment </w:t>
      </w:r>
      <w:r>
        <w:rPr>
          <w:spacing w:val="-2"/>
        </w:rPr>
        <w:t>confirmation.</w:t>
      </w:r>
    </w:p>
    <w:p>
      <w:pPr>
        <w:pStyle w:val="BodyText"/>
        <w:spacing w:before="4"/>
        <w:rPr>
          <w:sz w:val="24"/>
        </w:rPr>
      </w:pPr>
    </w:p>
    <w:p>
      <w:pPr>
        <w:pStyle w:val="ListParagraph"/>
        <w:numPr>
          <w:ilvl w:val="0"/>
          <w:numId w:val="3"/>
        </w:numPr>
        <w:tabs>
          <w:tab w:pos="799" w:val="left" w:leader="none"/>
          <w:tab w:pos="800" w:val="left" w:leader="none"/>
        </w:tabs>
        <w:spacing w:line="240" w:lineRule="auto" w:before="0" w:after="0"/>
        <w:ind w:left="799" w:right="0" w:hanging="428"/>
        <w:jc w:val="left"/>
        <w:rPr>
          <w:b/>
          <w:sz w:val="24"/>
        </w:rPr>
      </w:pPr>
      <w:r>
        <w:rPr>
          <w:b/>
          <w:sz w:val="24"/>
          <w:u w:val="single"/>
        </w:rPr>
        <w:t>Processing</w:t>
      </w:r>
      <w:r>
        <w:rPr>
          <w:b/>
          <w:spacing w:val="-5"/>
          <w:sz w:val="24"/>
          <w:u w:val="single"/>
        </w:rPr>
        <w:t> </w:t>
      </w:r>
      <w:r>
        <w:rPr>
          <w:b/>
          <w:sz w:val="24"/>
          <w:u w:val="single"/>
        </w:rPr>
        <w:t>of</w:t>
      </w:r>
      <w:r>
        <w:rPr>
          <w:b/>
          <w:spacing w:val="-4"/>
          <w:sz w:val="24"/>
          <w:u w:val="single"/>
        </w:rPr>
        <w:t> </w:t>
      </w:r>
      <w:r>
        <w:rPr>
          <w:b/>
          <w:sz w:val="24"/>
          <w:u w:val="single"/>
        </w:rPr>
        <w:t>personal</w:t>
      </w:r>
      <w:r>
        <w:rPr>
          <w:b/>
          <w:spacing w:val="-5"/>
          <w:sz w:val="24"/>
          <w:u w:val="single"/>
        </w:rPr>
        <w:t> </w:t>
      </w:r>
      <w:r>
        <w:rPr>
          <w:b/>
          <w:spacing w:val="-4"/>
          <w:sz w:val="24"/>
          <w:u w:val="single"/>
        </w:rPr>
        <w:t>data</w:t>
      </w:r>
    </w:p>
    <w:p>
      <w:pPr>
        <w:pStyle w:val="BodyText"/>
        <w:spacing w:before="7"/>
        <w:rPr>
          <w:b/>
          <w:sz w:val="15"/>
        </w:rPr>
      </w:pPr>
    </w:p>
    <w:p>
      <w:pPr>
        <w:pStyle w:val="BodyText"/>
        <w:spacing w:before="92"/>
        <w:ind w:left="799" w:right="285"/>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spacing w:before="1"/>
        <w:ind w:left="799" w:right="291"/>
        <w:jc w:val="both"/>
      </w:pPr>
      <w:r>
        <w:rPr/>
        <w:t>Data is kept by the competent services for 10 years after the secondment (2 years for not selected or not seconded experts).</w:t>
      </w:r>
    </w:p>
    <w:p>
      <w:pPr>
        <w:pStyle w:val="BodyText"/>
        <w:ind w:left="799" w:right="284"/>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w:t>
      </w:r>
      <w:r>
        <w:rPr>
          <w:spacing w:val="-2"/>
        </w:rPr>
        <w:t> </w:t>
      </w:r>
      <w:r>
        <w:rPr/>
        <w:t>of your personal data.</w:t>
      </w:r>
      <w:r>
        <w:rPr>
          <w:spacing w:val="-1"/>
        </w:rPr>
        <w:t> </w:t>
      </w:r>
      <w:r>
        <w:rPr/>
        <w:t>Where applicable, you also</w:t>
      </w:r>
      <w:r>
        <w:rPr>
          <w:spacing w:val="-1"/>
        </w:rPr>
        <w:t> </w:t>
      </w:r>
      <w:r>
        <w:rPr/>
        <w:t>have the</w:t>
      </w:r>
      <w:r>
        <w:rPr>
          <w:spacing w:val="-1"/>
        </w:rPr>
        <w:t> </w:t>
      </w:r>
      <w:r>
        <w:rPr/>
        <w:t>right to object to the processing</w:t>
      </w:r>
      <w:r>
        <w:rPr>
          <w:spacing w:val="-2"/>
        </w:rPr>
        <w:t> </w:t>
      </w:r>
      <w:r>
        <w:rPr/>
        <w:t>or the right to data portability.</w:t>
      </w:r>
    </w:p>
    <w:p>
      <w:pPr>
        <w:pStyle w:val="BodyText"/>
        <w:ind w:left="799" w:right="283"/>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4"/>
      </w:pPr>
    </w:p>
    <w:p>
      <w:pPr>
        <w:pStyle w:val="Heading1"/>
        <w:spacing w:before="1"/>
        <w:ind w:left="799" w:firstLine="0"/>
      </w:pPr>
      <w:r>
        <w:rPr>
          <w:u w:val="single"/>
        </w:rPr>
        <w:t>Contact</w:t>
      </w:r>
      <w:r>
        <w:rPr>
          <w:spacing w:val="-4"/>
          <w:u w:val="single"/>
        </w:rPr>
        <w:t> </w:t>
      </w:r>
      <w:r>
        <w:rPr>
          <w:spacing w:val="-2"/>
          <w:u w:val="single"/>
        </w:rPr>
        <w:t>information</w:t>
      </w:r>
    </w:p>
    <w:p>
      <w:pPr>
        <w:pStyle w:val="BodyText"/>
        <w:spacing w:before="1"/>
        <w:rPr>
          <w:b/>
        </w:rPr>
      </w:pPr>
    </w:p>
    <w:p>
      <w:pPr>
        <w:pStyle w:val="ListParagraph"/>
        <w:numPr>
          <w:ilvl w:val="0"/>
          <w:numId w:val="5"/>
        </w:numPr>
        <w:tabs>
          <w:tab w:pos="1081" w:val="left" w:leader="none"/>
        </w:tabs>
        <w:spacing w:line="240" w:lineRule="auto" w:before="0" w:after="0"/>
        <w:ind w:left="1080" w:right="0" w:hanging="282"/>
        <w:jc w:val="both"/>
        <w:rPr>
          <w:b/>
          <w:sz w:val="22"/>
        </w:rPr>
      </w:pPr>
      <w:r>
        <w:rPr>
          <w:b/>
          <w:sz w:val="22"/>
        </w:rPr>
        <w:t>The</w:t>
      </w:r>
      <w:r>
        <w:rPr>
          <w:b/>
          <w:spacing w:val="-2"/>
          <w:sz w:val="22"/>
        </w:rPr>
        <w:t> </w:t>
      </w:r>
      <w:r>
        <w:rPr>
          <w:b/>
          <w:sz w:val="22"/>
        </w:rPr>
        <w:t>Data</w:t>
      </w:r>
      <w:r>
        <w:rPr>
          <w:b/>
          <w:spacing w:val="-1"/>
          <w:sz w:val="22"/>
        </w:rPr>
        <w:t> </w:t>
      </w:r>
      <w:r>
        <w:rPr>
          <w:b/>
          <w:spacing w:val="-2"/>
          <w:sz w:val="22"/>
        </w:rPr>
        <w:t>Controller</w:t>
      </w:r>
    </w:p>
    <w:p>
      <w:pPr>
        <w:pStyle w:val="BodyText"/>
        <w:spacing w:before="33"/>
        <w:ind w:left="1080" w:right="281"/>
        <w:jc w:val="both"/>
      </w:pPr>
      <w:r>
        <w:rPr/>
        <w:t>If you would like to exercise your rights under Regulation (EU) 2018/1725, or if you have comments, questions or</w:t>
      </w:r>
      <w:r>
        <w:rPr>
          <w:spacing w:val="-1"/>
        </w:rPr>
        <w:t> </w:t>
      </w:r>
      <w:r>
        <w:rPr/>
        <w:t>concerns, or</w:t>
      </w:r>
      <w:r>
        <w:rPr>
          <w:spacing w:val="-1"/>
        </w:rPr>
        <w:t> </w:t>
      </w:r>
      <w:r>
        <w:rPr/>
        <w:t>if</w:t>
      </w:r>
      <w:r>
        <w:rPr>
          <w:spacing w:val="-3"/>
        </w:rPr>
        <w:t> </w:t>
      </w:r>
      <w:r>
        <w:rPr/>
        <w:t>you would</w:t>
      </w:r>
      <w:r>
        <w:rPr>
          <w:spacing w:val="-1"/>
        </w:rPr>
        <w:t> </w:t>
      </w:r>
      <w:r>
        <w:rPr/>
        <w:t>like</w:t>
      </w:r>
      <w:r>
        <w:rPr>
          <w:spacing w:val="-1"/>
        </w:rPr>
        <w:t> </w:t>
      </w:r>
      <w:r>
        <w:rPr/>
        <w:t>to</w:t>
      </w:r>
      <w:r>
        <w:rPr>
          <w:spacing w:val="-1"/>
        </w:rPr>
        <w:t> </w:t>
      </w:r>
      <w:r>
        <w:rPr/>
        <w:t>submit a</w:t>
      </w:r>
      <w:r>
        <w:rPr>
          <w:spacing w:val="-1"/>
        </w:rPr>
        <w:t> </w:t>
      </w:r>
      <w:r>
        <w:rPr/>
        <w:t>complaint regarding</w:t>
      </w:r>
      <w:r>
        <w:rPr>
          <w:spacing w:val="-4"/>
        </w:rPr>
        <w:t> </w:t>
      </w:r>
      <w:r>
        <w:rPr/>
        <w:t>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spacing w:before="5"/>
      </w:pPr>
    </w:p>
    <w:p>
      <w:pPr>
        <w:pStyle w:val="Heading1"/>
        <w:numPr>
          <w:ilvl w:val="0"/>
          <w:numId w:val="5"/>
        </w:numPr>
        <w:tabs>
          <w:tab w:pos="1081" w:val="left" w:leader="none"/>
        </w:tabs>
        <w:spacing w:line="240" w:lineRule="auto" w:before="0" w:after="0"/>
        <w:ind w:left="1080" w:right="0" w:hanging="284"/>
        <w:jc w:val="both"/>
      </w:pPr>
      <w:r>
        <w:rPr/>
        <w:t>The</w:t>
      </w:r>
      <w:r>
        <w:rPr>
          <w:spacing w:val="-4"/>
        </w:rPr>
        <w:t> </w:t>
      </w:r>
      <w:r>
        <w:rPr/>
        <w:t>Data</w:t>
      </w:r>
      <w:r>
        <w:rPr>
          <w:spacing w:val="-6"/>
        </w:rPr>
        <w:t> </w:t>
      </w:r>
      <w:r>
        <w:rPr/>
        <w:t>Protection</w:t>
      </w:r>
      <w:r>
        <w:rPr>
          <w:spacing w:val="-4"/>
        </w:rPr>
        <w:t> </w:t>
      </w:r>
      <w:r>
        <w:rPr/>
        <w:t>Officer</w:t>
      </w:r>
      <w:r>
        <w:rPr>
          <w:spacing w:val="-3"/>
        </w:rPr>
        <w:t> </w:t>
      </w:r>
      <w:r>
        <w:rPr/>
        <w:t>(DPO)</w:t>
      </w:r>
      <w:r>
        <w:rPr>
          <w:spacing w:val="-2"/>
        </w:rPr>
        <w:t> </w:t>
      </w:r>
      <w:r>
        <w:rPr/>
        <w:t>of</w:t>
      </w:r>
      <w:r>
        <w:rPr>
          <w:spacing w:val="-1"/>
        </w:rPr>
        <w:t> </w:t>
      </w:r>
      <w:r>
        <w:rPr/>
        <w:t>the</w:t>
      </w:r>
      <w:r>
        <w:rPr>
          <w:spacing w:val="-3"/>
        </w:rPr>
        <w:t> </w:t>
      </w:r>
      <w:r>
        <w:rPr>
          <w:spacing w:val="-2"/>
        </w:rPr>
        <w:t>Commission</w:t>
      </w:r>
    </w:p>
    <w:p>
      <w:pPr>
        <w:pStyle w:val="BodyText"/>
        <w:spacing w:before="33"/>
        <w:ind w:left="1080" w:right="280"/>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6"/>
      </w:pPr>
    </w:p>
    <w:p>
      <w:pPr>
        <w:pStyle w:val="Heading1"/>
        <w:numPr>
          <w:ilvl w:val="0"/>
          <w:numId w:val="5"/>
        </w:numPr>
        <w:tabs>
          <w:tab w:pos="1081" w:val="left" w:leader="none"/>
        </w:tabs>
        <w:spacing w:line="240" w:lineRule="auto" w:before="0" w:after="0"/>
        <w:ind w:left="1080" w:right="0" w:hanging="284"/>
        <w:jc w:val="both"/>
      </w:pPr>
      <w:r>
        <w:rPr/>
        <w:t>The</w:t>
      </w:r>
      <w:r>
        <w:rPr>
          <w:spacing w:val="-3"/>
        </w:rPr>
        <w:t> </w:t>
      </w:r>
      <w:r>
        <w:rPr/>
        <w:t>European</w:t>
      </w:r>
      <w:r>
        <w:rPr>
          <w:spacing w:val="-3"/>
        </w:rPr>
        <w:t> </w:t>
      </w:r>
      <w:r>
        <w:rPr/>
        <w:t>Data</w:t>
      </w:r>
      <w:r>
        <w:rPr>
          <w:spacing w:val="-6"/>
        </w:rPr>
        <w:t> </w:t>
      </w:r>
      <w:r>
        <w:rPr/>
        <w:t>Protection</w:t>
      </w:r>
      <w:r>
        <w:rPr>
          <w:spacing w:val="-6"/>
        </w:rPr>
        <w:t> </w:t>
      </w:r>
      <w:r>
        <w:rPr/>
        <w:t>Supervisor</w:t>
      </w:r>
      <w:r>
        <w:rPr>
          <w:spacing w:val="-2"/>
        </w:rPr>
        <w:t> (EDPS)</w:t>
      </w:r>
    </w:p>
    <w:p>
      <w:pPr>
        <w:pStyle w:val="BodyText"/>
        <w:spacing w:before="32"/>
        <w:ind w:left="1080" w:right="286"/>
        <w:jc w:val="both"/>
      </w:pPr>
      <w:r>
        <w:rPr/>
        <w:pict>
          <v:rect style="position:absolute;margin-left:230.330002pt;margin-top:25.669558pt;width:3.72pt;height:.47998pt;mso-position-horizontal-relative:page;mso-position-vertical-relative:paragraph;z-index:-15830016"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6"/>
        </w:rPr>
        <w:t> </w:t>
      </w:r>
      <w:r>
        <w:rPr/>
        <w:t>the</w:t>
      </w:r>
      <w:r>
        <w:rPr>
          <w:spacing w:val="-4"/>
        </w:rPr>
        <w:t> </w:t>
      </w:r>
      <w:r>
        <w:rPr/>
        <w:t>attention</w:t>
      </w:r>
      <w:r>
        <w:rPr>
          <w:spacing w:val="-3"/>
        </w:rPr>
        <w:t> </w:t>
      </w:r>
      <w:r>
        <w:rPr/>
        <w:t>of</w:t>
      </w:r>
      <w:r>
        <w:rPr>
          <w:spacing w:val="-4"/>
        </w:rPr>
        <w:t> </w:t>
      </w:r>
      <w:r>
        <w:rPr/>
        <w:t>candidates</w:t>
      </w:r>
      <w:r>
        <w:rPr>
          <w:spacing w:val="-2"/>
        </w:rPr>
        <w:t> </w:t>
      </w:r>
      <w:r>
        <w:rPr/>
        <w:t>from</w:t>
      </w:r>
      <w:r>
        <w:rPr>
          <w:spacing w:val="-7"/>
        </w:rPr>
        <w:t> </w:t>
      </w:r>
      <w:r>
        <w:rPr/>
        <w:t>third</w:t>
      </w:r>
      <w:r>
        <w:rPr>
          <w:spacing w:val="-5"/>
        </w:rPr>
        <w:t> </w:t>
      </w:r>
      <w:r>
        <w:rPr/>
        <w:t>countries:</w:t>
      </w:r>
      <w:r>
        <w:rPr>
          <w:spacing w:val="-1"/>
        </w:rPr>
        <w:t> </w:t>
      </w:r>
      <w:r>
        <w:rPr/>
        <w:t>your</w:t>
      </w:r>
      <w:r>
        <w:rPr>
          <w:spacing w:val="-3"/>
        </w:rPr>
        <w:t> </w:t>
      </w:r>
      <w:r>
        <w:rPr/>
        <w:t>personal</w:t>
      </w:r>
      <w:r>
        <w:rPr>
          <w:spacing w:val="-1"/>
        </w:rPr>
        <w:t> </w:t>
      </w:r>
      <w:r>
        <w:rPr/>
        <w:t>data</w:t>
      </w:r>
      <w:r>
        <w:rPr>
          <w:spacing w:val="-5"/>
        </w:rPr>
        <w:t> </w:t>
      </w:r>
      <w:r>
        <w:rPr/>
        <w:t>can</w:t>
      </w:r>
      <w:r>
        <w:rPr>
          <w:spacing w:val="-2"/>
        </w:rPr>
        <w:t> </w:t>
      </w:r>
      <w:r>
        <w:rPr/>
        <w:t>be</w:t>
      </w:r>
      <w:r>
        <w:rPr>
          <w:spacing w:val="-2"/>
        </w:rPr>
        <w:t> </w:t>
      </w:r>
      <w:r>
        <w:rPr/>
        <w:t>used</w:t>
      </w:r>
      <w:r>
        <w:rPr>
          <w:spacing w:val="-5"/>
        </w:rPr>
        <w:t> </w:t>
      </w:r>
      <w:r>
        <w:rPr/>
        <w:t>for</w:t>
      </w:r>
      <w:r>
        <w:rPr>
          <w:spacing w:val="-2"/>
        </w:rPr>
        <w:t> </w:t>
      </w:r>
      <w:r>
        <w:rPr/>
        <w:t>necessary</w:t>
      </w:r>
      <w:r>
        <w:rPr>
          <w:spacing w:val="-5"/>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Wingdings 2">
    <w:altName w:val="Wingdings 2"/>
    <w:charset w:val="2"/>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940002pt;margin-top:796.435425pt;width:56.1pt;height:10.95pt;mso-position-horizontal-relative:page;mso-position-vertical-relative:page;z-index:-15830528" type="#_x0000_t202" id="docshape1" filled="false" stroked="false">
          <v:textbox inset="0,0,0,0">
            <w:txbxContent>
              <w:p>
                <w:pPr>
                  <w:spacing w:before="14"/>
                  <w:ind w:left="20" w:right="0" w:firstLine="0"/>
                  <w:jc w:val="left"/>
                  <w:rPr>
                    <w:sz w:val="16"/>
                  </w:rPr>
                </w:pPr>
                <w:r>
                  <w:rPr>
                    <w:sz w:val="16"/>
                  </w:rPr>
                  <w:t>Version</w:t>
                </w:r>
                <w:r>
                  <w:rPr>
                    <w:spacing w:val="-9"/>
                    <w:sz w:val="16"/>
                  </w:rPr>
                  <w:t> </w:t>
                </w:r>
                <w:r>
                  <w:rPr>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80" w:hanging="281"/>
      </w:pPr>
      <w:rPr>
        <w:rFonts w:hint="default" w:ascii="Verdana" w:hAnsi="Verdana" w:eastAsia="Verdana" w:cs="Verdana"/>
        <w:b w:val="0"/>
        <w:bCs w:val="0"/>
        <w:i w:val="0"/>
        <w:iCs w:val="0"/>
        <w:w w:val="100"/>
        <w:sz w:val="22"/>
        <w:szCs w:val="22"/>
        <w:lang w:val="en-US" w:eastAsia="en-US" w:bidi="ar-SA"/>
      </w:rPr>
    </w:lvl>
    <w:lvl w:ilvl="1">
      <w:start w:val="0"/>
      <w:numFmt w:val="bullet"/>
      <w:lvlText w:val="•"/>
      <w:lvlJc w:val="left"/>
      <w:pPr>
        <w:ind w:left="2040" w:hanging="281"/>
      </w:pPr>
      <w:rPr>
        <w:rFonts w:hint="default"/>
        <w:lang w:val="en-US" w:eastAsia="en-US" w:bidi="ar-SA"/>
      </w:rPr>
    </w:lvl>
    <w:lvl w:ilvl="2">
      <w:start w:val="0"/>
      <w:numFmt w:val="bullet"/>
      <w:lvlText w:val="•"/>
      <w:lvlJc w:val="left"/>
      <w:pPr>
        <w:ind w:left="3001" w:hanging="281"/>
      </w:pPr>
      <w:rPr>
        <w:rFonts w:hint="default"/>
        <w:lang w:val="en-US" w:eastAsia="en-US" w:bidi="ar-SA"/>
      </w:rPr>
    </w:lvl>
    <w:lvl w:ilvl="3">
      <w:start w:val="0"/>
      <w:numFmt w:val="bullet"/>
      <w:lvlText w:val="•"/>
      <w:lvlJc w:val="left"/>
      <w:pPr>
        <w:ind w:left="3961" w:hanging="281"/>
      </w:pPr>
      <w:rPr>
        <w:rFonts w:hint="default"/>
        <w:lang w:val="en-US" w:eastAsia="en-US" w:bidi="ar-SA"/>
      </w:rPr>
    </w:lvl>
    <w:lvl w:ilvl="4">
      <w:start w:val="0"/>
      <w:numFmt w:val="bullet"/>
      <w:lvlText w:val="•"/>
      <w:lvlJc w:val="left"/>
      <w:pPr>
        <w:ind w:left="4922" w:hanging="281"/>
      </w:pPr>
      <w:rPr>
        <w:rFonts w:hint="default"/>
        <w:lang w:val="en-US" w:eastAsia="en-US" w:bidi="ar-SA"/>
      </w:rPr>
    </w:lvl>
    <w:lvl w:ilvl="5">
      <w:start w:val="0"/>
      <w:numFmt w:val="bullet"/>
      <w:lvlText w:val="•"/>
      <w:lvlJc w:val="left"/>
      <w:pPr>
        <w:ind w:left="5883" w:hanging="281"/>
      </w:pPr>
      <w:rPr>
        <w:rFonts w:hint="default"/>
        <w:lang w:val="en-US" w:eastAsia="en-US" w:bidi="ar-SA"/>
      </w:rPr>
    </w:lvl>
    <w:lvl w:ilvl="6">
      <w:start w:val="0"/>
      <w:numFmt w:val="bullet"/>
      <w:lvlText w:val="•"/>
      <w:lvlJc w:val="left"/>
      <w:pPr>
        <w:ind w:left="6843" w:hanging="281"/>
      </w:pPr>
      <w:rPr>
        <w:rFonts w:hint="default"/>
        <w:lang w:val="en-US" w:eastAsia="en-US" w:bidi="ar-SA"/>
      </w:rPr>
    </w:lvl>
    <w:lvl w:ilvl="7">
      <w:start w:val="0"/>
      <w:numFmt w:val="bullet"/>
      <w:lvlText w:val="•"/>
      <w:lvlJc w:val="left"/>
      <w:pPr>
        <w:ind w:left="7804" w:hanging="281"/>
      </w:pPr>
      <w:rPr>
        <w:rFonts w:hint="default"/>
        <w:lang w:val="en-US" w:eastAsia="en-US" w:bidi="ar-SA"/>
      </w:rPr>
    </w:lvl>
    <w:lvl w:ilvl="8">
      <w:start w:val="0"/>
      <w:numFmt w:val="bullet"/>
      <w:lvlText w:val="•"/>
      <w:lvlJc w:val="left"/>
      <w:pPr>
        <w:ind w:left="8765" w:hanging="281"/>
      </w:pPr>
      <w:rPr>
        <w:rFonts w:hint="default"/>
        <w:lang w:val="en-US" w:eastAsia="en-US" w:bidi="ar-SA"/>
      </w:rPr>
    </w:lvl>
  </w:abstractNum>
  <w:abstractNum w:abstractNumId="3">
    <w:multiLevelType w:val="hybridMultilevel"/>
    <w:lvl w:ilvl="0">
      <w:start w:val="0"/>
      <w:numFmt w:val="bullet"/>
      <w:lvlText w:val="-"/>
      <w:lvlJc w:val="left"/>
      <w:pPr>
        <w:ind w:left="1205" w:hanging="125"/>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2148" w:hanging="125"/>
      </w:pPr>
      <w:rPr>
        <w:rFonts w:hint="default"/>
        <w:lang w:val="en-US" w:eastAsia="en-US" w:bidi="ar-SA"/>
      </w:rPr>
    </w:lvl>
    <w:lvl w:ilvl="2">
      <w:start w:val="0"/>
      <w:numFmt w:val="bullet"/>
      <w:lvlText w:val="•"/>
      <w:lvlJc w:val="left"/>
      <w:pPr>
        <w:ind w:left="3097" w:hanging="125"/>
      </w:pPr>
      <w:rPr>
        <w:rFonts w:hint="default"/>
        <w:lang w:val="en-US" w:eastAsia="en-US" w:bidi="ar-SA"/>
      </w:rPr>
    </w:lvl>
    <w:lvl w:ilvl="3">
      <w:start w:val="0"/>
      <w:numFmt w:val="bullet"/>
      <w:lvlText w:val="•"/>
      <w:lvlJc w:val="left"/>
      <w:pPr>
        <w:ind w:left="4045" w:hanging="125"/>
      </w:pPr>
      <w:rPr>
        <w:rFonts w:hint="default"/>
        <w:lang w:val="en-US" w:eastAsia="en-US" w:bidi="ar-SA"/>
      </w:rPr>
    </w:lvl>
    <w:lvl w:ilvl="4">
      <w:start w:val="0"/>
      <w:numFmt w:val="bullet"/>
      <w:lvlText w:val="•"/>
      <w:lvlJc w:val="left"/>
      <w:pPr>
        <w:ind w:left="4994" w:hanging="125"/>
      </w:pPr>
      <w:rPr>
        <w:rFonts w:hint="default"/>
        <w:lang w:val="en-US" w:eastAsia="en-US" w:bidi="ar-SA"/>
      </w:rPr>
    </w:lvl>
    <w:lvl w:ilvl="5">
      <w:start w:val="0"/>
      <w:numFmt w:val="bullet"/>
      <w:lvlText w:val="•"/>
      <w:lvlJc w:val="left"/>
      <w:pPr>
        <w:ind w:left="5943" w:hanging="125"/>
      </w:pPr>
      <w:rPr>
        <w:rFonts w:hint="default"/>
        <w:lang w:val="en-US" w:eastAsia="en-US" w:bidi="ar-SA"/>
      </w:rPr>
    </w:lvl>
    <w:lvl w:ilvl="6">
      <w:start w:val="0"/>
      <w:numFmt w:val="bullet"/>
      <w:lvlText w:val="•"/>
      <w:lvlJc w:val="left"/>
      <w:pPr>
        <w:ind w:left="6891" w:hanging="125"/>
      </w:pPr>
      <w:rPr>
        <w:rFonts w:hint="default"/>
        <w:lang w:val="en-US" w:eastAsia="en-US" w:bidi="ar-SA"/>
      </w:rPr>
    </w:lvl>
    <w:lvl w:ilvl="7">
      <w:start w:val="0"/>
      <w:numFmt w:val="bullet"/>
      <w:lvlText w:val="•"/>
      <w:lvlJc w:val="left"/>
      <w:pPr>
        <w:ind w:left="7840" w:hanging="125"/>
      </w:pPr>
      <w:rPr>
        <w:rFonts w:hint="default"/>
        <w:lang w:val="en-US" w:eastAsia="en-US" w:bidi="ar-SA"/>
      </w:rPr>
    </w:lvl>
    <w:lvl w:ilvl="8">
      <w:start w:val="0"/>
      <w:numFmt w:val="bullet"/>
      <w:lvlText w:val="•"/>
      <w:lvlJc w:val="left"/>
      <w:pPr>
        <w:ind w:left="8789" w:hanging="125"/>
      </w:pPr>
      <w:rPr>
        <w:rFonts w:hint="default"/>
        <w:lang w:val="en-US" w:eastAsia="en-US" w:bidi="ar-SA"/>
      </w:rPr>
    </w:lvl>
  </w:abstractNum>
  <w:abstractNum w:abstractNumId="1">
    <w:multiLevelType w:val="hybridMultilevel"/>
    <w:lvl w:ilvl="0">
      <w:start w:val="0"/>
      <w:numFmt w:val="bullet"/>
      <w:lvlText w:val=""/>
      <w:lvlJc w:val="left"/>
      <w:pPr>
        <w:ind w:left="561" w:hanging="457"/>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89" w:hanging="276"/>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65" w:hanging="276"/>
      </w:pPr>
      <w:rPr>
        <w:rFonts w:hint="default"/>
        <w:lang w:val="en-US" w:eastAsia="en-US" w:bidi="ar-SA"/>
      </w:rPr>
    </w:lvl>
    <w:lvl w:ilvl="3">
      <w:start w:val="0"/>
      <w:numFmt w:val="bullet"/>
      <w:lvlText w:val="•"/>
      <w:lvlJc w:val="left"/>
      <w:pPr>
        <w:ind w:left="3050" w:hanging="276"/>
      </w:pPr>
      <w:rPr>
        <w:rFonts w:hint="default"/>
        <w:lang w:val="en-US" w:eastAsia="en-US" w:bidi="ar-SA"/>
      </w:rPr>
    </w:lvl>
    <w:lvl w:ilvl="4">
      <w:start w:val="0"/>
      <w:numFmt w:val="bullet"/>
      <w:lvlText w:val="•"/>
      <w:lvlJc w:val="left"/>
      <w:pPr>
        <w:ind w:left="4035" w:hanging="276"/>
      </w:pPr>
      <w:rPr>
        <w:rFonts w:hint="default"/>
        <w:lang w:val="en-US" w:eastAsia="en-US" w:bidi="ar-SA"/>
      </w:rPr>
    </w:lvl>
    <w:lvl w:ilvl="5">
      <w:start w:val="0"/>
      <w:numFmt w:val="bullet"/>
      <w:lvlText w:val="•"/>
      <w:lvlJc w:val="left"/>
      <w:pPr>
        <w:ind w:left="5020" w:hanging="276"/>
      </w:pPr>
      <w:rPr>
        <w:rFonts w:hint="default"/>
        <w:lang w:val="en-US" w:eastAsia="en-US" w:bidi="ar-SA"/>
      </w:rPr>
    </w:lvl>
    <w:lvl w:ilvl="6">
      <w:start w:val="0"/>
      <w:numFmt w:val="bullet"/>
      <w:lvlText w:val="•"/>
      <w:lvlJc w:val="left"/>
      <w:pPr>
        <w:ind w:left="6005" w:hanging="276"/>
      </w:pPr>
      <w:rPr>
        <w:rFonts w:hint="default"/>
        <w:lang w:val="en-US" w:eastAsia="en-US" w:bidi="ar-SA"/>
      </w:rPr>
    </w:lvl>
    <w:lvl w:ilvl="7">
      <w:start w:val="0"/>
      <w:numFmt w:val="bullet"/>
      <w:lvlText w:val="•"/>
      <w:lvlJc w:val="left"/>
      <w:pPr>
        <w:ind w:left="6990" w:hanging="276"/>
      </w:pPr>
      <w:rPr>
        <w:rFonts w:hint="default"/>
        <w:lang w:val="en-US" w:eastAsia="en-US" w:bidi="ar-SA"/>
      </w:rPr>
    </w:lvl>
    <w:lvl w:ilvl="8">
      <w:start w:val="0"/>
      <w:numFmt w:val="bullet"/>
      <w:lvlText w:val="•"/>
      <w:lvlJc w:val="left"/>
      <w:pPr>
        <w:ind w:left="7975" w:hanging="276"/>
      </w:pPr>
      <w:rPr>
        <w:rFonts w:hint="default"/>
        <w:lang w:val="en-US" w:eastAsia="en-US" w:bidi="ar-SA"/>
      </w:rPr>
    </w:lvl>
  </w:abstractNum>
  <w:abstractNum w:abstractNumId="0">
    <w:multiLevelType w:val="hybridMultilevel"/>
    <w:lvl w:ilvl="0">
      <w:start w:val="0"/>
      <w:numFmt w:val="bullet"/>
      <w:lvlText w:val=""/>
      <w:lvlJc w:val="left"/>
      <w:pPr>
        <w:ind w:left="919" w:hanging="473"/>
      </w:pPr>
      <w:rPr>
        <w:rFonts w:hint="default" w:ascii="Wingdings 2" w:hAnsi="Wingdings 2" w:eastAsia="Wingdings 2" w:cs="Wingdings 2"/>
        <w:b w:val="0"/>
        <w:bCs w:val="0"/>
        <w:i w:val="0"/>
        <w:iCs w:val="0"/>
        <w:w w:val="100"/>
        <w:sz w:val="22"/>
        <w:szCs w:val="22"/>
        <w:lang w:val="en-US" w:eastAsia="en-US" w:bidi="ar-SA"/>
      </w:rPr>
    </w:lvl>
    <w:lvl w:ilvl="1">
      <w:start w:val="0"/>
      <w:numFmt w:val="bullet"/>
      <w:lvlText w:val="•"/>
      <w:lvlJc w:val="left"/>
      <w:pPr>
        <w:ind w:left="1132" w:hanging="473"/>
      </w:pPr>
      <w:rPr>
        <w:rFonts w:hint="default"/>
        <w:lang w:val="en-US" w:eastAsia="en-US" w:bidi="ar-SA"/>
      </w:rPr>
    </w:lvl>
    <w:lvl w:ilvl="2">
      <w:start w:val="0"/>
      <w:numFmt w:val="bullet"/>
      <w:lvlText w:val="•"/>
      <w:lvlJc w:val="left"/>
      <w:pPr>
        <w:ind w:left="1345" w:hanging="473"/>
      </w:pPr>
      <w:rPr>
        <w:rFonts w:hint="default"/>
        <w:lang w:val="en-US" w:eastAsia="en-US" w:bidi="ar-SA"/>
      </w:rPr>
    </w:lvl>
    <w:lvl w:ilvl="3">
      <w:start w:val="0"/>
      <w:numFmt w:val="bullet"/>
      <w:lvlText w:val="•"/>
      <w:lvlJc w:val="left"/>
      <w:pPr>
        <w:ind w:left="1557" w:hanging="473"/>
      </w:pPr>
      <w:rPr>
        <w:rFonts w:hint="default"/>
        <w:lang w:val="en-US" w:eastAsia="en-US" w:bidi="ar-SA"/>
      </w:rPr>
    </w:lvl>
    <w:lvl w:ilvl="4">
      <w:start w:val="0"/>
      <w:numFmt w:val="bullet"/>
      <w:lvlText w:val="•"/>
      <w:lvlJc w:val="left"/>
      <w:pPr>
        <w:ind w:left="1770" w:hanging="473"/>
      </w:pPr>
      <w:rPr>
        <w:rFonts w:hint="default"/>
        <w:lang w:val="en-US" w:eastAsia="en-US" w:bidi="ar-SA"/>
      </w:rPr>
    </w:lvl>
    <w:lvl w:ilvl="5">
      <w:start w:val="0"/>
      <w:numFmt w:val="bullet"/>
      <w:lvlText w:val="•"/>
      <w:lvlJc w:val="left"/>
      <w:pPr>
        <w:ind w:left="1983" w:hanging="473"/>
      </w:pPr>
      <w:rPr>
        <w:rFonts w:hint="default"/>
        <w:lang w:val="en-US" w:eastAsia="en-US" w:bidi="ar-SA"/>
      </w:rPr>
    </w:lvl>
    <w:lvl w:ilvl="6">
      <w:start w:val="0"/>
      <w:numFmt w:val="bullet"/>
      <w:lvlText w:val="•"/>
      <w:lvlJc w:val="left"/>
      <w:pPr>
        <w:ind w:left="2195" w:hanging="473"/>
      </w:pPr>
      <w:rPr>
        <w:rFonts w:hint="default"/>
        <w:lang w:val="en-US" w:eastAsia="en-US" w:bidi="ar-SA"/>
      </w:rPr>
    </w:lvl>
    <w:lvl w:ilvl="7">
      <w:start w:val="0"/>
      <w:numFmt w:val="bullet"/>
      <w:lvlText w:val="•"/>
      <w:lvlJc w:val="left"/>
      <w:pPr>
        <w:ind w:left="2408" w:hanging="473"/>
      </w:pPr>
      <w:rPr>
        <w:rFonts w:hint="default"/>
        <w:lang w:val="en-US" w:eastAsia="en-US" w:bidi="ar-SA"/>
      </w:rPr>
    </w:lvl>
    <w:lvl w:ilvl="8">
      <w:start w:val="0"/>
      <w:numFmt w:val="bullet"/>
      <w:lvlText w:val="•"/>
      <w:lvlJc w:val="left"/>
      <w:pPr>
        <w:ind w:left="2620" w:hanging="473"/>
      </w:pPr>
      <w:rPr>
        <w:rFonts w:hint="default"/>
        <w:lang w:val="en-US" w:eastAsia="en-US" w:bidi="ar-SA"/>
      </w:rPr>
    </w:lvl>
  </w:abstractNum>
  <w:abstractNum w:abstractNumId="2">
    <w:multiLevelType w:val="hybridMultilevel"/>
    <w:lvl w:ilvl="0">
      <w:start w:val="1"/>
      <w:numFmt w:val="decimal"/>
      <w:lvlText w:val="%1."/>
      <w:lvlJc w:val="left"/>
      <w:pPr>
        <w:ind w:left="799" w:hanging="428"/>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9" w:hanging="240"/>
        <w:jc w:val="left"/>
      </w:pPr>
      <w:rPr>
        <w:rFonts w:hint="default" w:ascii="Times New Roman" w:hAnsi="Times New Roman" w:eastAsia="Times New Roman" w:cs="Times New Roman"/>
        <w:b/>
        <w:bCs/>
        <w:i w:val="0"/>
        <w:iCs w:val="0"/>
        <w:w w:val="100"/>
        <w:sz w:val="22"/>
        <w:szCs w:val="22"/>
        <w:lang w:val="en-US" w:eastAsia="en-US" w:bidi="ar-SA"/>
      </w:rPr>
    </w:lvl>
    <w:lvl w:ilvl="2">
      <w:start w:val="0"/>
      <w:numFmt w:val="bullet"/>
      <w:lvlText w:val="•"/>
      <w:lvlJc w:val="left"/>
      <w:pPr>
        <w:ind w:left="1080" w:hanging="281"/>
      </w:pPr>
      <w:rPr>
        <w:rFonts w:hint="default" w:ascii="Times New Roman" w:hAnsi="Times New Roman" w:eastAsia="Times New Roman" w:cs="Times New Roman"/>
        <w:b w:val="0"/>
        <w:bCs w:val="0"/>
        <w:i w:val="0"/>
        <w:iCs w:val="0"/>
        <w:w w:val="100"/>
        <w:sz w:val="22"/>
        <w:szCs w:val="22"/>
        <w:lang w:val="en-US" w:eastAsia="en-US" w:bidi="ar-SA"/>
      </w:rPr>
    </w:lvl>
    <w:lvl w:ilvl="3">
      <w:start w:val="0"/>
      <w:numFmt w:val="bullet"/>
      <w:lvlText w:val="•"/>
      <w:lvlJc w:val="left"/>
      <w:pPr>
        <w:ind w:left="2280" w:hanging="281"/>
      </w:pPr>
      <w:rPr>
        <w:rFonts w:hint="default"/>
        <w:lang w:val="en-US" w:eastAsia="en-US" w:bidi="ar-SA"/>
      </w:rPr>
    </w:lvl>
    <w:lvl w:ilvl="4">
      <w:start w:val="0"/>
      <w:numFmt w:val="bullet"/>
      <w:lvlText w:val="•"/>
      <w:lvlJc w:val="left"/>
      <w:pPr>
        <w:ind w:left="3481" w:hanging="281"/>
      </w:pPr>
      <w:rPr>
        <w:rFonts w:hint="default"/>
        <w:lang w:val="en-US" w:eastAsia="en-US" w:bidi="ar-SA"/>
      </w:rPr>
    </w:lvl>
    <w:lvl w:ilvl="5">
      <w:start w:val="0"/>
      <w:numFmt w:val="bullet"/>
      <w:lvlText w:val="•"/>
      <w:lvlJc w:val="left"/>
      <w:pPr>
        <w:ind w:left="4682" w:hanging="281"/>
      </w:pPr>
      <w:rPr>
        <w:rFonts w:hint="default"/>
        <w:lang w:val="en-US" w:eastAsia="en-US" w:bidi="ar-SA"/>
      </w:rPr>
    </w:lvl>
    <w:lvl w:ilvl="6">
      <w:start w:val="0"/>
      <w:numFmt w:val="bullet"/>
      <w:lvlText w:val="•"/>
      <w:lvlJc w:val="left"/>
      <w:pPr>
        <w:ind w:left="5883" w:hanging="281"/>
      </w:pPr>
      <w:rPr>
        <w:rFonts w:hint="default"/>
        <w:lang w:val="en-US" w:eastAsia="en-US" w:bidi="ar-SA"/>
      </w:rPr>
    </w:lvl>
    <w:lvl w:ilvl="7">
      <w:start w:val="0"/>
      <w:numFmt w:val="bullet"/>
      <w:lvlText w:val="•"/>
      <w:lvlJc w:val="left"/>
      <w:pPr>
        <w:ind w:left="7084" w:hanging="281"/>
      </w:pPr>
      <w:rPr>
        <w:rFonts w:hint="default"/>
        <w:lang w:val="en-US" w:eastAsia="en-US" w:bidi="ar-SA"/>
      </w:rPr>
    </w:lvl>
    <w:lvl w:ilvl="8">
      <w:start w:val="0"/>
      <w:numFmt w:val="bullet"/>
      <w:lvlText w:val="•"/>
      <w:lvlJc w:val="left"/>
      <w:pPr>
        <w:ind w:left="8284" w:hanging="281"/>
      </w:pPr>
      <w:rPr>
        <w:rFonts w:hint="default"/>
        <w:lang w:val="en-US" w:eastAsia="en-US" w:bidi="ar-SA"/>
      </w:rPr>
    </w:lvl>
  </w:abstractNum>
  <w:num w:numId="5">
    <w:abstractNumId w:val="4"/>
  </w:num>
  <w:num w:numId="4">
    <w:abstractNumId w:val="3"/>
  </w:num>
  <w:num w:numId="2">
    <w:abstractNumId w:val="1"/>
  </w:num>
  <w:num w:numId="1">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0" w:hanging="28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42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flavio.laina@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2023-03-15T15:21:43Z</dcterms:created>
  <dcterms:modified xsi:type="dcterms:W3CDTF">2023-03-15T15:21:43Z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LastSaved">
    <vt:filetime>2023-03-15T00:00:00Z</vt:filetime>
  </property>
</Properties>
</file>