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71600" cy="67627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71600" cy="676275"/>
                    </a:xfrm>
                    <a:prstGeom prst="rect">
                      <a:avLst/>
                    </a:prstGeom>
                  </pic:spPr>
                </pic:pic>
              </a:graphicData>
            </a:graphic>
          </wp:inline>
        </w:drawing>
      </w:r>
      <w:r>
        <w:rPr>
          <w:sz w:val="20"/>
        </w:rPr>
      </w:r>
    </w:p>
    <w:p>
      <w:pPr>
        <w:spacing w:before="81"/>
        <w:ind w:left="1296" w:right="1627" w:firstLine="0"/>
        <w:jc w:val="center"/>
        <w:rPr>
          <w:b/>
          <w:sz w:val="24"/>
        </w:rPr>
      </w:pPr>
      <w:r>
        <w:rPr>
          <w:b/>
          <w:spacing w:val="-2"/>
          <w:sz w:val="24"/>
        </w:rPr>
        <w:t>VACANCY</w:t>
      </w:r>
      <w:r>
        <w:rPr>
          <w:b/>
          <w:spacing w:val="-3"/>
          <w:sz w:val="24"/>
        </w:rPr>
        <w:t> </w:t>
      </w:r>
      <w:r>
        <w:rPr>
          <w:b/>
          <w:spacing w:val="-2"/>
          <w:sz w:val="24"/>
        </w:rPr>
        <w:t>NOTICE</w:t>
      </w:r>
    </w:p>
    <w:p>
      <w:pPr>
        <w:pStyle w:val="BodyText"/>
        <w:spacing w:before="11"/>
        <w:rPr>
          <w:b/>
          <w:sz w:val="23"/>
        </w:rPr>
      </w:pPr>
    </w:p>
    <w:p>
      <w:pPr>
        <w:spacing w:before="0"/>
        <w:ind w:left="1296" w:right="1632" w:firstLine="0"/>
        <w:jc w:val="center"/>
        <w:rPr>
          <w:b/>
          <w:sz w:val="24"/>
        </w:rPr>
      </w:pPr>
      <w:r>
        <w:rPr>
          <w:b/>
          <w:sz w:val="24"/>
        </w:rPr>
        <w:t>SECONDED</w:t>
      </w:r>
      <w:r>
        <w:rPr>
          <w:b/>
          <w:spacing w:val="-8"/>
          <w:sz w:val="24"/>
        </w:rPr>
        <w:t> </w:t>
      </w:r>
      <w:r>
        <w:rPr>
          <w:b/>
          <w:sz w:val="24"/>
        </w:rPr>
        <w:t>NATIONAL</w:t>
      </w:r>
      <w:r>
        <w:rPr>
          <w:b/>
          <w:spacing w:val="-7"/>
          <w:sz w:val="24"/>
        </w:rPr>
        <w:t> </w:t>
      </w:r>
      <w:r>
        <w:rPr>
          <w:b/>
          <w:sz w:val="24"/>
        </w:rPr>
        <w:t>EXPERT</w:t>
      </w:r>
      <w:r>
        <w:rPr>
          <w:b/>
          <w:spacing w:val="-7"/>
          <w:sz w:val="24"/>
        </w:rPr>
        <w:t> </w:t>
      </w:r>
      <w:r>
        <w:rPr>
          <w:b/>
          <w:sz w:val="24"/>
        </w:rPr>
        <w:t>TO</w:t>
      </w:r>
      <w:r>
        <w:rPr>
          <w:b/>
          <w:spacing w:val="-8"/>
          <w:sz w:val="24"/>
        </w:rPr>
        <w:t> </w:t>
      </w:r>
      <w:r>
        <w:rPr>
          <w:b/>
          <w:sz w:val="24"/>
        </w:rPr>
        <w:t>THE</w:t>
      </w:r>
      <w:r>
        <w:rPr>
          <w:b/>
          <w:spacing w:val="-9"/>
          <w:sz w:val="24"/>
        </w:rPr>
        <w:t> </w:t>
      </w:r>
      <w:r>
        <w:rPr>
          <w:b/>
          <w:sz w:val="24"/>
        </w:rPr>
        <w:t>EUROPEAN</w:t>
      </w:r>
      <w:r>
        <w:rPr>
          <w:b/>
          <w:spacing w:val="-8"/>
          <w:sz w:val="24"/>
        </w:rPr>
        <w:t> </w:t>
      </w:r>
      <w:r>
        <w:rPr>
          <w:b/>
          <w:spacing w:val="-2"/>
          <w:sz w:val="24"/>
        </w:rPr>
        <w:t>COMMISSION</w:t>
      </w:r>
    </w:p>
    <w:p>
      <w:pPr>
        <w:pStyle w:val="BodyText"/>
        <w:spacing w:before="1"/>
        <w:rPr>
          <w:b/>
          <w:sz w:val="24"/>
        </w:rPr>
      </w:pPr>
    </w:p>
    <w:tbl>
      <w:tblPr>
        <w:tblW w:w="0" w:type="auto"/>
        <w:jc w:val="left"/>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9"/>
        <w:gridCol w:w="5597"/>
      </w:tblGrid>
      <w:tr>
        <w:trPr>
          <w:trHeight w:val="611" w:hRule="atLeast"/>
        </w:trPr>
        <w:tc>
          <w:tcPr>
            <w:tcW w:w="4359" w:type="dxa"/>
          </w:tcPr>
          <w:p>
            <w:pPr>
              <w:pStyle w:val="TableParagraph"/>
              <w:spacing w:line="274" w:lineRule="exact" w:before="1"/>
              <w:rPr>
                <w:b/>
                <w:sz w:val="24"/>
              </w:rPr>
            </w:pPr>
            <w:r>
              <w:rPr>
                <w:b/>
                <w:sz w:val="24"/>
              </w:rPr>
              <w:t>Post</w:t>
            </w:r>
            <w:r>
              <w:rPr>
                <w:b/>
                <w:spacing w:val="-6"/>
                <w:sz w:val="24"/>
              </w:rPr>
              <w:t> </w:t>
            </w:r>
            <w:r>
              <w:rPr>
                <w:b/>
                <w:spacing w:val="-2"/>
                <w:sz w:val="24"/>
              </w:rPr>
              <w:t>identification:</w:t>
            </w:r>
          </w:p>
          <w:p>
            <w:pPr>
              <w:pStyle w:val="TableParagraph"/>
              <w:spacing w:line="274" w:lineRule="exact"/>
              <w:rPr>
                <w:sz w:val="24"/>
              </w:rPr>
            </w:pPr>
            <w:r>
              <w:rPr>
                <w:spacing w:val="-2"/>
                <w:sz w:val="24"/>
              </w:rPr>
              <w:t>(DG-DIR-</w:t>
            </w:r>
            <w:r>
              <w:rPr>
                <w:spacing w:val="-4"/>
                <w:sz w:val="24"/>
              </w:rPr>
              <w:t>UNIT)</w:t>
            </w:r>
          </w:p>
        </w:tc>
        <w:tc>
          <w:tcPr>
            <w:tcW w:w="5597" w:type="dxa"/>
          </w:tcPr>
          <w:p>
            <w:pPr>
              <w:pStyle w:val="TableParagraph"/>
              <w:spacing w:before="162"/>
              <w:rPr>
                <w:sz w:val="24"/>
              </w:rPr>
            </w:pPr>
            <w:r>
              <w:rPr>
                <w:spacing w:val="-2"/>
                <w:sz w:val="24"/>
              </w:rPr>
              <w:t>EMPL.E.1</w:t>
            </w:r>
          </w:p>
        </w:tc>
      </w:tr>
      <w:tr>
        <w:trPr>
          <w:trHeight w:val="1977" w:hRule="atLeast"/>
        </w:trPr>
        <w:tc>
          <w:tcPr>
            <w:tcW w:w="4359" w:type="dxa"/>
            <w:vMerge w:val="restart"/>
          </w:tcPr>
          <w:p>
            <w:pPr>
              <w:pStyle w:val="TableParagraph"/>
              <w:spacing w:line="251" w:lineRule="exact"/>
              <w:rPr>
                <w:b/>
                <w:sz w:val="22"/>
              </w:rPr>
            </w:pPr>
            <w:r>
              <w:rPr>
                <w:b/>
                <w:sz w:val="22"/>
              </w:rPr>
              <w:t>Head</w:t>
            </w:r>
            <w:r>
              <w:rPr>
                <w:b/>
                <w:spacing w:val="-4"/>
                <w:sz w:val="22"/>
              </w:rPr>
              <w:t> </w:t>
            </w:r>
            <w:r>
              <w:rPr>
                <w:b/>
                <w:sz w:val="22"/>
              </w:rPr>
              <w:t>of</w:t>
            </w:r>
            <w:r>
              <w:rPr>
                <w:b/>
                <w:spacing w:val="-1"/>
                <w:sz w:val="22"/>
              </w:rPr>
              <w:t> </w:t>
            </w:r>
            <w:r>
              <w:rPr>
                <w:b/>
                <w:spacing w:val="-2"/>
                <w:sz w:val="22"/>
              </w:rPr>
              <w:t>Unit:</w:t>
            </w:r>
          </w:p>
          <w:p>
            <w:pPr>
              <w:pStyle w:val="TableParagraph"/>
              <w:spacing w:before="1"/>
              <w:ind w:right="2826"/>
              <w:rPr>
                <w:b/>
                <w:sz w:val="22"/>
              </w:rPr>
            </w:pPr>
            <w:r>
              <w:rPr>
                <w:b/>
                <w:sz w:val="22"/>
              </w:rPr>
              <w:t>Email</w:t>
            </w:r>
            <w:r>
              <w:rPr>
                <w:b/>
                <w:spacing w:val="-14"/>
                <w:sz w:val="22"/>
              </w:rPr>
              <w:t> </w:t>
            </w:r>
            <w:r>
              <w:rPr>
                <w:b/>
                <w:sz w:val="22"/>
              </w:rPr>
              <w:t>address: </w:t>
            </w:r>
            <w:r>
              <w:rPr>
                <w:b/>
                <w:spacing w:val="-2"/>
                <w:sz w:val="22"/>
              </w:rPr>
              <w:t>Telephone:</w:t>
            </w:r>
          </w:p>
          <w:p>
            <w:pPr>
              <w:pStyle w:val="TableParagraph"/>
              <w:spacing w:before="1"/>
              <w:ind w:right="1278"/>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4"/>
                <w:sz w:val="22"/>
              </w:rPr>
              <w:t> </w:t>
            </w:r>
            <w:r>
              <w:rPr>
                <w:b/>
                <w:sz w:val="22"/>
              </w:rPr>
              <w:t>posts: Suggested taking up duty: Suggested</w:t>
            </w:r>
            <w:r>
              <w:rPr>
                <w:b/>
                <w:spacing w:val="-5"/>
                <w:sz w:val="22"/>
              </w:rPr>
              <w:t> </w:t>
            </w:r>
            <w:r>
              <w:rPr>
                <w:b/>
                <w:sz w:val="22"/>
              </w:rPr>
              <w:t>initial</w:t>
            </w:r>
            <w:r>
              <w:rPr>
                <w:b/>
                <w:spacing w:val="-4"/>
                <w:sz w:val="22"/>
              </w:rPr>
              <w:t> </w:t>
            </w:r>
            <w:r>
              <w:rPr>
                <w:b/>
                <w:sz w:val="22"/>
              </w:rPr>
              <w:t>duration: Place of secondment:</w:t>
            </w:r>
          </w:p>
        </w:tc>
        <w:tc>
          <w:tcPr>
            <w:tcW w:w="5597" w:type="dxa"/>
          </w:tcPr>
          <w:p>
            <w:pPr>
              <w:pStyle w:val="TableParagraph"/>
              <w:spacing w:line="270" w:lineRule="exact"/>
              <w:rPr>
                <w:sz w:val="24"/>
              </w:rPr>
            </w:pPr>
            <w:r>
              <w:rPr>
                <w:sz w:val="24"/>
              </w:rPr>
              <w:t>Gelu</w:t>
            </w:r>
            <w:r>
              <w:rPr>
                <w:spacing w:val="-5"/>
                <w:sz w:val="24"/>
              </w:rPr>
              <w:t> </w:t>
            </w:r>
            <w:r>
              <w:rPr>
                <w:spacing w:val="-2"/>
                <w:sz w:val="24"/>
              </w:rPr>
              <w:t>CALACEAN</w:t>
            </w:r>
          </w:p>
          <w:p>
            <w:pPr>
              <w:pStyle w:val="TableParagraph"/>
              <w:rPr>
                <w:sz w:val="24"/>
              </w:rPr>
            </w:pPr>
            <w:hyperlink r:id="rId7">
              <w:r>
                <w:rPr>
                  <w:color w:val="0000FF"/>
                  <w:spacing w:val="-2"/>
                  <w:sz w:val="24"/>
                  <w:u w:val="single" w:color="0000FF"/>
                </w:rPr>
                <w:t>gelu.calacean@ec.europa.eu</w:t>
              </w:r>
            </w:hyperlink>
          </w:p>
          <w:p>
            <w:pPr>
              <w:pStyle w:val="TableParagraph"/>
              <w:rPr>
                <w:sz w:val="24"/>
              </w:rPr>
            </w:pPr>
            <w:r>
              <w:rPr>
                <w:sz w:val="24"/>
              </w:rPr>
              <w:t>+32</w:t>
            </w:r>
            <w:r>
              <w:rPr>
                <w:spacing w:val="-1"/>
                <w:sz w:val="24"/>
              </w:rPr>
              <w:t> </w:t>
            </w:r>
            <w:r>
              <w:rPr>
                <w:sz w:val="24"/>
              </w:rPr>
              <w:t>2 29 </w:t>
            </w:r>
            <w:r>
              <w:rPr>
                <w:spacing w:val="-2"/>
                <w:sz w:val="24"/>
              </w:rPr>
              <w:t>69658</w:t>
            </w:r>
          </w:p>
          <w:p>
            <w:pPr>
              <w:pStyle w:val="TableParagraph"/>
              <w:rPr>
                <w:sz w:val="24"/>
              </w:rPr>
            </w:pPr>
            <w:r>
              <w:rPr>
                <w:sz w:val="24"/>
              </w:rPr>
              <w:t>1</w:t>
            </w:r>
          </w:p>
          <w:p>
            <w:pPr>
              <w:pStyle w:val="TableParagraph"/>
              <w:spacing w:before="4"/>
              <w:rPr>
                <w:b/>
                <w:sz w:val="22"/>
              </w:rPr>
            </w:pPr>
            <w:r>
              <w:rPr>
                <w:b/>
                <w:sz w:val="22"/>
              </w:rPr>
              <w:t>3rd</w:t>
            </w:r>
            <w:r>
              <w:rPr>
                <w:b/>
                <w:spacing w:val="-4"/>
                <w:sz w:val="22"/>
              </w:rPr>
              <w:t> </w:t>
            </w:r>
            <w:r>
              <w:rPr>
                <w:b/>
                <w:sz w:val="22"/>
              </w:rPr>
              <w:t>quarter </w:t>
            </w:r>
            <w:r>
              <w:rPr>
                <w:b/>
                <w:spacing w:val="-4"/>
                <w:sz w:val="22"/>
              </w:rPr>
              <w:t>2023</w:t>
            </w:r>
            <w:r>
              <w:rPr>
                <w:b/>
                <w:spacing w:val="-4"/>
                <w:sz w:val="22"/>
                <w:vertAlign w:val="superscript"/>
              </w:rPr>
              <w:t>1</w:t>
            </w:r>
          </w:p>
          <w:p>
            <w:pPr>
              <w:pStyle w:val="TableParagraph"/>
              <w:spacing w:line="252" w:lineRule="exact" w:before="1"/>
              <w:rPr>
                <w:b/>
                <w:sz w:val="22"/>
              </w:rPr>
            </w:pPr>
            <w:r>
              <w:rPr>
                <w:b/>
                <w:sz w:val="22"/>
              </w:rPr>
              <w:t>2 </w:t>
            </w:r>
            <w:r>
              <w:rPr>
                <w:b/>
                <w:spacing w:val="-2"/>
                <w:sz w:val="22"/>
              </w:rPr>
              <w:t>year(s)</w:t>
            </w:r>
            <w:r>
              <w:rPr>
                <w:b/>
                <w:spacing w:val="-2"/>
                <w:sz w:val="22"/>
                <w:vertAlign w:val="superscript"/>
              </w:rPr>
              <w:t>1</w:t>
            </w:r>
          </w:p>
          <w:p>
            <w:pPr>
              <w:pStyle w:val="TableParagraph"/>
              <w:numPr>
                <w:ilvl w:val="0"/>
                <w:numId w:val="1"/>
              </w:numPr>
              <w:tabs>
                <w:tab w:pos="327" w:val="left" w:leader="none"/>
              </w:tabs>
              <w:spacing w:line="252" w:lineRule="exact" w:before="0" w:after="0"/>
              <w:ind w:left="326" w:right="0" w:hanging="222"/>
              <w:jc w:val="left"/>
              <w:rPr>
                <w:b/>
                <w:sz w:val="22"/>
              </w:rPr>
            </w:pPr>
            <w:r>
              <w:rPr>
                <w:b/>
                <w:sz w:val="22"/>
              </w:rPr>
              <w:t>Brussels</w:t>
            </w:r>
            <w:r>
              <w:rPr>
                <w:b/>
                <w:spacing w:val="50"/>
                <w:sz w:val="22"/>
              </w:rPr>
              <w:t> </w:t>
            </w:r>
            <w:r>
              <w:rPr>
                <w:rFonts w:ascii="Wingdings 2" w:hAnsi="Wingdings 2"/>
                <w:sz w:val="22"/>
              </w:rPr>
              <w:t></w:t>
            </w:r>
            <w:r>
              <w:rPr>
                <w:spacing w:val="-2"/>
                <w:sz w:val="22"/>
              </w:rPr>
              <w:t> </w:t>
            </w:r>
            <w:r>
              <w:rPr>
                <w:b/>
                <w:sz w:val="22"/>
              </w:rPr>
              <w:t>Luxemburg</w:t>
            </w:r>
            <w:r>
              <w:rPr>
                <w:b/>
                <w:spacing w:val="50"/>
                <w:sz w:val="22"/>
              </w:rPr>
              <w:t> </w:t>
            </w:r>
            <w:r>
              <w:rPr>
                <w:rFonts w:ascii="Wingdings 2" w:hAnsi="Wingdings 2"/>
                <w:sz w:val="22"/>
              </w:rPr>
              <w:t></w:t>
            </w:r>
            <w:r>
              <w:rPr>
                <w:spacing w:val="-3"/>
                <w:sz w:val="22"/>
              </w:rPr>
              <w:t> </w:t>
            </w:r>
            <w:r>
              <w:rPr>
                <w:b/>
                <w:sz w:val="22"/>
              </w:rPr>
              <w:t>Other:</w:t>
            </w:r>
            <w:r>
              <w:rPr>
                <w:b/>
                <w:spacing w:val="-2"/>
                <w:sz w:val="22"/>
              </w:rPr>
              <w:t> ……………..</w:t>
            </w:r>
          </w:p>
        </w:tc>
      </w:tr>
      <w:tr>
        <w:trPr>
          <w:trHeight w:val="544" w:hRule="atLeast"/>
        </w:trPr>
        <w:tc>
          <w:tcPr>
            <w:tcW w:w="4359" w:type="dxa"/>
            <w:vMerge/>
            <w:tcBorders>
              <w:top w:val="nil"/>
            </w:tcBorders>
          </w:tcPr>
          <w:p>
            <w:pPr>
              <w:rPr>
                <w:sz w:val="2"/>
                <w:szCs w:val="2"/>
              </w:rPr>
            </w:pPr>
          </w:p>
        </w:tc>
        <w:tc>
          <w:tcPr>
            <w:tcW w:w="5597" w:type="dxa"/>
          </w:tcPr>
          <w:p>
            <w:pPr>
              <w:pStyle w:val="TableParagraph"/>
              <w:numPr>
                <w:ilvl w:val="0"/>
                <w:numId w:val="2"/>
              </w:numPr>
              <w:tabs>
                <w:tab w:pos="380" w:val="left" w:leader="none"/>
                <w:tab w:pos="2806" w:val="left" w:leader="none"/>
              </w:tabs>
              <w:spacing w:line="240" w:lineRule="auto" w:before="145" w:after="0"/>
              <w:ind w:left="379" w:right="0" w:hanging="275"/>
              <w:jc w:val="left"/>
              <w:rPr>
                <w:b/>
                <w:sz w:val="22"/>
              </w:rPr>
            </w:pPr>
            <w:r>
              <w:rPr>
                <w:b/>
                <w:sz w:val="22"/>
              </w:rPr>
              <w:t>With </w:t>
            </w:r>
            <w:r>
              <w:rPr>
                <w:b/>
                <w:spacing w:val="-2"/>
                <w:sz w:val="22"/>
              </w:rPr>
              <w:t>allowances</w:t>
            </w:r>
            <w:r>
              <w:rPr>
                <w:b/>
                <w:sz w:val="22"/>
              </w:rPr>
              <w:tab/>
            </w:r>
            <w:r>
              <w:rPr>
                <w:rFonts w:ascii="Wingdings 2" w:hAnsi="Wingdings 2"/>
                <w:sz w:val="24"/>
              </w:rPr>
              <w:t></w:t>
            </w:r>
            <w:r>
              <w:rPr>
                <w:spacing w:val="-6"/>
                <w:sz w:val="24"/>
              </w:rPr>
              <w:t> </w:t>
            </w:r>
            <w:r>
              <w:rPr>
                <w:b/>
                <w:sz w:val="22"/>
              </w:rPr>
              <w:t>Cost-</w:t>
            </w:r>
            <w:r>
              <w:rPr>
                <w:b/>
                <w:spacing w:val="-4"/>
                <w:sz w:val="22"/>
              </w:rPr>
              <w:t>free</w:t>
            </w:r>
          </w:p>
        </w:tc>
      </w:tr>
      <w:tr>
        <w:trPr>
          <w:trHeight w:val="2113" w:hRule="atLeast"/>
        </w:trPr>
        <w:tc>
          <w:tcPr>
            <w:tcW w:w="9956" w:type="dxa"/>
            <w:gridSpan w:val="2"/>
          </w:tcPr>
          <w:p>
            <w:pPr>
              <w:pStyle w:val="TableParagraph"/>
              <w:spacing w:before="113"/>
              <w:rPr>
                <w:b/>
                <w:sz w:val="22"/>
              </w:rPr>
            </w:pPr>
            <w:r>
              <w:rPr>
                <w:b/>
                <w:sz w:val="22"/>
              </w:rPr>
              <w:t>This</w:t>
            </w:r>
            <w:r>
              <w:rPr>
                <w:b/>
                <w:spacing w:val="-2"/>
                <w:sz w:val="22"/>
              </w:rPr>
              <w:t> </w:t>
            </w:r>
            <w:r>
              <w:rPr>
                <w:b/>
                <w:sz w:val="22"/>
              </w:rPr>
              <w:t>vacancy</w:t>
            </w:r>
            <w:r>
              <w:rPr>
                <w:b/>
                <w:spacing w:val="-2"/>
                <w:sz w:val="22"/>
              </w:rPr>
              <w:t> </w:t>
            </w:r>
            <w:r>
              <w:rPr>
                <w:b/>
                <w:sz w:val="22"/>
              </w:rPr>
              <w:t>notice</w:t>
            </w:r>
            <w:r>
              <w:rPr>
                <w:b/>
                <w:spacing w:val="-3"/>
                <w:sz w:val="22"/>
              </w:rPr>
              <w:t> </w:t>
            </w:r>
            <w:r>
              <w:rPr>
                <w:b/>
                <w:sz w:val="22"/>
              </w:rPr>
              <w:t>is</w:t>
            </w:r>
            <w:r>
              <w:rPr>
                <w:b/>
                <w:spacing w:val="-2"/>
                <w:sz w:val="22"/>
              </w:rPr>
              <w:t> </w:t>
            </w:r>
            <w:r>
              <w:rPr>
                <w:b/>
                <w:sz w:val="22"/>
              </w:rPr>
              <w:t>also</w:t>
            </w:r>
            <w:r>
              <w:rPr>
                <w:b/>
                <w:spacing w:val="-2"/>
                <w:sz w:val="22"/>
              </w:rPr>
              <w:t> </w:t>
            </w:r>
            <w:r>
              <w:rPr>
                <w:b/>
                <w:sz w:val="22"/>
              </w:rPr>
              <w:t>open</w:t>
            </w:r>
            <w:r>
              <w:rPr>
                <w:b/>
                <w:spacing w:val="-2"/>
                <w:sz w:val="22"/>
              </w:rPr>
              <w:t> </w:t>
            </w:r>
            <w:r>
              <w:rPr>
                <w:b/>
                <w:spacing w:val="-5"/>
                <w:sz w:val="22"/>
              </w:rPr>
              <w:t>to</w:t>
            </w:r>
          </w:p>
          <w:p>
            <w:pPr>
              <w:pStyle w:val="TableParagraph"/>
              <w:spacing w:before="10"/>
              <w:ind w:left="0"/>
              <w:rPr>
                <w:b/>
                <w:sz w:val="21"/>
              </w:rPr>
            </w:pPr>
          </w:p>
          <w:p>
            <w:pPr>
              <w:pStyle w:val="TableParagraph"/>
              <w:numPr>
                <w:ilvl w:val="0"/>
                <w:numId w:val="3"/>
              </w:numPr>
              <w:tabs>
                <w:tab w:pos="561" w:val="left" w:leader="none"/>
                <w:tab w:pos="562" w:val="left" w:leader="none"/>
              </w:tabs>
              <w:spacing w:line="240" w:lineRule="auto" w:before="0" w:after="0"/>
              <w:ind w:left="561" w:right="0" w:hanging="457"/>
              <w:jc w:val="left"/>
              <w:rPr>
                <w:b/>
                <w:sz w:val="24"/>
              </w:rPr>
            </w:pPr>
            <w:r>
              <w:rPr>
                <w:b/>
                <w:sz w:val="24"/>
              </w:rPr>
              <w:t>the</w:t>
            </w:r>
            <w:r>
              <w:rPr>
                <w:b/>
                <w:spacing w:val="-8"/>
                <w:sz w:val="24"/>
              </w:rPr>
              <w:t> </w:t>
            </w:r>
            <w:r>
              <w:rPr>
                <w:b/>
                <w:sz w:val="24"/>
              </w:rPr>
              <w:t>following</w:t>
            </w:r>
            <w:r>
              <w:rPr>
                <w:b/>
                <w:spacing w:val="-6"/>
                <w:sz w:val="24"/>
              </w:rPr>
              <w:t> </w:t>
            </w:r>
            <w:r>
              <w:rPr>
                <w:b/>
                <w:sz w:val="24"/>
              </w:rPr>
              <w:t>EFTA</w:t>
            </w:r>
            <w:r>
              <w:rPr>
                <w:b/>
                <w:spacing w:val="-7"/>
                <w:sz w:val="24"/>
              </w:rPr>
              <w:t> </w:t>
            </w:r>
            <w:r>
              <w:rPr>
                <w:b/>
                <w:sz w:val="24"/>
              </w:rPr>
              <w:t>countries</w:t>
            </w:r>
            <w:r>
              <w:rPr>
                <w:b/>
                <w:spacing w:val="-6"/>
                <w:sz w:val="24"/>
              </w:rPr>
              <w:t> </w:t>
            </w:r>
            <w:r>
              <w:rPr>
                <w:b/>
                <w:spacing w:val="-10"/>
                <w:sz w:val="24"/>
              </w:rPr>
              <w:t>:</w:t>
            </w:r>
          </w:p>
          <w:p>
            <w:pPr>
              <w:pStyle w:val="TableParagraph"/>
              <w:numPr>
                <w:ilvl w:val="1"/>
                <w:numId w:val="3"/>
              </w:numPr>
              <w:tabs>
                <w:tab w:pos="1090" w:val="left" w:leader="none"/>
              </w:tabs>
              <w:spacing w:line="240" w:lineRule="auto" w:before="0" w:after="0"/>
              <w:ind w:left="1089" w:right="0" w:hanging="277"/>
              <w:jc w:val="left"/>
              <w:rPr>
                <w:b/>
                <w:sz w:val="24"/>
              </w:rPr>
            </w:pPr>
            <w:r>
              <w:rPr>
                <w:b/>
                <w:sz w:val="24"/>
              </w:rPr>
              <w:t>Iceland</w:t>
            </w:r>
            <w:r>
              <w:rPr>
                <w:b/>
                <w:spacing w:val="49"/>
                <w:sz w:val="24"/>
              </w:rPr>
              <w:t> </w:t>
            </w:r>
            <w:r>
              <w:rPr>
                <w:rFonts w:ascii="Wingdings 2" w:hAnsi="Wingdings 2"/>
                <w:b/>
                <w:sz w:val="24"/>
              </w:rPr>
              <w:t></w:t>
            </w:r>
            <w:r>
              <w:rPr>
                <w:spacing w:val="-2"/>
                <w:sz w:val="24"/>
              </w:rPr>
              <w:t> </w:t>
            </w:r>
            <w:r>
              <w:rPr>
                <w:b/>
                <w:sz w:val="24"/>
              </w:rPr>
              <w:t>Liechtenstein</w:t>
            </w:r>
            <w:r>
              <w:rPr>
                <w:b/>
                <w:spacing w:val="53"/>
                <w:sz w:val="24"/>
              </w:rPr>
              <w:t> </w:t>
            </w:r>
            <w:r>
              <w:rPr>
                <w:rFonts w:ascii="Wingdings 2" w:hAnsi="Wingdings 2"/>
                <w:b/>
                <w:sz w:val="24"/>
              </w:rPr>
              <w:t></w:t>
            </w:r>
            <w:r>
              <w:rPr>
                <w:spacing w:val="-3"/>
                <w:sz w:val="24"/>
              </w:rPr>
              <w:t> </w:t>
            </w:r>
            <w:r>
              <w:rPr>
                <w:b/>
                <w:sz w:val="24"/>
              </w:rPr>
              <w:t>Norway</w:t>
            </w:r>
            <w:r>
              <w:rPr>
                <w:b/>
                <w:spacing w:val="49"/>
                <w:sz w:val="24"/>
              </w:rPr>
              <w:t> </w:t>
            </w:r>
            <w:r>
              <w:rPr>
                <w:rFonts w:ascii="Wingdings 2" w:hAnsi="Wingdings 2"/>
                <w:b/>
                <w:sz w:val="24"/>
              </w:rPr>
              <w:t></w:t>
            </w:r>
            <w:r>
              <w:rPr>
                <w:spacing w:val="-3"/>
                <w:sz w:val="24"/>
              </w:rPr>
              <w:t> </w:t>
            </w:r>
            <w:r>
              <w:rPr>
                <w:b/>
                <w:spacing w:val="-2"/>
                <w:sz w:val="24"/>
              </w:rPr>
              <w:t>Switzerland</w:t>
            </w:r>
          </w:p>
          <w:p>
            <w:pPr>
              <w:pStyle w:val="TableParagraph"/>
              <w:numPr>
                <w:ilvl w:val="1"/>
                <w:numId w:val="3"/>
              </w:numPr>
              <w:tabs>
                <w:tab w:pos="1090" w:val="left" w:leader="none"/>
              </w:tabs>
              <w:spacing w:line="240" w:lineRule="auto" w:before="0" w:after="0"/>
              <w:ind w:left="1089" w:right="0" w:hanging="277"/>
              <w:jc w:val="left"/>
              <w:rPr>
                <w:b/>
                <w:sz w:val="24"/>
              </w:rPr>
            </w:pPr>
            <w:r>
              <w:rPr>
                <w:b/>
                <w:sz w:val="24"/>
              </w:rPr>
              <w:t>EFTA-EEA</w:t>
            </w:r>
            <w:r>
              <w:rPr>
                <w:b/>
                <w:spacing w:val="-10"/>
                <w:sz w:val="24"/>
              </w:rPr>
              <w:t> </w:t>
            </w:r>
            <w:r>
              <w:rPr>
                <w:b/>
                <w:sz w:val="24"/>
              </w:rPr>
              <w:t>In-Kind</w:t>
            </w:r>
            <w:r>
              <w:rPr>
                <w:b/>
                <w:spacing w:val="-11"/>
                <w:sz w:val="24"/>
              </w:rPr>
              <w:t> </w:t>
            </w:r>
            <w:r>
              <w:rPr>
                <w:b/>
                <w:sz w:val="24"/>
              </w:rPr>
              <w:t>agreement</w:t>
            </w:r>
            <w:r>
              <w:rPr>
                <w:b/>
                <w:spacing w:val="-10"/>
                <w:sz w:val="24"/>
              </w:rPr>
              <w:t> </w:t>
            </w:r>
            <w:r>
              <w:rPr>
                <w:b/>
                <w:sz w:val="24"/>
              </w:rPr>
              <w:t>(Iceland,</w:t>
            </w:r>
            <w:r>
              <w:rPr>
                <w:b/>
                <w:spacing w:val="-10"/>
                <w:sz w:val="24"/>
              </w:rPr>
              <w:t> </w:t>
            </w:r>
            <w:r>
              <w:rPr>
                <w:b/>
                <w:sz w:val="24"/>
              </w:rPr>
              <w:t>Liechtenstein,</w:t>
            </w:r>
            <w:r>
              <w:rPr>
                <w:b/>
                <w:spacing w:val="-10"/>
                <w:sz w:val="24"/>
              </w:rPr>
              <w:t> </w:t>
            </w:r>
            <w:r>
              <w:rPr>
                <w:b/>
                <w:spacing w:val="-2"/>
                <w:sz w:val="24"/>
              </w:rPr>
              <w:t>Norway)</w:t>
            </w:r>
          </w:p>
          <w:p>
            <w:pPr>
              <w:pStyle w:val="TableParagraph"/>
              <w:numPr>
                <w:ilvl w:val="0"/>
                <w:numId w:val="3"/>
              </w:numPr>
              <w:tabs>
                <w:tab w:pos="561" w:val="left" w:leader="none"/>
                <w:tab w:pos="562" w:val="left" w:leader="none"/>
              </w:tabs>
              <w:spacing w:line="240" w:lineRule="auto" w:before="0" w:after="0"/>
              <w:ind w:left="561" w:right="0" w:hanging="457"/>
              <w:jc w:val="left"/>
              <w:rPr>
                <w:b/>
                <w:sz w:val="24"/>
              </w:rPr>
            </w:pPr>
            <w:r>
              <w:rPr>
                <w:b/>
                <w:sz w:val="24"/>
              </w:rPr>
              <w:t>the</w:t>
            </w:r>
            <w:r>
              <w:rPr>
                <w:b/>
                <w:spacing w:val="-8"/>
                <w:sz w:val="24"/>
              </w:rPr>
              <w:t> </w:t>
            </w:r>
            <w:r>
              <w:rPr>
                <w:b/>
                <w:sz w:val="24"/>
              </w:rPr>
              <w:t>following</w:t>
            </w:r>
            <w:r>
              <w:rPr>
                <w:b/>
                <w:spacing w:val="-5"/>
                <w:sz w:val="24"/>
              </w:rPr>
              <w:t> </w:t>
            </w:r>
            <w:r>
              <w:rPr>
                <w:b/>
                <w:sz w:val="24"/>
              </w:rPr>
              <w:t>third</w:t>
            </w:r>
            <w:r>
              <w:rPr>
                <w:b/>
                <w:spacing w:val="-6"/>
                <w:sz w:val="24"/>
              </w:rPr>
              <w:t> </w:t>
            </w:r>
            <w:r>
              <w:rPr>
                <w:b/>
                <w:spacing w:val="-2"/>
                <w:sz w:val="24"/>
              </w:rPr>
              <w:t>countries:</w:t>
            </w:r>
          </w:p>
          <w:p>
            <w:pPr>
              <w:pStyle w:val="TableParagraph"/>
              <w:numPr>
                <w:ilvl w:val="0"/>
                <w:numId w:val="3"/>
              </w:numPr>
              <w:tabs>
                <w:tab w:pos="561" w:val="left" w:leader="none"/>
                <w:tab w:pos="562" w:val="left" w:leader="none"/>
              </w:tabs>
              <w:spacing w:line="240" w:lineRule="auto" w:before="0" w:after="0"/>
              <w:ind w:left="561" w:right="0" w:hanging="457"/>
              <w:jc w:val="left"/>
              <w:rPr>
                <w:b/>
                <w:sz w:val="24"/>
              </w:rPr>
            </w:pPr>
            <w:r>
              <w:rPr>
                <w:b/>
                <w:sz w:val="24"/>
              </w:rPr>
              <w:t>the</w:t>
            </w:r>
            <w:r>
              <w:rPr>
                <w:b/>
                <w:spacing w:val="-13"/>
                <w:sz w:val="24"/>
              </w:rPr>
              <w:t> </w:t>
            </w:r>
            <w:r>
              <w:rPr>
                <w:b/>
                <w:sz w:val="24"/>
              </w:rPr>
              <w:t>following</w:t>
            </w:r>
            <w:r>
              <w:rPr>
                <w:b/>
                <w:spacing w:val="-13"/>
                <w:sz w:val="24"/>
              </w:rPr>
              <w:t> </w:t>
            </w:r>
            <w:r>
              <w:rPr>
                <w:b/>
                <w:sz w:val="24"/>
              </w:rPr>
              <w:t>intergovernmental</w:t>
            </w:r>
            <w:r>
              <w:rPr>
                <w:b/>
                <w:spacing w:val="-12"/>
                <w:sz w:val="24"/>
              </w:rPr>
              <w:t> </w:t>
            </w:r>
            <w:r>
              <w:rPr>
                <w:b/>
                <w:spacing w:val="-2"/>
                <w:sz w:val="24"/>
              </w:rPr>
              <w:t>organisations:</w:t>
            </w:r>
          </w:p>
        </w:tc>
      </w:tr>
    </w:tbl>
    <w:p>
      <w:pPr>
        <w:pStyle w:val="BodyText"/>
        <w:spacing w:before="1"/>
        <w:rPr>
          <w:b/>
          <w:sz w:val="24"/>
        </w:rPr>
      </w:pPr>
    </w:p>
    <w:p>
      <w:pPr>
        <w:pStyle w:val="ListParagraph"/>
        <w:numPr>
          <w:ilvl w:val="0"/>
          <w:numId w:val="4"/>
        </w:numPr>
        <w:tabs>
          <w:tab w:pos="799" w:val="left" w:leader="none"/>
          <w:tab w:pos="800" w:val="left" w:leader="none"/>
        </w:tabs>
        <w:spacing w:line="240" w:lineRule="auto" w:before="0" w:after="0"/>
        <w:ind w:left="799" w:right="0" w:hanging="428"/>
        <w:jc w:val="left"/>
        <w:rPr>
          <w:b/>
          <w:sz w:val="24"/>
        </w:rPr>
      </w:pPr>
      <w:r>
        <w:rPr>
          <w:b/>
          <w:sz w:val="24"/>
          <w:u w:val="single"/>
        </w:rPr>
        <w:t>Nature</w:t>
      </w:r>
      <w:r>
        <w:rPr>
          <w:b/>
          <w:spacing w:val="-5"/>
          <w:sz w:val="24"/>
          <w:u w:val="single"/>
        </w:rPr>
        <w:t> </w:t>
      </w:r>
      <w:r>
        <w:rPr>
          <w:b/>
          <w:sz w:val="24"/>
          <w:u w:val="single"/>
        </w:rPr>
        <w:t>of</w:t>
      </w:r>
      <w:r>
        <w:rPr>
          <w:b/>
          <w:spacing w:val="-2"/>
          <w:sz w:val="24"/>
          <w:u w:val="single"/>
        </w:rPr>
        <w:t> </w:t>
      </w:r>
      <w:r>
        <w:rPr>
          <w:b/>
          <w:sz w:val="24"/>
          <w:u w:val="single"/>
        </w:rPr>
        <w:t>the</w:t>
      </w:r>
      <w:r>
        <w:rPr>
          <w:b/>
          <w:spacing w:val="-4"/>
          <w:sz w:val="24"/>
          <w:u w:val="single"/>
        </w:rPr>
        <w:t> tasks</w:t>
      </w:r>
    </w:p>
    <w:p>
      <w:pPr>
        <w:pStyle w:val="BodyText"/>
        <w:spacing w:before="7"/>
        <w:rPr>
          <w:b/>
          <w:sz w:val="15"/>
        </w:rPr>
      </w:pPr>
    </w:p>
    <w:p>
      <w:pPr>
        <w:pStyle w:val="BodyText"/>
        <w:spacing w:before="92"/>
        <w:ind w:left="372"/>
      </w:pPr>
      <w:r>
        <w:rPr/>
        <w:t>Unit EMPL E1 ‘Labour mobility, Public Employment Services, ELA’ is seeking an experience and dynamic colleague</w:t>
      </w:r>
      <w:r>
        <w:rPr>
          <w:spacing w:val="-2"/>
        </w:rPr>
        <w:t> </w:t>
      </w:r>
      <w:r>
        <w:rPr/>
        <w:t>to</w:t>
      </w:r>
      <w:r>
        <w:rPr>
          <w:spacing w:val="-2"/>
        </w:rPr>
        <w:t> </w:t>
      </w:r>
      <w:r>
        <w:rPr/>
        <w:t>contribute</w:t>
      </w:r>
      <w:r>
        <w:rPr>
          <w:spacing w:val="-4"/>
        </w:rPr>
        <w:t> </w:t>
      </w:r>
      <w:r>
        <w:rPr/>
        <w:t>to</w:t>
      </w:r>
      <w:r>
        <w:rPr>
          <w:spacing w:val="-2"/>
        </w:rPr>
        <w:t> </w:t>
      </w:r>
      <w:r>
        <w:rPr/>
        <w:t>the</w:t>
      </w:r>
      <w:r>
        <w:rPr>
          <w:spacing w:val="-2"/>
        </w:rPr>
        <w:t> </w:t>
      </w:r>
      <w:r>
        <w:rPr/>
        <w:t>development</w:t>
      </w:r>
      <w:r>
        <w:rPr>
          <w:spacing w:val="-1"/>
        </w:rPr>
        <w:t> </w:t>
      </w:r>
      <w:r>
        <w:rPr/>
        <w:t>of</w:t>
      </w:r>
      <w:r>
        <w:rPr>
          <w:spacing w:val="-2"/>
        </w:rPr>
        <w:t> </w:t>
      </w:r>
      <w:r>
        <w:rPr/>
        <w:t>EU</w:t>
      </w:r>
      <w:r>
        <w:rPr>
          <w:spacing w:val="-4"/>
        </w:rPr>
        <w:t> </w:t>
      </w:r>
      <w:r>
        <w:rPr/>
        <w:t>level</w:t>
      </w:r>
      <w:r>
        <w:rPr>
          <w:spacing w:val="-1"/>
        </w:rPr>
        <w:t> </w:t>
      </w:r>
      <w:r>
        <w:rPr/>
        <w:t>cooperation</w:t>
      </w:r>
      <w:r>
        <w:rPr>
          <w:spacing w:val="-5"/>
        </w:rPr>
        <w:t> </w:t>
      </w:r>
      <w:r>
        <w:rPr/>
        <w:t>in</w:t>
      </w:r>
      <w:r>
        <w:rPr>
          <w:spacing w:val="-2"/>
        </w:rPr>
        <w:t> </w:t>
      </w:r>
      <w:r>
        <w:rPr/>
        <w:t>the</w:t>
      </w:r>
      <w:r>
        <w:rPr>
          <w:spacing w:val="-2"/>
        </w:rPr>
        <w:t> </w:t>
      </w:r>
      <w:r>
        <w:rPr/>
        <w:t>field</w:t>
      </w:r>
      <w:r>
        <w:rPr>
          <w:spacing w:val="-2"/>
        </w:rPr>
        <w:t> </w:t>
      </w:r>
      <w:r>
        <w:rPr/>
        <w:t>of</w:t>
      </w:r>
      <w:r>
        <w:rPr>
          <w:spacing w:val="-4"/>
        </w:rPr>
        <w:t> </w:t>
      </w:r>
      <w:r>
        <w:rPr/>
        <w:t>Public</w:t>
      </w:r>
      <w:r>
        <w:rPr>
          <w:spacing w:val="-2"/>
        </w:rPr>
        <w:t> </w:t>
      </w:r>
      <w:r>
        <w:rPr/>
        <w:t>Employment</w:t>
      </w:r>
      <w:r>
        <w:rPr>
          <w:spacing w:val="-1"/>
        </w:rPr>
        <w:t> </w:t>
      </w:r>
      <w:r>
        <w:rPr/>
        <w:t>Services.</w:t>
      </w:r>
    </w:p>
    <w:p>
      <w:pPr>
        <w:pStyle w:val="BodyText"/>
        <w:spacing w:before="11"/>
        <w:rPr>
          <w:sz w:val="21"/>
        </w:rPr>
      </w:pPr>
    </w:p>
    <w:p>
      <w:pPr>
        <w:pStyle w:val="BodyText"/>
        <w:ind w:left="372"/>
      </w:pPr>
      <w:r>
        <w:rPr/>
        <w:t>The</w:t>
      </w:r>
      <w:r>
        <w:rPr>
          <w:spacing w:val="-3"/>
        </w:rPr>
        <w:t> </w:t>
      </w:r>
      <w:r>
        <w:rPr/>
        <w:t>expert will be</w:t>
      </w:r>
      <w:r>
        <w:rPr>
          <w:spacing w:val="-1"/>
        </w:rPr>
        <w:t> </w:t>
      </w:r>
      <w:r>
        <w:rPr/>
        <w:t>part of</w:t>
      </w:r>
      <w:r>
        <w:rPr>
          <w:spacing w:val="-1"/>
        </w:rPr>
        <w:t> </w:t>
      </w:r>
      <w:r>
        <w:rPr/>
        <w:t>a</w:t>
      </w:r>
      <w:r>
        <w:rPr>
          <w:spacing w:val="-3"/>
        </w:rPr>
        <w:t> </w:t>
      </w:r>
      <w:r>
        <w:rPr/>
        <w:t>team</w:t>
      </w:r>
      <w:r>
        <w:rPr>
          <w:spacing w:val="-5"/>
        </w:rPr>
        <w:t> </w:t>
      </w:r>
      <w:r>
        <w:rPr/>
        <w:t>of</w:t>
      </w:r>
      <w:r>
        <w:rPr>
          <w:spacing w:val="-1"/>
        </w:rPr>
        <w:t> </w:t>
      </w:r>
      <w:r>
        <w:rPr/>
        <w:t>policy</w:t>
      </w:r>
      <w:r>
        <w:rPr>
          <w:spacing w:val="-4"/>
        </w:rPr>
        <w:t> </w:t>
      </w:r>
      <w:r>
        <w:rPr/>
        <w:t>officers</w:t>
      </w:r>
      <w:r>
        <w:rPr>
          <w:spacing w:val="-1"/>
        </w:rPr>
        <w:t> </w:t>
      </w:r>
      <w:r>
        <w:rPr/>
        <w:t>supporting</w:t>
      </w:r>
      <w:r>
        <w:rPr>
          <w:spacing w:val="-4"/>
        </w:rPr>
        <w:t> </w:t>
      </w:r>
      <w:r>
        <w:rPr/>
        <w:t>the</w:t>
      </w:r>
      <w:r>
        <w:rPr>
          <w:spacing w:val="-1"/>
        </w:rPr>
        <w:t> </w:t>
      </w:r>
      <w:r>
        <w:rPr/>
        <w:t>Secretariat</w:t>
      </w:r>
      <w:r>
        <w:rPr>
          <w:spacing w:val="-2"/>
        </w:rPr>
        <w:t> </w:t>
      </w:r>
      <w:r>
        <w:rPr/>
        <w:t>of</w:t>
      </w:r>
      <w:r>
        <w:rPr>
          <w:spacing w:val="-3"/>
        </w:rPr>
        <w:t> </w:t>
      </w:r>
      <w:r>
        <w:rPr/>
        <w:t>the</w:t>
      </w:r>
      <w:r>
        <w:rPr>
          <w:spacing w:val="-1"/>
        </w:rPr>
        <w:t> </w:t>
      </w:r>
      <w:r>
        <w:rPr/>
        <w:t>European</w:t>
      </w:r>
      <w:r>
        <w:rPr>
          <w:spacing w:val="-1"/>
        </w:rPr>
        <w:t> </w:t>
      </w:r>
      <w:r>
        <w:rPr/>
        <w:t>Network</w:t>
      </w:r>
      <w:r>
        <w:rPr>
          <w:spacing w:val="-4"/>
        </w:rPr>
        <w:t> </w:t>
      </w:r>
      <w:r>
        <w:rPr/>
        <w:t>of</w:t>
      </w:r>
      <w:r>
        <w:rPr>
          <w:spacing w:val="-1"/>
        </w:rPr>
        <w:t> </w:t>
      </w:r>
      <w:r>
        <w:rPr/>
        <w:t>Public Employment Services (PES Network) and its activities at European level as well as the development of the Commission’s policy and analysis in the field of public employment services.</w:t>
      </w:r>
    </w:p>
    <w:p>
      <w:pPr>
        <w:pStyle w:val="BodyText"/>
        <w:spacing w:before="1"/>
      </w:pPr>
    </w:p>
    <w:p>
      <w:pPr>
        <w:pStyle w:val="BodyText"/>
        <w:spacing w:line="252" w:lineRule="exact"/>
        <w:ind w:left="372"/>
      </w:pPr>
      <w:r>
        <w:rPr/>
        <w:t>The</w:t>
      </w:r>
      <w:r>
        <w:rPr>
          <w:spacing w:val="-4"/>
        </w:rPr>
        <w:t> </w:t>
      </w:r>
      <w:r>
        <w:rPr/>
        <w:t>work</w:t>
      </w:r>
      <w:r>
        <w:rPr>
          <w:spacing w:val="-5"/>
        </w:rPr>
        <w:t> </w:t>
      </w:r>
      <w:r>
        <w:rPr/>
        <w:t>will</w:t>
      </w:r>
      <w:r>
        <w:rPr>
          <w:spacing w:val="-1"/>
        </w:rPr>
        <w:t> </w:t>
      </w:r>
      <w:r>
        <w:rPr/>
        <w:t>entail</w:t>
      </w:r>
      <w:r>
        <w:rPr>
          <w:spacing w:val="-4"/>
        </w:rPr>
        <w:t> </w:t>
      </w:r>
      <w:r>
        <w:rPr/>
        <w:t>in</w:t>
      </w:r>
      <w:r>
        <w:rPr>
          <w:spacing w:val="-1"/>
        </w:rPr>
        <w:t> </w:t>
      </w:r>
      <w:r>
        <w:rPr>
          <w:spacing w:val="-2"/>
        </w:rPr>
        <w:t>particular:</w:t>
      </w:r>
    </w:p>
    <w:p>
      <w:pPr>
        <w:pStyle w:val="ListParagraph"/>
        <w:numPr>
          <w:ilvl w:val="0"/>
          <w:numId w:val="5"/>
        </w:numPr>
        <w:tabs>
          <w:tab w:pos="1519" w:val="left" w:leader="none"/>
          <w:tab w:pos="1520" w:val="left" w:leader="none"/>
        </w:tabs>
        <w:spacing w:line="240" w:lineRule="auto" w:before="0" w:after="0"/>
        <w:ind w:left="1519" w:right="515" w:hanging="360"/>
        <w:jc w:val="left"/>
        <w:rPr>
          <w:sz w:val="22"/>
        </w:rPr>
      </w:pPr>
      <w:r>
        <w:rPr>
          <w:sz w:val="22"/>
        </w:rPr>
        <w:t>Operational</w:t>
      </w:r>
      <w:r>
        <w:rPr>
          <w:spacing w:val="-4"/>
          <w:sz w:val="22"/>
        </w:rPr>
        <w:t> </w:t>
      </w:r>
      <w:r>
        <w:rPr>
          <w:sz w:val="22"/>
        </w:rPr>
        <w:t>support</w:t>
      </w:r>
      <w:r>
        <w:rPr>
          <w:spacing w:val="-4"/>
          <w:sz w:val="22"/>
        </w:rPr>
        <w:t> </w:t>
      </w:r>
      <w:r>
        <w:rPr>
          <w:sz w:val="22"/>
        </w:rPr>
        <w:t>to</w:t>
      </w:r>
      <w:r>
        <w:rPr>
          <w:spacing w:val="-5"/>
          <w:sz w:val="22"/>
        </w:rPr>
        <w:t> </w:t>
      </w:r>
      <w:r>
        <w:rPr>
          <w:sz w:val="22"/>
        </w:rPr>
        <w:t>the</w:t>
      </w:r>
      <w:r>
        <w:rPr>
          <w:spacing w:val="-4"/>
          <w:sz w:val="22"/>
        </w:rPr>
        <w:t> </w:t>
      </w:r>
      <w:r>
        <w:rPr>
          <w:sz w:val="22"/>
        </w:rPr>
        <w:t>functioning</w:t>
      </w:r>
      <w:r>
        <w:rPr>
          <w:spacing w:val="-5"/>
          <w:sz w:val="22"/>
        </w:rPr>
        <w:t> </w:t>
      </w:r>
      <w:r>
        <w:rPr>
          <w:sz w:val="22"/>
        </w:rPr>
        <w:t>of</w:t>
      </w:r>
      <w:r>
        <w:rPr>
          <w:spacing w:val="-2"/>
          <w:sz w:val="22"/>
        </w:rPr>
        <w:t> </w:t>
      </w:r>
      <w:r>
        <w:rPr>
          <w:sz w:val="22"/>
        </w:rPr>
        <w:t>the</w:t>
      </w:r>
      <w:r>
        <w:rPr>
          <w:spacing w:val="-2"/>
          <w:sz w:val="22"/>
        </w:rPr>
        <w:t> </w:t>
      </w:r>
      <w:r>
        <w:rPr>
          <w:sz w:val="22"/>
        </w:rPr>
        <w:t>PES</w:t>
      </w:r>
      <w:r>
        <w:rPr>
          <w:spacing w:val="-3"/>
          <w:sz w:val="22"/>
        </w:rPr>
        <w:t> </w:t>
      </w:r>
      <w:r>
        <w:rPr>
          <w:sz w:val="22"/>
        </w:rPr>
        <w:t>Network</w:t>
      </w:r>
      <w:r>
        <w:rPr>
          <w:spacing w:val="-5"/>
          <w:sz w:val="22"/>
        </w:rPr>
        <w:t> </w:t>
      </w:r>
      <w:r>
        <w:rPr>
          <w:sz w:val="22"/>
        </w:rPr>
        <w:t>and</w:t>
      </w:r>
      <w:r>
        <w:rPr>
          <w:spacing w:val="-2"/>
          <w:sz w:val="22"/>
        </w:rPr>
        <w:t> </w:t>
      </w:r>
      <w:r>
        <w:rPr>
          <w:sz w:val="22"/>
        </w:rPr>
        <w:t>implementation</w:t>
      </w:r>
      <w:r>
        <w:rPr>
          <w:spacing w:val="-2"/>
          <w:sz w:val="22"/>
        </w:rPr>
        <w:t> </w:t>
      </w:r>
      <w:r>
        <w:rPr>
          <w:sz w:val="22"/>
        </w:rPr>
        <w:t>of</w:t>
      </w:r>
      <w:r>
        <w:rPr>
          <w:spacing w:val="-2"/>
          <w:sz w:val="22"/>
        </w:rPr>
        <w:t> </w:t>
      </w:r>
      <w:r>
        <w:rPr>
          <w:sz w:val="22"/>
        </w:rPr>
        <w:t>its</w:t>
      </w:r>
      <w:r>
        <w:rPr>
          <w:spacing w:val="-2"/>
          <w:sz w:val="22"/>
        </w:rPr>
        <w:t> </w:t>
      </w:r>
      <w:r>
        <w:rPr>
          <w:sz w:val="22"/>
        </w:rPr>
        <w:t>annual</w:t>
      </w:r>
      <w:r>
        <w:rPr>
          <w:spacing w:val="-1"/>
          <w:sz w:val="22"/>
        </w:rPr>
        <w:t> </w:t>
      </w:r>
      <w:r>
        <w:rPr>
          <w:sz w:val="22"/>
        </w:rPr>
        <w:t>work </w:t>
      </w:r>
      <w:r>
        <w:rPr>
          <w:spacing w:val="-2"/>
          <w:sz w:val="22"/>
        </w:rPr>
        <w:t>programme;</w:t>
      </w:r>
    </w:p>
    <w:p>
      <w:pPr>
        <w:pStyle w:val="ListParagraph"/>
        <w:numPr>
          <w:ilvl w:val="0"/>
          <w:numId w:val="5"/>
        </w:numPr>
        <w:tabs>
          <w:tab w:pos="1519" w:val="left" w:leader="none"/>
          <w:tab w:pos="1520" w:val="left" w:leader="none"/>
        </w:tabs>
        <w:spacing w:line="240" w:lineRule="auto" w:before="0" w:after="0"/>
        <w:ind w:left="1519" w:right="626" w:hanging="360"/>
        <w:jc w:val="left"/>
        <w:rPr>
          <w:sz w:val="22"/>
        </w:rPr>
      </w:pPr>
      <w:r>
        <w:rPr>
          <w:sz w:val="22"/>
        </w:rPr>
        <w:t>Support</w:t>
      </w:r>
      <w:r>
        <w:rPr>
          <w:spacing w:val="-1"/>
          <w:sz w:val="22"/>
        </w:rPr>
        <w:t> </w:t>
      </w:r>
      <w:r>
        <w:rPr>
          <w:sz w:val="22"/>
        </w:rPr>
        <w:t>to</w:t>
      </w:r>
      <w:r>
        <w:rPr>
          <w:spacing w:val="-5"/>
          <w:sz w:val="22"/>
        </w:rPr>
        <w:t> </w:t>
      </w:r>
      <w:r>
        <w:rPr>
          <w:sz w:val="22"/>
        </w:rPr>
        <w:t>the</w:t>
      </w:r>
      <w:r>
        <w:rPr>
          <w:spacing w:val="-2"/>
          <w:sz w:val="22"/>
        </w:rPr>
        <w:t> </w:t>
      </w:r>
      <w:r>
        <w:rPr>
          <w:sz w:val="22"/>
        </w:rPr>
        <w:t>preparation</w:t>
      </w:r>
      <w:r>
        <w:rPr>
          <w:spacing w:val="-5"/>
          <w:sz w:val="22"/>
        </w:rPr>
        <w:t> </w:t>
      </w:r>
      <w:r>
        <w:rPr>
          <w:sz w:val="22"/>
        </w:rPr>
        <w:t>of</w:t>
      </w:r>
      <w:r>
        <w:rPr>
          <w:spacing w:val="-2"/>
          <w:sz w:val="22"/>
        </w:rPr>
        <w:t> </w:t>
      </w:r>
      <w:r>
        <w:rPr>
          <w:sz w:val="22"/>
        </w:rPr>
        <w:t>PES</w:t>
      </w:r>
      <w:r>
        <w:rPr>
          <w:spacing w:val="-2"/>
          <w:sz w:val="22"/>
        </w:rPr>
        <w:t> </w:t>
      </w:r>
      <w:r>
        <w:rPr>
          <w:sz w:val="22"/>
        </w:rPr>
        <w:t>Network</w:t>
      </w:r>
      <w:r>
        <w:rPr>
          <w:spacing w:val="-5"/>
          <w:sz w:val="22"/>
        </w:rPr>
        <w:t> </w:t>
      </w:r>
      <w:r>
        <w:rPr>
          <w:sz w:val="22"/>
        </w:rPr>
        <w:t>Board</w:t>
      </w:r>
      <w:r>
        <w:rPr>
          <w:spacing w:val="-2"/>
          <w:sz w:val="22"/>
        </w:rPr>
        <w:t> </w:t>
      </w:r>
      <w:r>
        <w:rPr>
          <w:sz w:val="22"/>
        </w:rPr>
        <w:t>meetings</w:t>
      </w:r>
      <w:r>
        <w:rPr>
          <w:spacing w:val="-2"/>
          <w:sz w:val="22"/>
        </w:rPr>
        <w:t> </w:t>
      </w:r>
      <w:r>
        <w:rPr>
          <w:sz w:val="22"/>
        </w:rPr>
        <w:t>and</w:t>
      </w:r>
      <w:r>
        <w:rPr>
          <w:spacing w:val="-5"/>
          <w:sz w:val="22"/>
        </w:rPr>
        <w:t> </w:t>
      </w:r>
      <w:r>
        <w:rPr>
          <w:sz w:val="22"/>
        </w:rPr>
        <w:t>other</w:t>
      </w:r>
      <w:r>
        <w:rPr>
          <w:spacing w:val="-4"/>
          <w:sz w:val="22"/>
        </w:rPr>
        <w:t> </w:t>
      </w:r>
      <w:r>
        <w:rPr>
          <w:sz w:val="22"/>
        </w:rPr>
        <w:t>expert</w:t>
      </w:r>
      <w:r>
        <w:rPr>
          <w:spacing w:val="-1"/>
          <w:sz w:val="22"/>
        </w:rPr>
        <w:t> </w:t>
      </w:r>
      <w:r>
        <w:rPr>
          <w:sz w:val="22"/>
        </w:rPr>
        <w:t>meetings,</w:t>
      </w:r>
      <w:r>
        <w:rPr>
          <w:spacing w:val="-2"/>
          <w:sz w:val="22"/>
        </w:rPr>
        <w:t> </w:t>
      </w:r>
      <w:r>
        <w:rPr>
          <w:sz w:val="22"/>
        </w:rPr>
        <w:t>as</w:t>
      </w:r>
      <w:r>
        <w:rPr>
          <w:spacing w:val="-2"/>
          <w:sz w:val="22"/>
        </w:rPr>
        <w:t> </w:t>
      </w:r>
      <w:r>
        <w:rPr>
          <w:sz w:val="22"/>
        </w:rPr>
        <w:t>well</w:t>
      </w:r>
      <w:r>
        <w:rPr>
          <w:spacing w:val="-1"/>
          <w:sz w:val="22"/>
        </w:rPr>
        <w:t> </w:t>
      </w:r>
      <w:r>
        <w:rPr>
          <w:sz w:val="22"/>
        </w:rPr>
        <w:t>as specific activities (such as meetings, working groups, seminars, conferences, mutual assistance projects, studies and reports, annual reporting and other specific projects)</w:t>
      </w:r>
    </w:p>
    <w:p>
      <w:pPr>
        <w:pStyle w:val="ListParagraph"/>
        <w:numPr>
          <w:ilvl w:val="0"/>
          <w:numId w:val="5"/>
        </w:numPr>
        <w:tabs>
          <w:tab w:pos="1519" w:val="left" w:leader="none"/>
          <w:tab w:pos="1520" w:val="left" w:leader="none"/>
        </w:tabs>
        <w:spacing w:line="240" w:lineRule="auto" w:before="0" w:after="0"/>
        <w:ind w:left="1519" w:right="398" w:hanging="360"/>
        <w:jc w:val="left"/>
        <w:rPr>
          <w:sz w:val="22"/>
        </w:rPr>
      </w:pPr>
      <w:r>
        <w:rPr>
          <w:sz w:val="22"/>
        </w:rPr>
        <w:t>Analysis</w:t>
      </w:r>
      <w:r>
        <w:rPr>
          <w:spacing w:val="-3"/>
          <w:sz w:val="22"/>
        </w:rPr>
        <w:t> </w:t>
      </w:r>
      <w:r>
        <w:rPr>
          <w:sz w:val="22"/>
        </w:rPr>
        <w:t>of</w:t>
      </w:r>
      <w:r>
        <w:rPr>
          <w:spacing w:val="-3"/>
          <w:sz w:val="22"/>
        </w:rPr>
        <w:t> </w:t>
      </w:r>
      <w:r>
        <w:rPr>
          <w:sz w:val="22"/>
        </w:rPr>
        <w:t>policy</w:t>
      </w:r>
      <w:r>
        <w:rPr>
          <w:spacing w:val="-5"/>
          <w:sz w:val="22"/>
        </w:rPr>
        <w:t> </w:t>
      </w:r>
      <w:r>
        <w:rPr>
          <w:sz w:val="22"/>
        </w:rPr>
        <w:t>and</w:t>
      </w:r>
      <w:r>
        <w:rPr>
          <w:spacing w:val="-3"/>
          <w:sz w:val="22"/>
        </w:rPr>
        <w:t> </w:t>
      </w:r>
      <w:r>
        <w:rPr>
          <w:sz w:val="22"/>
        </w:rPr>
        <w:t>actions</w:t>
      </w:r>
      <w:r>
        <w:rPr>
          <w:spacing w:val="-3"/>
          <w:sz w:val="22"/>
        </w:rPr>
        <w:t> </w:t>
      </w:r>
      <w:r>
        <w:rPr>
          <w:sz w:val="22"/>
        </w:rPr>
        <w:t>developed</w:t>
      </w:r>
      <w:r>
        <w:rPr>
          <w:spacing w:val="-3"/>
          <w:sz w:val="22"/>
        </w:rPr>
        <w:t> </w:t>
      </w:r>
      <w:r>
        <w:rPr>
          <w:sz w:val="22"/>
        </w:rPr>
        <w:t>by</w:t>
      </w:r>
      <w:r>
        <w:rPr>
          <w:spacing w:val="-5"/>
          <w:sz w:val="22"/>
        </w:rPr>
        <w:t> </w:t>
      </w:r>
      <w:r>
        <w:rPr>
          <w:sz w:val="22"/>
        </w:rPr>
        <w:t>Public</w:t>
      </w:r>
      <w:r>
        <w:rPr>
          <w:spacing w:val="-3"/>
          <w:sz w:val="22"/>
        </w:rPr>
        <w:t> </w:t>
      </w:r>
      <w:r>
        <w:rPr>
          <w:sz w:val="22"/>
        </w:rPr>
        <w:t>Employment</w:t>
      </w:r>
      <w:r>
        <w:rPr>
          <w:spacing w:val="-2"/>
          <w:sz w:val="22"/>
        </w:rPr>
        <w:t> </w:t>
      </w:r>
      <w:r>
        <w:rPr>
          <w:sz w:val="22"/>
        </w:rPr>
        <w:t>Services</w:t>
      </w:r>
      <w:r>
        <w:rPr>
          <w:spacing w:val="-3"/>
          <w:sz w:val="22"/>
        </w:rPr>
        <w:t> </w:t>
      </w:r>
      <w:r>
        <w:rPr>
          <w:sz w:val="22"/>
        </w:rPr>
        <w:t>of</w:t>
      </w:r>
      <w:r>
        <w:rPr>
          <w:spacing w:val="-3"/>
          <w:sz w:val="22"/>
        </w:rPr>
        <w:t> </w:t>
      </w:r>
      <w:r>
        <w:rPr>
          <w:sz w:val="22"/>
        </w:rPr>
        <w:t>the</w:t>
      </w:r>
      <w:r>
        <w:rPr>
          <w:spacing w:val="-5"/>
          <w:sz w:val="22"/>
        </w:rPr>
        <w:t> </w:t>
      </w:r>
      <w:r>
        <w:rPr>
          <w:sz w:val="22"/>
        </w:rPr>
        <w:t>EU/EEA</w:t>
      </w:r>
      <w:r>
        <w:rPr>
          <w:spacing w:val="-4"/>
          <w:sz w:val="22"/>
        </w:rPr>
        <w:t> </w:t>
      </w:r>
      <w:r>
        <w:rPr>
          <w:sz w:val="22"/>
        </w:rPr>
        <w:t>countries aiming at improving the functioning of the labour markets.</w:t>
      </w:r>
    </w:p>
    <w:p>
      <w:pPr>
        <w:pStyle w:val="ListParagraph"/>
        <w:numPr>
          <w:ilvl w:val="0"/>
          <w:numId w:val="5"/>
        </w:numPr>
        <w:tabs>
          <w:tab w:pos="1519" w:val="left" w:leader="none"/>
          <w:tab w:pos="1520" w:val="left" w:leader="none"/>
        </w:tabs>
        <w:spacing w:line="240" w:lineRule="auto" w:before="0" w:after="0"/>
        <w:ind w:left="1519" w:right="987" w:hanging="360"/>
        <w:jc w:val="left"/>
        <w:rPr>
          <w:sz w:val="22"/>
        </w:rPr>
      </w:pPr>
      <w:r>
        <w:rPr>
          <w:sz w:val="22"/>
        </w:rPr>
        <w:t>Follow</w:t>
      </w:r>
      <w:r>
        <w:rPr>
          <w:spacing w:val="-6"/>
          <w:sz w:val="22"/>
        </w:rPr>
        <w:t> </w:t>
      </w:r>
      <w:r>
        <w:rPr>
          <w:sz w:val="22"/>
        </w:rPr>
        <w:t>relevant</w:t>
      </w:r>
      <w:r>
        <w:rPr>
          <w:spacing w:val="-2"/>
          <w:sz w:val="22"/>
        </w:rPr>
        <w:t> </w:t>
      </w:r>
      <w:r>
        <w:rPr>
          <w:sz w:val="22"/>
        </w:rPr>
        <w:t>policy</w:t>
      </w:r>
      <w:r>
        <w:rPr>
          <w:spacing w:val="-4"/>
          <w:sz w:val="22"/>
        </w:rPr>
        <w:t> </w:t>
      </w:r>
      <w:r>
        <w:rPr>
          <w:sz w:val="22"/>
        </w:rPr>
        <w:t>research,</w:t>
      </w:r>
      <w:r>
        <w:rPr>
          <w:spacing w:val="-4"/>
          <w:sz w:val="22"/>
        </w:rPr>
        <w:t> </w:t>
      </w:r>
      <w:r>
        <w:rPr>
          <w:sz w:val="22"/>
        </w:rPr>
        <w:t>studies</w:t>
      </w:r>
      <w:r>
        <w:rPr>
          <w:spacing w:val="-2"/>
          <w:sz w:val="22"/>
        </w:rPr>
        <w:t> </w:t>
      </w:r>
      <w:r>
        <w:rPr>
          <w:sz w:val="22"/>
        </w:rPr>
        <w:t>and</w:t>
      </w:r>
      <w:r>
        <w:rPr>
          <w:spacing w:val="-5"/>
          <w:sz w:val="22"/>
        </w:rPr>
        <w:t> </w:t>
      </w:r>
      <w:r>
        <w:rPr>
          <w:sz w:val="22"/>
        </w:rPr>
        <w:t>other</w:t>
      </w:r>
      <w:r>
        <w:rPr>
          <w:spacing w:val="-4"/>
          <w:sz w:val="22"/>
        </w:rPr>
        <w:t> </w:t>
      </w:r>
      <w:r>
        <w:rPr>
          <w:sz w:val="22"/>
        </w:rPr>
        <w:t>evaluation</w:t>
      </w:r>
      <w:r>
        <w:rPr>
          <w:spacing w:val="-2"/>
          <w:sz w:val="22"/>
        </w:rPr>
        <w:t> </w:t>
      </w:r>
      <w:r>
        <w:rPr>
          <w:sz w:val="22"/>
        </w:rPr>
        <w:t>activities</w:t>
      </w:r>
      <w:r>
        <w:rPr>
          <w:spacing w:val="-4"/>
          <w:sz w:val="22"/>
        </w:rPr>
        <w:t> </w:t>
      </w:r>
      <w:r>
        <w:rPr>
          <w:sz w:val="22"/>
        </w:rPr>
        <w:t>in</w:t>
      </w:r>
      <w:r>
        <w:rPr>
          <w:spacing w:val="-2"/>
          <w:sz w:val="22"/>
        </w:rPr>
        <w:t> </w:t>
      </w:r>
      <w:r>
        <w:rPr>
          <w:sz w:val="22"/>
        </w:rPr>
        <w:t>Member</w:t>
      </w:r>
      <w:r>
        <w:rPr>
          <w:spacing w:val="-2"/>
          <w:sz w:val="22"/>
        </w:rPr>
        <w:t> </w:t>
      </w:r>
      <w:r>
        <w:rPr>
          <w:sz w:val="22"/>
        </w:rPr>
        <w:t>States</w:t>
      </w:r>
      <w:r>
        <w:rPr>
          <w:spacing w:val="-2"/>
          <w:sz w:val="22"/>
        </w:rPr>
        <w:t> </w:t>
      </w:r>
      <w:r>
        <w:rPr>
          <w:sz w:val="22"/>
        </w:rPr>
        <w:t>and international organisations.</w:t>
      </w:r>
    </w:p>
    <w:p>
      <w:pPr>
        <w:pStyle w:val="ListParagraph"/>
        <w:numPr>
          <w:ilvl w:val="0"/>
          <w:numId w:val="5"/>
        </w:numPr>
        <w:tabs>
          <w:tab w:pos="1519" w:val="left" w:leader="none"/>
          <w:tab w:pos="1520" w:val="left" w:leader="none"/>
        </w:tabs>
        <w:spacing w:line="240" w:lineRule="auto" w:before="1" w:after="0"/>
        <w:ind w:left="1519" w:right="466" w:hanging="360"/>
        <w:jc w:val="left"/>
        <w:rPr>
          <w:sz w:val="22"/>
        </w:rPr>
      </w:pPr>
      <w:r>
        <w:rPr>
          <w:sz w:val="22"/>
        </w:rPr>
        <w:t>Contribution</w:t>
      </w:r>
      <w:r>
        <w:rPr>
          <w:spacing w:val="-4"/>
          <w:sz w:val="22"/>
        </w:rPr>
        <w:t> </w:t>
      </w:r>
      <w:r>
        <w:rPr>
          <w:sz w:val="22"/>
        </w:rPr>
        <w:t>to</w:t>
      </w:r>
      <w:r>
        <w:rPr>
          <w:spacing w:val="-4"/>
          <w:sz w:val="22"/>
        </w:rPr>
        <w:t> </w:t>
      </w:r>
      <w:r>
        <w:rPr>
          <w:sz w:val="22"/>
        </w:rPr>
        <w:t>the</w:t>
      </w:r>
      <w:r>
        <w:rPr>
          <w:spacing w:val="-3"/>
          <w:sz w:val="22"/>
        </w:rPr>
        <w:t> </w:t>
      </w:r>
      <w:r>
        <w:rPr>
          <w:sz w:val="22"/>
        </w:rPr>
        <w:t>further</w:t>
      </w:r>
      <w:r>
        <w:rPr>
          <w:spacing w:val="-3"/>
          <w:sz w:val="22"/>
        </w:rPr>
        <w:t> </w:t>
      </w:r>
      <w:r>
        <w:rPr>
          <w:sz w:val="22"/>
        </w:rPr>
        <w:t>development of</w:t>
      </w:r>
      <w:r>
        <w:rPr>
          <w:spacing w:val="-3"/>
          <w:sz w:val="22"/>
        </w:rPr>
        <w:t> </w:t>
      </w:r>
      <w:r>
        <w:rPr>
          <w:sz w:val="22"/>
        </w:rPr>
        <w:t>the</w:t>
      </w:r>
      <w:r>
        <w:rPr>
          <w:spacing w:val="-1"/>
          <w:sz w:val="22"/>
        </w:rPr>
        <w:t> </w:t>
      </w:r>
      <w:r>
        <w:rPr>
          <w:sz w:val="22"/>
        </w:rPr>
        <w:t>PES</w:t>
      </w:r>
      <w:r>
        <w:rPr>
          <w:spacing w:val="-5"/>
          <w:sz w:val="22"/>
        </w:rPr>
        <w:t> </w:t>
      </w:r>
      <w:r>
        <w:rPr>
          <w:sz w:val="22"/>
        </w:rPr>
        <w:t>benchmarking</w:t>
      </w:r>
      <w:r>
        <w:rPr>
          <w:spacing w:val="-4"/>
          <w:sz w:val="22"/>
        </w:rPr>
        <w:t> </w:t>
      </w:r>
      <w:r>
        <w:rPr>
          <w:sz w:val="22"/>
        </w:rPr>
        <w:t>system</w:t>
      </w:r>
      <w:r>
        <w:rPr>
          <w:spacing w:val="-5"/>
          <w:sz w:val="22"/>
        </w:rPr>
        <w:t> </w:t>
      </w:r>
      <w:r>
        <w:rPr>
          <w:sz w:val="22"/>
        </w:rPr>
        <w:t>including</w:t>
      </w:r>
      <w:r>
        <w:rPr>
          <w:spacing w:val="-4"/>
          <w:sz w:val="22"/>
        </w:rPr>
        <w:t> </w:t>
      </w:r>
      <w:r>
        <w:rPr>
          <w:sz w:val="22"/>
        </w:rPr>
        <w:t>corresponding mutual learning activities.</w:t>
      </w:r>
    </w:p>
    <w:p>
      <w:pPr>
        <w:pStyle w:val="ListParagraph"/>
        <w:numPr>
          <w:ilvl w:val="0"/>
          <w:numId w:val="5"/>
        </w:numPr>
        <w:tabs>
          <w:tab w:pos="1519" w:val="left" w:leader="none"/>
          <w:tab w:pos="1520" w:val="left" w:leader="none"/>
        </w:tabs>
        <w:spacing w:line="251" w:lineRule="exact" w:before="0" w:after="0"/>
        <w:ind w:left="1519" w:right="0" w:hanging="361"/>
        <w:jc w:val="left"/>
        <w:rPr>
          <w:sz w:val="22"/>
        </w:rPr>
      </w:pPr>
      <w:r>
        <w:rPr>
          <w:sz w:val="22"/>
        </w:rPr>
        <w:t>Liaising</w:t>
      </w:r>
      <w:r>
        <w:rPr>
          <w:spacing w:val="-9"/>
          <w:sz w:val="22"/>
        </w:rPr>
        <w:t> </w:t>
      </w:r>
      <w:r>
        <w:rPr>
          <w:sz w:val="22"/>
        </w:rPr>
        <w:t>with</w:t>
      </w:r>
      <w:r>
        <w:rPr>
          <w:spacing w:val="-3"/>
          <w:sz w:val="22"/>
        </w:rPr>
        <w:t> </w:t>
      </w:r>
      <w:r>
        <w:rPr>
          <w:sz w:val="22"/>
        </w:rPr>
        <w:t>PES</w:t>
      </w:r>
      <w:r>
        <w:rPr>
          <w:spacing w:val="-3"/>
          <w:sz w:val="22"/>
        </w:rPr>
        <w:t> </w:t>
      </w:r>
      <w:r>
        <w:rPr>
          <w:sz w:val="22"/>
        </w:rPr>
        <w:t>Network</w:t>
      </w:r>
      <w:r>
        <w:rPr>
          <w:spacing w:val="-6"/>
          <w:sz w:val="22"/>
        </w:rPr>
        <w:t> </w:t>
      </w:r>
      <w:r>
        <w:rPr>
          <w:sz w:val="22"/>
        </w:rPr>
        <w:t>members</w:t>
      </w:r>
      <w:r>
        <w:rPr>
          <w:spacing w:val="-4"/>
          <w:sz w:val="22"/>
        </w:rPr>
        <w:t> </w:t>
      </w:r>
      <w:r>
        <w:rPr>
          <w:sz w:val="22"/>
        </w:rPr>
        <w:t>and</w:t>
      </w:r>
      <w:r>
        <w:rPr>
          <w:spacing w:val="-3"/>
          <w:sz w:val="22"/>
        </w:rPr>
        <w:t> </w:t>
      </w:r>
      <w:r>
        <w:rPr>
          <w:sz w:val="22"/>
        </w:rPr>
        <w:t>external</w:t>
      </w:r>
      <w:r>
        <w:rPr>
          <w:spacing w:val="-2"/>
          <w:sz w:val="22"/>
        </w:rPr>
        <w:t> stakeholders;</w:t>
      </w:r>
    </w:p>
    <w:p>
      <w:pPr>
        <w:pStyle w:val="ListParagraph"/>
        <w:numPr>
          <w:ilvl w:val="0"/>
          <w:numId w:val="5"/>
        </w:numPr>
        <w:tabs>
          <w:tab w:pos="1519" w:val="left" w:leader="none"/>
          <w:tab w:pos="1520" w:val="left" w:leader="none"/>
        </w:tabs>
        <w:spacing w:line="240" w:lineRule="auto" w:before="1" w:after="0"/>
        <w:ind w:left="1519" w:right="0" w:hanging="361"/>
        <w:jc w:val="left"/>
        <w:rPr>
          <w:sz w:val="22"/>
        </w:rPr>
      </w:pPr>
      <w:r>
        <w:rPr>
          <w:sz w:val="22"/>
        </w:rPr>
        <w:t>Preparation</w:t>
      </w:r>
      <w:r>
        <w:rPr>
          <w:spacing w:val="-10"/>
          <w:sz w:val="22"/>
        </w:rPr>
        <w:t> </w:t>
      </w:r>
      <w:r>
        <w:rPr>
          <w:sz w:val="22"/>
        </w:rPr>
        <w:t>of</w:t>
      </w:r>
      <w:r>
        <w:rPr>
          <w:spacing w:val="-4"/>
          <w:sz w:val="22"/>
        </w:rPr>
        <w:t> </w:t>
      </w:r>
      <w:r>
        <w:rPr>
          <w:sz w:val="22"/>
        </w:rPr>
        <w:t>briefings,</w:t>
      </w:r>
      <w:r>
        <w:rPr>
          <w:spacing w:val="-5"/>
          <w:sz w:val="22"/>
        </w:rPr>
        <w:t> </w:t>
      </w:r>
      <w:r>
        <w:rPr>
          <w:sz w:val="22"/>
        </w:rPr>
        <w:t>speaking</w:t>
      </w:r>
      <w:r>
        <w:rPr>
          <w:spacing w:val="-7"/>
          <w:sz w:val="22"/>
        </w:rPr>
        <w:t> </w:t>
      </w:r>
      <w:r>
        <w:rPr>
          <w:sz w:val="22"/>
        </w:rPr>
        <w:t>points,</w:t>
      </w:r>
      <w:r>
        <w:rPr>
          <w:spacing w:val="-4"/>
          <w:sz w:val="22"/>
        </w:rPr>
        <w:t> </w:t>
      </w:r>
      <w:r>
        <w:rPr>
          <w:sz w:val="22"/>
        </w:rPr>
        <w:t>presentations</w:t>
      </w:r>
      <w:r>
        <w:rPr>
          <w:spacing w:val="-7"/>
          <w:sz w:val="22"/>
        </w:rPr>
        <w:t> </w:t>
      </w:r>
      <w:r>
        <w:rPr>
          <w:sz w:val="22"/>
        </w:rPr>
        <w:t>for</w:t>
      </w:r>
      <w:r>
        <w:rPr>
          <w:spacing w:val="-6"/>
          <w:sz w:val="22"/>
        </w:rPr>
        <w:t> </w:t>
      </w:r>
      <w:r>
        <w:rPr>
          <w:sz w:val="22"/>
        </w:rPr>
        <w:t>conferences,</w:t>
      </w:r>
      <w:r>
        <w:rPr>
          <w:spacing w:val="-4"/>
          <w:sz w:val="22"/>
        </w:rPr>
        <w:t> etc.</w:t>
      </w:r>
    </w:p>
    <w:p>
      <w:pPr>
        <w:pStyle w:val="ListParagraph"/>
        <w:numPr>
          <w:ilvl w:val="0"/>
          <w:numId w:val="4"/>
        </w:numPr>
        <w:tabs>
          <w:tab w:pos="799" w:val="left" w:leader="none"/>
          <w:tab w:pos="800" w:val="left" w:leader="none"/>
        </w:tabs>
        <w:spacing w:line="240" w:lineRule="auto" w:before="4" w:after="0"/>
        <w:ind w:left="799" w:right="0" w:hanging="428"/>
        <w:jc w:val="left"/>
        <w:rPr>
          <w:b/>
          <w:sz w:val="24"/>
        </w:rPr>
      </w:pPr>
      <w:r>
        <w:rPr>
          <w:b/>
          <w:sz w:val="24"/>
          <w:u w:val="single"/>
        </w:rPr>
        <w:t>Main</w:t>
      </w:r>
      <w:r>
        <w:rPr>
          <w:b/>
          <w:spacing w:val="-2"/>
          <w:sz w:val="24"/>
          <w:u w:val="single"/>
        </w:rPr>
        <w:t> qualifications</w:t>
      </w:r>
    </w:p>
    <w:p>
      <w:pPr>
        <w:pStyle w:val="BodyText"/>
        <w:rPr>
          <w:b/>
          <w:sz w:val="16"/>
        </w:rPr>
      </w:pPr>
    </w:p>
    <w:p>
      <w:pPr>
        <w:pStyle w:val="Heading1"/>
        <w:numPr>
          <w:ilvl w:val="1"/>
          <w:numId w:val="4"/>
        </w:numPr>
        <w:tabs>
          <w:tab w:pos="1040" w:val="left" w:leader="none"/>
        </w:tabs>
        <w:spacing w:line="240" w:lineRule="auto" w:before="92" w:after="0"/>
        <w:ind w:left="1039" w:right="0" w:hanging="241"/>
        <w:jc w:val="left"/>
      </w:pPr>
      <w:r>
        <w:rPr/>
        <w:t>Eligibility</w:t>
      </w:r>
      <w:r>
        <w:rPr>
          <w:spacing w:val="-10"/>
        </w:rPr>
        <w:t> </w:t>
      </w:r>
      <w:r>
        <w:rPr>
          <w:spacing w:val="-2"/>
        </w:rPr>
        <w:t>criteria</w:t>
      </w:r>
    </w:p>
    <w:p>
      <w:pPr>
        <w:pStyle w:val="BodyText"/>
        <w:spacing w:before="3"/>
        <w:rPr>
          <w:b/>
          <w:sz w:val="26"/>
        </w:rPr>
      </w:pPr>
      <w:r>
        <w:rPr/>
        <w:pict>
          <v:rect style="position:absolute;margin-left:42.599998pt;margin-top:16.346952pt;width:144.020pt;height:.599980pt;mso-position-horizontal-relative:page;mso-position-vertical-relative:paragraph;z-index:-15728640;mso-wrap-distance-left:0;mso-wrap-distance-right:0" id="docshape2" filled="true" fillcolor="#000000" stroked="false">
            <v:fill type="solid"/>
            <w10:wrap type="topAndBottom"/>
          </v:rect>
        </w:pict>
      </w:r>
    </w:p>
    <w:p>
      <w:pPr>
        <w:spacing w:before="101"/>
        <w:ind w:left="372" w:right="0" w:firstLine="0"/>
        <w:jc w:val="left"/>
        <w:rPr>
          <w:sz w:val="20"/>
        </w:rPr>
      </w:pPr>
      <w:r>
        <w:rPr>
          <w:sz w:val="20"/>
          <w:vertAlign w:val="superscript"/>
        </w:rPr>
        <w:t>1</w:t>
      </w:r>
      <w:r>
        <w:rPr>
          <w:spacing w:val="-4"/>
          <w:sz w:val="20"/>
          <w:vertAlign w:val="baseline"/>
        </w:rPr>
        <w:t> </w:t>
      </w:r>
      <w:r>
        <w:rPr>
          <w:sz w:val="20"/>
          <w:vertAlign w:val="baseline"/>
        </w:rPr>
        <w:t>These</w:t>
      </w:r>
      <w:r>
        <w:rPr>
          <w:spacing w:val="-4"/>
          <w:sz w:val="20"/>
          <w:vertAlign w:val="baseline"/>
        </w:rPr>
        <w:t> </w:t>
      </w:r>
      <w:r>
        <w:rPr>
          <w:sz w:val="20"/>
          <w:vertAlign w:val="baseline"/>
        </w:rPr>
        <w:t>mentions</w:t>
      </w:r>
      <w:r>
        <w:rPr>
          <w:spacing w:val="-4"/>
          <w:sz w:val="20"/>
          <w:vertAlign w:val="baseline"/>
        </w:rPr>
        <w:t> </w:t>
      </w:r>
      <w:r>
        <w:rPr>
          <w:sz w:val="20"/>
          <w:vertAlign w:val="baseline"/>
        </w:rPr>
        <w:t>are</w:t>
      </w:r>
      <w:r>
        <w:rPr>
          <w:spacing w:val="-4"/>
          <w:sz w:val="20"/>
          <w:vertAlign w:val="baseline"/>
        </w:rPr>
        <w:t> </w:t>
      </w:r>
      <w:r>
        <w:rPr>
          <w:sz w:val="20"/>
          <w:vertAlign w:val="baseline"/>
        </w:rPr>
        <w:t>given</w:t>
      </w:r>
      <w:r>
        <w:rPr>
          <w:spacing w:val="-4"/>
          <w:sz w:val="20"/>
          <w:vertAlign w:val="baseline"/>
        </w:rPr>
        <w:t> </w:t>
      </w:r>
      <w:r>
        <w:rPr>
          <w:sz w:val="20"/>
          <w:vertAlign w:val="baseline"/>
        </w:rPr>
        <w:t>on</w:t>
      </w:r>
      <w:r>
        <w:rPr>
          <w:spacing w:val="-3"/>
          <w:sz w:val="20"/>
          <w:vertAlign w:val="baseline"/>
        </w:rPr>
        <w:t> </w:t>
      </w:r>
      <w:r>
        <w:rPr>
          <w:sz w:val="20"/>
          <w:vertAlign w:val="baseline"/>
        </w:rPr>
        <w:t>an</w:t>
      </w:r>
      <w:r>
        <w:rPr>
          <w:spacing w:val="-4"/>
          <w:sz w:val="20"/>
          <w:vertAlign w:val="baseline"/>
        </w:rPr>
        <w:t> </w:t>
      </w:r>
      <w:r>
        <w:rPr>
          <w:sz w:val="20"/>
          <w:vertAlign w:val="baseline"/>
        </w:rPr>
        <w:t>indicative</w:t>
      </w:r>
      <w:r>
        <w:rPr>
          <w:spacing w:val="-4"/>
          <w:sz w:val="20"/>
          <w:vertAlign w:val="baseline"/>
        </w:rPr>
        <w:t> </w:t>
      </w:r>
      <w:r>
        <w:rPr>
          <w:sz w:val="20"/>
          <w:vertAlign w:val="baseline"/>
        </w:rPr>
        <w:t>basis</w:t>
      </w:r>
      <w:r>
        <w:rPr>
          <w:spacing w:val="-3"/>
          <w:sz w:val="20"/>
          <w:vertAlign w:val="baseline"/>
        </w:rPr>
        <w:t> </w:t>
      </w:r>
      <w:r>
        <w:rPr>
          <w:sz w:val="20"/>
          <w:vertAlign w:val="baseline"/>
        </w:rPr>
        <w:t>only</w:t>
      </w:r>
      <w:r>
        <w:rPr>
          <w:spacing w:val="-7"/>
          <w:sz w:val="20"/>
          <w:vertAlign w:val="baseline"/>
        </w:rPr>
        <w:t> </w:t>
      </w:r>
      <w:r>
        <w:rPr>
          <w:sz w:val="20"/>
          <w:vertAlign w:val="baseline"/>
        </w:rPr>
        <w:t>(Art.4 of</w:t>
      </w:r>
      <w:r>
        <w:rPr>
          <w:spacing w:val="-5"/>
          <w:sz w:val="20"/>
          <w:vertAlign w:val="baseline"/>
        </w:rPr>
        <w:t> </w:t>
      </w:r>
      <w:r>
        <w:rPr>
          <w:sz w:val="20"/>
          <w:vertAlign w:val="baseline"/>
        </w:rPr>
        <w:t>the</w:t>
      </w:r>
      <w:r>
        <w:rPr>
          <w:spacing w:val="-4"/>
          <w:sz w:val="20"/>
          <w:vertAlign w:val="baseline"/>
        </w:rPr>
        <w:t> </w:t>
      </w:r>
      <w:r>
        <w:rPr>
          <w:sz w:val="20"/>
          <w:vertAlign w:val="baseline"/>
        </w:rPr>
        <w:t>SNE</w:t>
      </w:r>
      <w:r>
        <w:rPr>
          <w:spacing w:val="-3"/>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BodyText"/>
        <w:spacing w:before="62"/>
        <w:ind w:left="799" w:right="113"/>
        <w:jc w:val="both"/>
      </w:pPr>
      <w:r>
        <w:rPr/>
        <w:t>The</w:t>
      </w:r>
      <w:r>
        <w:rPr>
          <w:spacing w:val="-1"/>
        </w:rPr>
        <w:t> </w:t>
      </w:r>
      <w:r>
        <w:rPr/>
        <w:t>following</w:t>
      </w:r>
      <w:r>
        <w:rPr>
          <w:spacing w:val="-1"/>
        </w:rPr>
        <w:t> </w:t>
      </w:r>
      <w:r>
        <w:rPr/>
        <w:t>eligibility</w:t>
      </w:r>
      <w:r>
        <w:rPr>
          <w:spacing w:val="-2"/>
        </w:rPr>
        <w:t> </w:t>
      </w:r>
      <w:r>
        <w:rPr/>
        <w:t>criteria must be fulfilled by</w:t>
      </w:r>
      <w:r>
        <w:rPr>
          <w:spacing w:val="-2"/>
        </w:rPr>
        <w:t> </w:t>
      </w:r>
      <w:r>
        <w:rPr/>
        <w:t>the candidate in order to be</w:t>
      </w:r>
      <w:r>
        <w:rPr>
          <w:spacing w:val="-1"/>
        </w:rPr>
        <w:t> </w:t>
      </w:r>
      <w:r>
        <w:rPr/>
        <w:t>seconded to</w:t>
      </w:r>
      <w:r>
        <w:rPr>
          <w:spacing w:val="-1"/>
        </w:rPr>
        <w:t> </w:t>
      </w:r>
      <w:r>
        <w:rPr/>
        <w:t>the Commission. Consequently, the candidate who does not fulfil all of these criteria will be automatically eliminated from the selection process.</w:t>
      </w:r>
    </w:p>
    <w:p>
      <w:pPr>
        <w:pStyle w:val="BodyText"/>
        <w:spacing w:before="1"/>
      </w:pPr>
    </w:p>
    <w:p>
      <w:pPr>
        <w:pStyle w:val="ListParagraph"/>
        <w:numPr>
          <w:ilvl w:val="2"/>
          <w:numId w:val="4"/>
        </w:numPr>
        <w:tabs>
          <w:tab w:pos="1081" w:val="left" w:leader="none"/>
        </w:tabs>
        <w:spacing w:line="240" w:lineRule="auto" w:before="1" w:after="0"/>
        <w:ind w:left="1080" w:right="114" w:hanging="281"/>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0"/>
        <w:rPr>
          <w:sz w:val="21"/>
        </w:rPr>
      </w:pPr>
    </w:p>
    <w:p>
      <w:pPr>
        <w:pStyle w:val="ListParagraph"/>
        <w:numPr>
          <w:ilvl w:val="2"/>
          <w:numId w:val="4"/>
        </w:numPr>
        <w:tabs>
          <w:tab w:pos="1081" w:val="left" w:leader="none"/>
        </w:tabs>
        <w:spacing w:line="240" w:lineRule="auto" w:before="1" w:after="0"/>
        <w:ind w:left="1080" w:right="111" w:hanging="281"/>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spacing w:before="9"/>
        <w:rPr>
          <w:sz w:val="21"/>
        </w:rPr>
      </w:pPr>
    </w:p>
    <w:p>
      <w:pPr>
        <w:pStyle w:val="ListParagraph"/>
        <w:numPr>
          <w:ilvl w:val="2"/>
          <w:numId w:val="4"/>
        </w:numPr>
        <w:tabs>
          <w:tab w:pos="1081" w:val="left" w:leader="none"/>
        </w:tabs>
        <w:spacing w:line="240" w:lineRule="auto" w:before="1" w:after="0"/>
        <w:ind w:left="1080" w:right="109" w:hanging="281"/>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spacing w:before="6"/>
        <w:rPr>
          <w:sz w:val="24"/>
        </w:rPr>
      </w:pPr>
    </w:p>
    <w:p>
      <w:pPr>
        <w:pStyle w:val="Heading1"/>
        <w:numPr>
          <w:ilvl w:val="1"/>
          <w:numId w:val="4"/>
        </w:numPr>
        <w:tabs>
          <w:tab w:pos="1081" w:val="left" w:leader="none"/>
        </w:tabs>
        <w:spacing w:line="240" w:lineRule="auto" w:before="0" w:after="0"/>
        <w:ind w:left="1080" w:right="0" w:hanging="282"/>
        <w:jc w:val="left"/>
      </w:pPr>
      <w:r>
        <w:rPr>
          <w:u w:val="single"/>
        </w:rPr>
        <w:t>Selection</w:t>
      </w:r>
      <w:r>
        <w:rPr>
          <w:spacing w:val="-5"/>
          <w:u w:val="single"/>
        </w:rPr>
        <w:t> </w:t>
      </w:r>
      <w:r>
        <w:rPr>
          <w:spacing w:val="-2"/>
          <w:u w:val="single"/>
        </w:rPr>
        <w:t>criteria</w:t>
      </w:r>
    </w:p>
    <w:p>
      <w:pPr>
        <w:pStyle w:val="BodyText"/>
        <w:spacing w:before="6"/>
        <w:rPr>
          <w:b/>
          <w:sz w:val="15"/>
        </w:rPr>
      </w:pPr>
    </w:p>
    <w:p>
      <w:pPr>
        <w:pStyle w:val="BodyText"/>
        <w:spacing w:before="92"/>
        <w:ind w:left="1080"/>
      </w:pPr>
      <w:r>
        <w:rPr>
          <w:spacing w:val="-2"/>
          <w:u w:val="single"/>
        </w:rPr>
        <w:t>Diploma</w:t>
      </w:r>
    </w:p>
    <w:p>
      <w:pPr>
        <w:pStyle w:val="ListParagraph"/>
        <w:numPr>
          <w:ilvl w:val="0"/>
          <w:numId w:val="6"/>
        </w:numPr>
        <w:tabs>
          <w:tab w:pos="1206" w:val="left" w:leader="none"/>
        </w:tabs>
        <w:spacing w:line="252" w:lineRule="exact" w:before="1" w:after="0"/>
        <w:ind w:left="1205" w:right="0" w:hanging="126"/>
        <w:jc w:val="left"/>
        <w:rPr>
          <w:sz w:val="22"/>
        </w:rPr>
      </w:pPr>
      <w:r>
        <w:rPr>
          <w:sz w:val="22"/>
        </w:rPr>
        <w:t>university</w:t>
      </w:r>
      <w:r>
        <w:rPr>
          <w:spacing w:val="-5"/>
          <w:sz w:val="22"/>
        </w:rPr>
        <w:t> </w:t>
      </w:r>
      <w:r>
        <w:rPr>
          <w:sz w:val="22"/>
        </w:rPr>
        <w:t>degree</w:t>
      </w:r>
      <w:r>
        <w:rPr>
          <w:spacing w:val="-1"/>
          <w:sz w:val="22"/>
        </w:rPr>
        <w:t> </w:t>
      </w:r>
      <w:r>
        <w:rPr>
          <w:spacing w:val="-5"/>
          <w:sz w:val="22"/>
        </w:rPr>
        <w:t>or</w:t>
      </w:r>
    </w:p>
    <w:p>
      <w:pPr>
        <w:pStyle w:val="ListParagraph"/>
        <w:numPr>
          <w:ilvl w:val="0"/>
          <w:numId w:val="6"/>
        </w:numPr>
        <w:tabs>
          <w:tab w:pos="1206" w:val="left" w:leader="none"/>
        </w:tabs>
        <w:spacing w:line="252" w:lineRule="exact" w:before="0" w:after="0"/>
        <w:ind w:left="1205" w:right="0" w:hanging="126"/>
        <w:jc w:val="left"/>
        <w:rPr>
          <w:sz w:val="22"/>
        </w:rPr>
      </w:pPr>
      <w:r>
        <w:rPr>
          <w:sz w:val="22"/>
        </w:rPr>
        <w:t>professional</w:t>
      </w:r>
      <w:r>
        <w:rPr>
          <w:spacing w:val="-4"/>
          <w:sz w:val="22"/>
        </w:rPr>
        <w:t> </w:t>
      </w:r>
      <w:r>
        <w:rPr>
          <w:sz w:val="22"/>
        </w:rPr>
        <w:t>training</w:t>
      </w:r>
      <w:r>
        <w:rPr>
          <w:spacing w:val="-6"/>
          <w:sz w:val="22"/>
        </w:rPr>
        <w:t> </w:t>
      </w:r>
      <w:r>
        <w:rPr>
          <w:sz w:val="22"/>
        </w:rPr>
        <w:t>or</w:t>
      </w:r>
      <w:r>
        <w:rPr>
          <w:spacing w:val="-3"/>
          <w:sz w:val="22"/>
        </w:rPr>
        <w:t> </w:t>
      </w:r>
      <w:r>
        <w:rPr>
          <w:sz w:val="22"/>
        </w:rPr>
        <w:t>professional</w:t>
      </w:r>
      <w:r>
        <w:rPr>
          <w:spacing w:val="-5"/>
          <w:sz w:val="22"/>
        </w:rPr>
        <w:t> </w:t>
      </w:r>
      <w:r>
        <w:rPr>
          <w:sz w:val="22"/>
        </w:rPr>
        <w:t>experience</w:t>
      </w:r>
      <w:r>
        <w:rPr>
          <w:spacing w:val="-4"/>
          <w:sz w:val="22"/>
        </w:rPr>
        <w:t> </w:t>
      </w:r>
      <w:r>
        <w:rPr>
          <w:sz w:val="22"/>
        </w:rPr>
        <w:t>of</w:t>
      </w:r>
      <w:r>
        <w:rPr>
          <w:spacing w:val="-5"/>
          <w:sz w:val="22"/>
        </w:rPr>
        <w:t> </w:t>
      </w:r>
      <w:r>
        <w:rPr>
          <w:sz w:val="22"/>
        </w:rPr>
        <w:t>an</w:t>
      </w:r>
      <w:r>
        <w:rPr>
          <w:spacing w:val="-5"/>
          <w:sz w:val="22"/>
        </w:rPr>
        <w:t> </w:t>
      </w:r>
      <w:r>
        <w:rPr>
          <w:sz w:val="22"/>
        </w:rPr>
        <w:t>equivalent</w:t>
      </w:r>
      <w:r>
        <w:rPr>
          <w:spacing w:val="-4"/>
          <w:sz w:val="22"/>
        </w:rPr>
        <w:t> </w:t>
      </w:r>
      <w:r>
        <w:rPr>
          <w:spacing w:val="-2"/>
          <w:sz w:val="22"/>
        </w:rPr>
        <w:t>level</w:t>
      </w:r>
    </w:p>
    <w:p>
      <w:pPr>
        <w:pStyle w:val="BodyText"/>
      </w:pPr>
    </w:p>
    <w:p>
      <w:pPr>
        <w:pStyle w:val="BodyText"/>
        <w:ind w:left="1190"/>
      </w:pPr>
      <w:r>
        <w:rPr/>
        <w:t>in</w:t>
      </w:r>
      <w:r>
        <w:rPr>
          <w:spacing w:val="-6"/>
        </w:rPr>
        <w:t> </w:t>
      </w:r>
      <w:r>
        <w:rPr/>
        <w:t>the</w:t>
      </w:r>
      <w:r>
        <w:rPr>
          <w:spacing w:val="-3"/>
        </w:rPr>
        <w:t> </w:t>
      </w:r>
      <w:r>
        <w:rPr/>
        <w:t>field(s)</w:t>
      </w:r>
      <w:r>
        <w:rPr>
          <w:spacing w:val="-4"/>
        </w:rPr>
        <w:t> </w:t>
      </w:r>
      <w:r>
        <w:rPr>
          <w:spacing w:val="-10"/>
        </w:rPr>
        <w:t>:</w:t>
      </w:r>
    </w:p>
    <w:p>
      <w:pPr>
        <w:spacing w:line="229" w:lineRule="exact" w:before="1"/>
        <w:ind w:left="1080" w:right="0" w:firstLine="0"/>
        <w:jc w:val="left"/>
        <w:rPr>
          <w:sz w:val="20"/>
        </w:rPr>
      </w:pPr>
      <w:r>
        <w:rPr>
          <w:sz w:val="20"/>
        </w:rPr>
        <w:t>ideally</w:t>
      </w:r>
      <w:r>
        <w:rPr>
          <w:spacing w:val="-8"/>
          <w:sz w:val="20"/>
        </w:rPr>
        <w:t> </w:t>
      </w:r>
      <w:r>
        <w:rPr>
          <w:sz w:val="20"/>
        </w:rPr>
        <w:t>in</w:t>
      </w:r>
      <w:r>
        <w:rPr>
          <w:spacing w:val="-6"/>
          <w:sz w:val="20"/>
        </w:rPr>
        <w:t> </w:t>
      </w:r>
      <w:r>
        <w:rPr>
          <w:sz w:val="20"/>
        </w:rPr>
        <w:t>one</w:t>
      </w:r>
      <w:r>
        <w:rPr>
          <w:spacing w:val="-4"/>
          <w:sz w:val="20"/>
        </w:rPr>
        <w:t> </w:t>
      </w:r>
      <w:r>
        <w:rPr>
          <w:sz w:val="20"/>
        </w:rPr>
        <w:t>or</w:t>
      </w:r>
      <w:r>
        <w:rPr>
          <w:spacing w:val="-4"/>
          <w:sz w:val="20"/>
        </w:rPr>
        <w:t> </w:t>
      </w:r>
      <w:r>
        <w:rPr>
          <w:sz w:val="20"/>
        </w:rPr>
        <w:t>several</w:t>
      </w:r>
      <w:r>
        <w:rPr>
          <w:spacing w:val="-4"/>
          <w:sz w:val="20"/>
        </w:rPr>
        <w:t> </w:t>
      </w:r>
      <w:r>
        <w:rPr>
          <w:sz w:val="20"/>
        </w:rPr>
        <w:t>of</w:t>
      </w:r>
      <w:r>
        <w:rPr>
          <w:spacing w:val="-6"/>
          <w:sz w:val="20"/>
        </w:rPr>
        <w:t> </w:t>
      </w:r>
      <w:r>
        <w:rPr>
          <w:sz w:val="20"/>
        </w:rPr>
        <w:t>the</w:t>
      </w:r>
      <w:r>
        <w:rPr>
          <w:spacing w:val="-2"/>
          <w:sz w:val="20"/>
        </w:rPr>
        <w:t> </w:t>
      </w:r>
      <w:r>
        <w:rPr>
          <w:sz w:val="20"/>
        </w:rPr>
        <w:t>following</w:t>
      </w:r>
      <w:r>
        <w:rPr>
          <w:spacing w:val="-5"/>
          <w:sz w:val="20"/>
        </w:rPr>
        <w:t> </w:t>
      </w:r>
      <w:r>
        <w:rPr>
          <w:sz w:val="20"/>
        </w:rPr>
        <w:t>economics,</w:t>
      </w:r>
      <w:r>
        <w:rPr>
          <w:spacing w:val="-4"/>
          <w:sz w:val="20"/>
        </w:rPr>
        <w:t> </w:t>
      </w:r>
      <w:r>
        <w:rPr>
          <w:sz w:val="20"/>
        </w:rPr>
        <w:t>political</w:t>
      </w:r>
      <w:r>
        <w:rPr>
          <w:spacing w:val="-5"/>
          <w:sz w:val="20"/>
        </w:rPr>
        <w:t> </w:t>
      </w:r>
      <w:r>
        <w:rPr>
          <w:sz w:val="20"/>
        </w:rPr>
        <w:t>sciences,</w:t>
      </w:r>
      <w:r>
        <w:rPr>
          <w:spacing w:val="-5"/>
          <w:sz w:val="20"/>
        </w:rPr>
        <w:t> </w:t>
      </w:r>
      <w:r>
        <w:rPr>
          <w:sz w:val="20"/>
        </w:rPr>
        <w:t>social</w:t>
      </w:r>
      <w:r>
        <w:rPr>
          <w:spacing w:val="-4"/>
          <w:sz w:val="20"/>
        </w:rPr>
        <w:t> </w:t>
      </w:r>
      <w:r>
        <w:rPr>
          <w:sz w:val="20"/>
        </w:rPr>
        <w:t>sciences,</w:t>
      </w:r>
      <w:r>
        <w:rPr>
          <w:spacing w:val="-4"/>
          <w:sz w:val="20"/>
        </w:rPr>
        <w:t> </w:t>
      </w:r>
      <w:r>
        <w:rPr>
          <w:sz w:val="20"/>
        </w:rPr>
        <w:t>law</w:t>
      </w:r>
      <w:r>
        <w:rPr>
          <w:spacing w:val="-4"/>
          <w:sz w:val="20"/>
        </w:rPr>
        <w:t> </w:t>
      </w:r>
      <w:r>
        <w:rPr>
          <w:sz w:val="20"/>
        </w:rPr>
        <w:t>or</w:t>
      </w:r>
      <w:r>
        <w:rPr>
          <w:spacing w:val="-4"/>
          <w:sz w:val="20"/>
        </w:rPr>
        <w:t> </w:t>
      </w:r>
      <w:r>
        <w:rPr>
          <w:spacing w:val="-2"/>
          <w:sz w:val="20"/>
        </w:rPr>
        <w:t>business</w:t>
      </w:r>
    </w:p>
    <w:p>
      <w:pPr>
        <w:pStyle w:val="BodyText"/>
        <w:spacing w:line="252" w:lineRule="exact"/>
        <w:ind w:left="1080"/>
      </w:pPr>
      <w:r>
        <w:rPr>
          <w:u w:val="single"/>
        </w:rPr>
        <w:t>Professional</w:t>
      </w:r>
      <w:r>
        <w:rPr>
          <w:spacing w:val="-4"/>
          <w:u w:val="single"/>
        </w:rPr>
        <w:t> </w:t>
      </w:r>
      <w:r>
        <w:rPr>
          <w:spacing w:val="-2"/>
          <w:u w:val="single"/>
        </w:rPr>
        <w:t>experience</w:t>
      </w:r>
    </w:p>
    <w:p>
      <w:pPr>
        <w:pStyle w:val="BodyText"/>
        <w:spacing w:before="4"/>
        <w:rPr>
          <w:sz w:val="14"/>
        </w:rPr>
      </w:pPr>
    </w:p>
    <w:p>
      <w:pPr>
        <w:spacing w:before="91"/>
        <w:ind w:left="1080" w:right="0" w:firstLine="0"/>
        <w:jc w:val="left"/>
        <w:rPr>
          <w:sz w:val="20"/>
        </w:rPr>
      </w:pPr>
      <w:r>
        <w:rPr>
          <w:sz w:val="20"/>
        </w:rPr>
        <w:t>Professional experience with regards to employment policies and their implementation by labour market institutions, preferably experience in a Public Employment Service.</w:t>
      </w:r>
    </w:p>
    <w:p>
      <w:pPr>
        <w:pStyle w:val="BodyText"/>
        <w:spacing w:before="10"/>
        <w:rPr>
          <w:sz w:val="19"/>
        </w:rPr>
      </w:pPr>
    </w:p>
    <w:p>
      <w:pPr>
        <w:spacing w:line="229" w:lineRule="exact" w:before="0"/>
        <w:ind w:left="1080" w:right="0" w:firstLine="0"/>
        <w:jc w:val="left"/>
        <w:rPr>
          <w:sz w:val="20"/>
        </w:rPr>
      </w:pPr>
      <w:r>
        <w:rPr>
          <w:sz w:val="20"/>
        </w:rPr>
        <w:t>Experience</w:t>
      </w:r>
      <w:r>
        <w:rPr>
          <w:spacing w:val="-6"/>
          <w:sz w:val="20"/>
        </w:rPr>
        <w:t> </w:t>
      </w:r>
      <w:r>
        <w:rPr>
          <w:sz w:val="20"/>
        </w:rPr>
        <w:t>in</w:t>
      </w:r>
      <w:r>
        <w:rPr>
          <w:spacing w:val="-6"/>
          <w:sz w:val="20"/>
        </w:rPr>
        <w:t> </w:t>
      </w:r>
      <w:r>
        <w:rPr>
          <w:sz w:val="20"/>
        </w:rPr>
        <w:t>European</w:t>
      </w:r>
      <w:r>
        <w:rPr>
          <w:spacing w:val="-6"/>
          <w:sz w:val="20"/>
        </w:rPr>
        <w:t> </w:t>
      </w:r>
      <w:r>
        <w:rPr>
          <w:sz w:val="20"/>
        </w:rPr>
        <w:t>cooperation</w:t>
      </w:r>
      <w:r>
        <w:rPr>
          <w:spacing w:val="-6"/>
          <w:sz w:val="20"/>
        </w:rPr>
        <w:t> </w:t>
      </w:r>
      <w:r>
        <w:rPr>
          <w:sz w:val="20"/>
        </w:rPr>
        <w:t>between</w:t>
      </w:r>
      <w:r>
        <w:rPr>
          <w:spacing w:val="-6"/>
          <w:sz w:val="20"/>
        </w:rPr>
        <w:t> </w:t>
      </w:r>
      <w:r>
        <w:rPr>
          <w:sz w:val="20"/>
        </w:rPr>
        <w:t>PES,</w:t>
      </w:r>
      <w:r>
        <w:rPr>
          <w:spacing w:val="-6"/>
          <w:sz w:val="20"/>
        </w:rPr>
        <w:t> </w:t>
      </w:r>
      <w:r>
        <w:rPr>
          <w:sz w:val="20"/>
        </w:rPr>
        <w:t>policy</w:t>
      </w:r>
      <w:r>
        <w:rPr>
          <w:spacing w:val="-8"/>
          <w:sz w:val="20"/>
        </w:rPr>
        <w:t> </w:t>
      </w:r>
      <w:r>
        <w:rPr>
          <w:sz w:val="20"/>
        </w:rPr>
        <w:t>and</w:t>
      </w:r>
      <w:r>
        <w:rPr>
          <w:spacing w:val="2"/>
          <w:sz w:val="20"/>
        </w:rPr>
        <w:t> </w:t>
      </w:r>
      <w:r>
        <w:rPr>
          <w:sz w:val="20"/>
        </w:rPr>
        <w:t>performance</w:t>
      </w:r>
      <w:r>
        <w:rPr>
          <w:spacing w:val="-5"/>
          <w:sz w:val="20"/>
        </w:rPr>
        <w:t> </w:t>
      </w:r>
      <w:r>
        <w:rPr>
          <w:sz w:val="20"/>
        </w:rPr>
        <w:t>analysis</w:t>
      </w:r>
      <w:r>
        <w:rPr>
          <w:spacing w:val="-3"/>
          <w:sz w:val="20"/>
        </w:rPr>
        <w:t> </w:t>
      </w:r>
      <w:r>
        <w:rPr>
          <w:sz w:val="20"/>
        </w:rPr>
        <w:t>would</w:t>
      </w:r>
      <w:r>
        <w:rPr>
          <w:spacing w:val="-3"/>
          <w:sz w:val="20"/>
        </w:rPr>
        <w:t> </w:t>
      </w:r>
      <w:r>
        <w:rPr>
          <w:sz w:val="20"/>
        </w:rPr>
        <w:t>be</w:t>
      </w:r>
      <w:r>
        <w:rPr>
          <w:spacing w:val="-5"/>
          <w:sz w:val="20"/>
        </w:rPr>
        <w:t> </w:t>
      </w:r>
      <w:r>
        <w:rPr>
          <w:sz w:val="20"/>
        </w:rPr>
        <w:t>an</w:t>
      </w:r>
      <w:r>
        <w:rPr>
          <w:spacing w:val="-6"/>
          <w:sz w:val="20"/>
        </w:rPr>
        <w:t> </w:t>
      </w:r>
      <w:r>
        <w:rPr>
          <w:spacing w:val="-2"/>
          <w:sz w:val="20"/>
        </w:rPr>
        <w:t>asset.</w:t>
      </w:r>
    </w:p>
    <w:p>
      <w:pPr>
        <w:pStyle w:val="BodyText"/>
        <w:spacing w:line="252" w:lineRule="exact"/>
        <w:ind w:left="1080"/>
      </w:pPr>
      <w:r>
        <w:rPr>
          <w:u w:val="single"/>
        </w:rPr>
        <w:t>Language(s)</w:t>
      </w:r>
      <w:r>
        <w:rPr>
          <w:spacing w:val="-3"/>
          <w:u w:val="single"/>
        </w:rPr>
        <w:t> </w:t>
      </w:r>
      <w:r>
        <w:rPr>
          <w:u w:val="single"/>
        </w:rPr>
        <w:t>necessary</w:t>
      </w:r>
      <w:r>
        <w:rPr>
          <w:spacing w:val="-6"/>
          <w:u w:val="single"/>
        </w:rPr>
        <w:t> </w:t>
      </w:r>
      <w:r>
        <w:rPr>
          <w:u w:val="single"/>
        </w:rPr>
        <w:t>for</w:t>
      </w:r>
      <w:r>
        <w:rPr>
          <w:spacing w:val="-4"/>
          <w:u w:val="single"/>
        </w:rPr>
        <w:t> </w:t>
      </w:r>
      <w:r>
        <w:rPr>
          <w:u w:val="single"/>
        </w:rPr>
        <w:t>the</w:t>
      </w:r>
      <w:r>
        <w:rPr>
          <w:spacing w:val="-3"/>
          <w:u w:val="single"/>
        </w:rPr>
        <w:t> </w:t>
      </w:r>
      <w:r>
        <w:rPr>
          <w:u w:val="single"/>
        </w:rPr>
        <w:t>performance</w:t>
      </w:r>
      <w:r>
        <w:rPr>
          <w:spacing w:val="-4"/>
          <w:u w:val="single"/>
        </w:rPr>
        <w:t> </w:t>
      </w:r>
      <w:r>
        <w:rPr>
          <w:u w:val="single"/>
        </w:rPr>
        <w:t>of</w:t>
      </w:r>
      <w:r>
        <w:rPr>
          <w:spacing w:val="-2"/>
          <w:u w:val="single"/>
        </w:rPr>
        <w:t> duties</w:t>
      </w:r>
    </w:p>
    <w:p>
      <w:pPr>
        <w:pStyle w:val="BodyText"/>
        <w:spacing w:before="3"/>
        <w:rPr>
          <w:sz w:val="14"/>
        </w:rPr>
      </w:pPr>
    </w:p>
    <w:p>
      <w:pPr>
        <w:spacing w:before="91"/>
        <w:ind w:left="1080" w:right="0" w:firstLine="0"/>
        <w:jc w:val="left"/>
        <w:rPr>
          <w:sz w:val="20"/>
        </w:rPr>
      </w:pPr>
      <w:r>
        <w:rPr>
          <w:sz w:val="20"/>
        </w:rPr>
        <w:t>Excellent</w:t>
      </w:r>
      <w:r>
        <w:rPr>
          <w:spacing w:val="25"/>
          <w:sz w:val="20"/>
        </w:rPr>
        <w:t> </w:t>
      </w:r>
      <w:r>
        <w:rPr>
          <w:sz w:val="20"/>
        </w:rPr>
        <w:t>communication</w:t>
      </w:r>
      <w:r>
        <w:rPr>
          <w:spacing w:val="24"/>
          <w:sz w:val="20"/>
        </w:rPr>
        <w:t> </w:t>
      </w:r>
      <w:r>
        <w:rPr>
          <w:sz w:val="20"/>
        </w:rPr>
        <w:t>and</w:t>
      </w:r>
      <w:r>
        <w:rPr>
          <w:spacing w:val="29"/>
          <w:sz w:val="20"/>
        </w:rPr>
        <w:t> </w:t>
      </w:r>
      <w:r>
        <w:rPr>
          <w:sz w:val="20"/>
        </w:rPr>
        <w:t>drafting</w:t>
      </w:r>
      <w:r>
        <w:rPr>
          <w:spacing w:val="24"/>
          <w:sz w:val="20"/>
        </w:rPr>
        <w:t> </w:t>
      </w:r>
      <w:r>
        <w:rPr>
          <w:sz w:val="20"/>
        </w:rPr>
        <w:t>skills</w:t>
      </w:r>
      <w:r>
        <w:rPr>
          <w:spacing w:val="25"/>
          <w:sz w:val="20"/>
        </w:rPr>
        <w:t> </w:t>
      </w:r>
      <w:r>
        <w:rPr>
          <w:sz w:val="20"/>
        </w:rPr>
        <w:t>(including</w:t>
      </w:r>
      <w:r>
        <w:rPr>
          <w:spacing w:val="24"/>
          <w:sz w:val="20"/>
        </w:rPr>
        <w:t> </w:t>
      </w:r>
      <w:r>
        <w:rPr>
          <w:sz w:val="20"/>
        </w:rPr>
        <w:t>capacity</w:t>
      </w:r>
      <w:r>
        <w:rPr>
          <w:spacing w:val="22"/>
          <w:sz w:val="20"/>
        </w:rPr>
        <w:t> </w:t>
      </w:r>
      <w:r>
        <w:rPr>
          <w:sz w:val="20"/>
        </w:rPr>
        <w:t>to</w:t>
      </w:r>
      <w:r>
        <w:rPr>
          <w:spacing w:val="26"/>
          <w:sz w:val="20"/>
        </w:rPr>
        <w:t> </w:t>
      </w:r>
      <w:r>
        <w:rPr>
          <w:sz w:val="20"/>
        </w:rPr>
        <w:t>draft</w:t>
      </w:r>
      <w:r>
        <w:rPr>
          <w:spacing w:val="25"/>
          <w:sz w:val="20"/>
        </w:rPr>
        <w:t> </w:t>
      </w:r>
      <w:r>
        <w:rPr>
          <w:sz w:val="20"/>
        </w:rPr>
        <w:t>analytical</w:t>
      </w:r>
      <w:r>
        <w:rPr>
          <w:spacing w:val="26"/>
          <w:sz w:val="20"/>
        </w:rPr>
        <w:t> </w:t>
      </w:r>
      <w:r>
        <w:rPr>
          <w:sz w:val="20"/>
        </w:rPr>
        <w:t>and</w:t>
      </w:r>
      <w:r>
        <w:rPr>
          <w:spacing w:val="29"/>
          <w:sz w:val="20"/>
        </w:rPr>
        <w:t> </w:t>
      </w:r>
      <w:r>
        <w:rPr>
          <w:sz w:val="20"/>
        </w:rPr>
        <w:t>policy</w:t>
      </w:r>
      <w:r>
        <w:rPr>
          <w:spacing w:val="22"/>
          <w:sz w:val="20"/>
        </w:rPr>
        <w:t> </w:t>
      </w:r>
      <w:r>
        <w:rPr>
          <w:sz w:val="20"/>
        </w:rPr>
        <w:t>papers)</w:t>
      </w:r>
      <w:r>
        <w:rPr>
          <w:spacing w:val="26"/>
          <w:sz w:val="20"/>
        </w:rPr>
        <w:t> </w:t>
      </w:r>
      <w:r>
        <w:rPr>
          <w:sz w:val="20"/>
        </w:rPr>
        <w:t>in</w:t>
      </w:r>
      <w:r>
        <w:rPr>
          <w:spacing w:val="24"/>
          <w:sz w:val="20"/>
        </w:rPr>
        <w:t> </w:t>
      </w:r>
      <w:r>
        <w:rPr>
          <w:sz w:val="20"/>
        </w:rPr>
        <w:t>English. Good knowledge of other EU languages would be an asset.</w:t>
      </w:r>
    </w:p>
    <w:p>
      <w:pPr>
        <w:pStyle w:val="ListParagraph"/>
        <w:numPr>
          <w:ilvl w:val="0"/>
          <w:numId w:val="4"/>
        </w:numPr>
        <w:tabs>
          <w:tab w:pos="799" w:val="left" w:leader="none"/>
          <w:tab w:pos="800" w:val="left" w:leader="none"/>
        </w:tabs>
        <w:spacing w:line="240" w:lineRule="auto" w:before="5" w:after="0"/>
        <w:ind w:left="799" w:right="0" w:hanging="428"/>
        <w:jc w:val="left"/>
        <w:rPr>
          <w:b/>
          <w:sz w:val="24"/>
        </w:rPr>
      </w:pPr>
      <w:r>
        <w:rPr>
          <w:b/>
          <w:sz w:val="24"/>
          <w:u w:val="single"/>
        </w:rPr>
        <w:t>Submission</w:t>
      </w:r>
      <w:r>
        <w:rPr>
          <w:b/>
          <w:spacing w:val="-7"/>
          <w:sz w:val="24"/>
          <w:u w:val="single"/>
        </w:rPr>
        <w:t> </w:t>
      </w:r>
      <w:r>
        <w:rPr>
          <w:b/>
          <w:sz w:val="24"/>
          <w:u w:val="single"/>
        </w:rPr>
        <w:t>of</w:t>
      </w:r>
      <w:r>
        <w:rPr>
          <w:b/>
          <w:spacing w:val="-6"/>
          <w:sz w:val="24"/>
          <w:u w:val="single"/>
        </w:rPr>
        <w:t> </w:t>
      </w:r>
      <w:r>
        <w:rPr>
          <w:b/>
          <w:sz w:val="24"/>
          <w:u w:val="single"/>
        </w:rPr>
        <w:t>applications</w:t>
      </w:r>
      <w:r>
        <w:rPr>
          <w:b/>
          <w:spacing w:val="-8"/>
          <w:sz w:val="24"/>
          <w:u w:val="single"/>
        </w:rPr>
        <w:t> </w:t>
      </w:r>
      <w:r>
        <w:rPr>
          <w:b/>
          <w:sz w:val="24"/>
          <w:u w:val="single"/>
        </w:rPr>
        <w:t>and</w:t>
      </w:r>
      <w:r>
        <w:rPr>
          <w:b/>
          <w:spacing w:val="-7"/>
          <w:sz w:val="24"/>
          <w:u w:val="single"/>
        </w:rPr>
        <w:t> </w:t>
      </w:r>
      <w:r>
        <w:rPr>
          <w:b/>
          <w:sz w:val="24"/>
          <w:u w:val="single"/>
        </w:rPr>
        <w:t>selection</w:t>
      </w:r>
      <w:r>
        <w:rPr>
          <w:b/>
          <w:spacing w:val="-7"/>
          <w:sz w:val="24"/>
          <w:u w:val="single"/>
        </w:rPr>
        <w:t> </w:t>
      </w:r>
      <w:r>
        <w:rPr>
          <w:b/>
          <w:spacing w:val="-2"/>
          <w:sz w:val="24"/>
          <w:u w:val="single"/>
        </w:rPr>
        <w:t>procedure</w:t>
      </w:r>
    </w:p>
    <w:p>
      <w:pPr>
        <w:pStyle w:val="BodyText"/>
        <w:spacing w:before="6"/>
        <w:rPr>
          <w:b/>
          <w:sz w:val="15"/>
        </w:rPr>
      </w:pPr>
    </w:p>
    <w:p>
      <w:pPr>
        <w:spacing w:line="240" w:lineRule="auto" w:before="92"/>
        <w:ind w:left="799" w:right="278"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w:t>
      </w:r>
      <w:r>
        <w:rPr>
          <w:b/>
          <w:spacing w:val="-1"/>
          <w:sz w:val="22"/>
          <w:u w:val="single"/>
        </w:rPr>
        <w:t> </w:t>
      </w:r>
      <w:r>
        <w:rPr>
          <w:b/>
          <w:sz w:val="22"/>
          <w:u w:val="single"/>
        </w:rPr>
        <w:t>Permanent Representation</w:t>
      </w:r>
      <w:r>
        <w:rPr>
          <w:b/>
          <w:spacing w:val="-1"/>
          <w:sz w:val="22"/>
          <w:u w:val="single"/>
        </w:rPr>
        <w:t> </w:t>
      </w:r>
      <w:r>
        <w:rPr>
          <w:b/>
          <w:sz w:val="22"/>
          <w:u w:val="single"/>
        </w:rPr>
        <w:t>/ Diplomatic</w:t>
      </w:r>
      <w:r>
        <w:rPr>
          <w:b/>
          <w:spacing w:val="-1"/>
          <w:sz w:val="22"/>
          <w:u w:val="single"/>
        </w:rPr>
        <w:t> </w:t>
      </w:r>
      <w:r>
        <w:rPr>
          <w:b/>
          <w:sz w:val="22"/>
          <w:u w:val="single"/>
        </w:rPr>
        <w:t>Mission to the EU 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ind w:left="799"/>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w:t>
      </w:r>
      <w:r>
        <w:rPr>
          <w:spacing w:val="40"/>
        </w:rPr>
        <w:t> </w:t>
      </w:r>
      <w:r>
        <w:rPr/>
        <w:t>certificate of professional experience, etc.). If necessary, these will be requested at a later stage.</w:t>
      </w:r>
    </w:p>
    <w:p>
      <w:pPr>
        <w:pStyle w:val="BodyText"/>
        <w:spacing w:before="1"/>
        <w:ind w:left="799"/>
      </w:pPr>
      <w:r>
        <w:rPr/>
        <w:t>Candidates</w:t>
      </w:r>
      <w:r>
        <w:rPr>
          <w:spacing w:val="-3"/>
        </w:rPr>
        <w:t> </w:t>
      </w:r>
      <w:r>
        <w:rPr/>
        <w:t>will</w:t>
      </w:r>
      <w:r>
        <w:rPr>
          <w:spacing w:val="-2"/>
        </w:rPr>
        <w:t> </w:t>
      </w:r>
      <w:r>
        <w:rPr/>
        <w:t>be</w:t>
      </w:r>
      <w:r>
        <w:rPr>
          <w:spacing w:val="-3"/>
        </w:rPr>
        <w:t> </w:t>
      </w:r>
      <w:r>
        <w:rPr/>
        <w:t>informed</w:t>
      </w:r>
      <w:r>
        <w:rPr>
          <w:spacing w:val="-2"/>
        </w:rPr>
        <w:t> </w:t>
      </w:r>
      <w:r>
        <w:rPr/>
        <w:t>of</w:t>
      </w:r>
      <w:r>
        <w:rPr>
          <w:spacing w:val="-2"/>
        </w:rPr>
        <w:t> </w:t>
      </w:r>
      <w:r>
        <w:rPr/>
        <w:t>the</w:t>
      </w:r>
      <w:r>
        <w:rPr>
          <w:spacing w:val="-5"/>
        </w:rPr>
        <w:t> </w:t>
      </w:r>
      <w:r>
        <w:rPr/>
        <w:t>follow-up</w:t>
      </w:r>
      <w:r>
        <w:rPr>
          <w:spacing w:val="-3"/>
        </w:rPr>
        <w:t> </w:t>
      </w:r>
      <w:r>
        <w:rPr/>
        <w:t>of</w:t>
      </w:r>
      <w:r>
        <w:rPr>
          <w:spacing w:val="-2"/>
        </w:rPr>
        <w:t> </w:t>
      </w:r>
      <w:r>
        <w:rPr/>
        <w:t>their</w:t>
      </w:r>
      <w:r>
        <w:rPr>
          <w:spacing w:val="-5"/>
        </w:rPr>
        <w:t> </w:t>
      </w:r>
      <w:r>
        <w:rPr/>
        <w:t>application</w:t>
      </w:r>
      <w:r>
        <w:rPr>
          <w:spacing w:val="-6"/>
        </w:rPr>
        <w:t> </w:t>
      </w:r>
      <w:r>
        <w:rPr/>
        <w:t>by</w:t>
      </w:r>
      <w:r>
        <w:rPr>
          <w:spacing w:val="-5"/>
        </w:rPr>
        <w:t> </w:t>
      </w:r>
      <w:r>
        <w:rPr/>
        <w:t>the</w:t>
      </w:r>
      <w:r>
        <w:rPr>
          <w:spacing w:val="-3"/>
        </w:rPr>
        <w:t> </w:t>
      </w:r>
      <w:r>
        <w:rPr/>
        <w:t>unit</w:t>
      </w:r>
      <w:r>
        <w:rPr>
          <w:spacing w:val="-4"/>
        </w:rPr>
        <w:t> </w:t>
      </w:r>
      <w:r>
        <w:rPr>
          <w:spacing w:val="-2"/>
        </w:rPr>
        <w:t>concerned.</w:t>
      </w:r>
    </w:p>
    <w:p>
      <w:pPr>
        <w:pStyle w:val="ListParagraph"/>
        <w:numPr>
          <w:ilvl w:val="0"/>
          <w:numId w:val="4"/>
        </w:numPr>
        <w:tabs>
          <w:tab w:pos="799" w:val="left" w:leader="none"/>
          <w:tab w:pos="800" w:val="left" w:leader="none"/>
        </w:tabs>
        <w:spacing w:line="240" w:lineRule="auto" w:before="5" w:after="0"/>
        <w:ind w:left="799" w:right="0" w:hanging="428"/>
        <w:jc w:val="left"/>
        <w:rPr>
          <w:b/>
          <w:sz w:val="24"/>
        </w:rPr>
      </w:pPr>
      <w:r>
        <w:rPr>
          <w:b/>
          <w:sz w:val="24"/>
          <w:u w:val="single"/>
        </w:rPr>
        <w:t>Conditions</w:t>
      </w:r>
      <w:r>
        <w:rPr>
          <w:b/>
          <w:spacing w:val="-6"/>
          <w:sz w:val="24"/>
          <w:u w:val="single"/>
        </w:rPr>
        <w:t> </w:t>
      </w:r>
      <w:r>
        <w:rPr>
          <w:b/>
          <w:sz w:val="24"/>
          <w:u w:val="single"/>
        </w:rPr>
        <w:t>of</w:t>
      </w:r>
      <w:r>
        <w:rPr>
          <w:b/>
          <w:spacing w:val="-4"/>
          <w:sz w:val="24"/>
          <w:u w:val="single"/>
        </w:rPr>
        <w:t> </w:t>
      </w:r>
      <w:r>
        <w:rPr>
          <w:b/>
          <w:sz w:val="24"/>
          <w:u w:val="single"/>
        </w:rPr>
        <w:t>the</w:t>
      </w:r>
      <w:r>
        <w:rPr>
          <w:b/>
          <w:spacing w:val="-5"/>
          <w:sz w:val="24"/>
          <w:u w:val="single"/>
        </w:rPr>
        <w:t> </w:t>
      </w:r>
      <w:r>
        <w:rPr>
          <w:b/>
          <w:spacing w:val="-2"/>
          <w:sz w:val="24"/>
          <w:u w:val="single"/>
        </w:rPr>
        <w:t>secondment</w:t>
      </w:r>
    </w:p>
    <w:p>
      <w:pPr>
        <w:pStyle w:val="BodyText"/>
        <w:spacing w:before="6"/>
        <w:rPr>
          <w:b/>
          <w:sz w:val="15"/>
        </w:rPr>
      </w:pPr>
    </w:p>
    <w:p>
      <w:pPr>
        <w:pStyle w:val="BodyText"/>
        <w:spacing w:before="92"/>
        <w:ind w:left="799" w:right="278"/>
        <w:jc w:val="both"/>
      </w:pPr>
      <w:r>
        <w:rPr/>
        <w:t>The secondment will be governed by the </w:t>
      </w:r>
      <w:r>
        <w:rPr>
          <w:b/>
        </w:rPr>
        <w:t>Commission Decision C(2008)6866 of 12/11/2008 </w:t>
      </w:r>
      <w:r>
        <w:rPr/>
        <w:t>laying down rules on the secondment to the Commission of national experts and national experts in professional training (SNE Decision). This decision is available on </w:t>
      </w:r>
      <w:hyperlink r:id="rId9">
        <w:r>
          <w:rPr>
            <w:color w:val="0000FF"/>
            <w:u w:val="single" w:color="0000FF"/>
          </w:rPr>
          <w:t>http://ec.europa.eu/civil_service/job/sne/index_en.htm</w:t>
        </w:r>
      </w:hyperlink>
      <w:r>
        <w:rPr/>
        <w:t>.</w:t>
      </w:r>
    </w:p>
    <w:p>
      <w:pPr>
        <w:pStyle w:val="BodyText"/>
        <w:ind w:left="799" w:right="287"/>
        <w:jc w:val="both"/>
      </w:pPr>
      <w:r>
        <w:rPr/>
        <w:t>The SNE will remain employed and remunerated by his/her employer during the secondment. He/she will equally remain covered by the national social security system.</w:t>
      </w:r>
    </w:p>
    <w:p>
      <w:pPr>
        <w:pStyle w:val="BodyText"/>
        <w:ind w:left="799" w:right="286"/>
        <w:jc w:val="both"/>
      </w:pPr>
      <w:r>
        <w:rPr/>
        <w:t>Unless for cost-free SNE, allowances may be granted by the Commission to SNE fulfilling the conditions provided for in Art. 17 of the SNE decision.</w:t>
      </w:r>
    </w:p>
    <w:p>
      <w:pPr>
        <w:spacing w:after="0"/>
        <w:jc w:val="both"/>
        <w:sectPr>
          <w:pgSz w:w="11910" w:h="16840"/>
          <w:pgMar w:header="0" w:footer="690" w:top="1300" w:bottom="880" w:left="480" w:right="740"/>
        </w:sectPr>
      </w:pPr>
    </w:p>
    <w:p>
      <w:pPr>
        <w:pStyle w:val="BodyText"/>
        <w:spacing w:before="68"/>
        <w:ind w:left="799" w:right="283"/>
        <w:jc w:val="both"/>
      </w:pPr>
      <w:r>
        <w:rPr/>
        <w:t>During the secondment, SNE are subject to confidentiality, loyalty and absence of conflict of interest obligations, as provided for in Art. 6 and 7 of the SNE Decision.</w:t>
      </w:r>
    </w:p>
    <w:p>
      <w:pPr>
        <w:pStyle w:val="BodyText"/>
        <w:spacing w:before="1"/>
        <w:ind w:left="799"/>
        <w:jc w:val="both"/>
      </w:pPr>
      <w:r>
        <w:rPr/>
        <w:t>If</w:t>
      </w:r>
      <w:r>
        <w:rPr>
          <w:spacing w:val="-5"/>
        </w:rPr>
        <w:t> </w:t>
      </w:r>
      <w:r>
        <w:rPr/>
        <w:t>any</w:t>
      </w:r>
      <w:r>
        <w:rPr>
          <w:spacing w:val="-5"/>
        </w:rPr>
        <w:t> </w:t>
      </w:r>
      <w:r>
        <w:rPr/>
        <w:t>document</w:t>
      </w:r>
      <w:r>
        <w:rPr>
          <w:spacing w:val="-2"/>
        </w:rPr>
        <w:t> </w:t>
      </w:r>
      <w:r>
        <w:rPr/>
        <w:t>is</w:t>
      </w:r>
      <w:r>
        <w:rPr>
          <w:spacing w:val="-5"/>
        </w:rPr>
        <w:t> </w:t>
      </w:r>
      <w:r>
        <w:rPr/>
        <w:t>inexact,</w:t>
      </w:r>
      <w:r>
        <w:rPr>
          <w:spacing w:val="-5"/>
        </w:rPr>
        <w:t> </w:t>
      </w:r>
      <w:r>
        <w:rPr/>
        <w:t>incomplete</w:t>
      </w:r>
      <w:r>
        <w:rPr>
          <w:spacing w:val="-3"/>
        </w:rPr>
        <w:t> </w:t>
      </w:r>
      <w:r>
        <w:rPr/>
        <w:t>or</w:t>
      </w:r>
      <w:r>
        <w:rPr>
          <w:spacing w:val="-4"/>
        </w:rPr>
        <w:t> </w:t>
      </w:r>
      <w:r>
        <w:rPr/>
        <w:t>missing,</w:t>
      </w:r>
      <w:r>
        <w:rPr>
          <w:spacing w:val="-3"/>
        </w:rPr>
        <w:t> </w:t>
      </w:r>
      <w:r>
        <w:rPr/>
        <w:t>the</w:t>
      </w:r>
      <w:r>
        <w:rPr>
          <w:spacing w:val="-4"/>
        </w:rPr>
        <w:t> </w:t>
      </w:r>
      <w:r>
        <w:rPr/>
        <w:t>application</w:t>
      </w:r>
      <w:r>
        <w:rPr>
          <w:spacing w:val="-3"/>
        </w:rPr>
        <w:t> </w:t>
      </w:r>
      <w:r>
        <w:rPr/>
        <w:t>may</w:t>
      </w:r>
      <w:r>
        <w:rPr>
          <w:spacing w:val="-5"/>
        </w:rPr>
        <w:t> </w:t>
      </w:r>
      <w:r>
        <w:rPr/>
        <w:t>be</w:t>
      </w:r>
      <w:r>
        <w:rPr>
          <w:spacing w:val="-2"/>
        </w:rPr>
        <w:t> cancelled.</w:t>
      </w:r>
    </w:p>
    <w:p>
      <w:pPr>
        <w:pStyle w:val="BodyText"/>
      </w:pPr>
    </w:p>
    <w:p>
      <w:pPr>
        <w:pStyle w:val="BodyText"/>
        <w:ind w:left="799" w:right="282"/>
        <w:jc w:val="both"/>
      </w:pPr>
      <w:r>
        <w:rPr/>
        <w:t>Staff posted in a </w:t>
      </w:r>
      <w:r>
        <w:rPr>
          <w:b/>
        </w:rPr>
        <w:t>European Union Delegation </w:t>
      </w:r>
      <w:r>
        <w:rPr/>
        <w:t>are required to have a security clearance (up to SECRET UE/EU</w:t>
      </w:r>
      <w:r>
        <w:rPr>
          <w:spacing w:val="-3"/>
        </w:rPr>
        <w:t> </w:t>
      </w:r>
      <w:r>
        <w:rPr/>
        <w:t>SECRET</w:t>
      </w:r>
      <w:r>
        <w:rPr>
          <w:spacing w:val="-1"/>
        </w:rPr>
        <w:t> </w:t>
      </w:r>
      <w:r>
        <w:rPr/>
        <w:t>level</w:t>
      </w:r>
      <w:r>
        <w:rPr>
          <w:spacing w:val="-1"/>
        </w:rPr>
        <w:t> </w:t>
      </w:r>
      <w:r>
        <w:rPr/>
        <w:t>according</w:t>
      </w:r>
      <w:r>
        <w:rPr>
          <w:spacing w:val="-5"/>
        </w:rPr>
        <w:t> </w:t>
      </w:r>
      <w:r>
        <w:rPr/>
        <w:t>to</w:t>
      </w:r>
      <w:r>
        <w:rPr>
          <w:spacing w:val="-2"/>
        </w:rPr>
        <w:t> </w:t>
      </w:r>
      <w:r>
        <w:rPr/>
        <w:t>Commission</w:t>
      </w:r>
      <w:r>
        <w:rPr>
          <w:spacing w:val="-2"/>
        </w:rPr>
        <w:t> </w:t>
      </w:r>
      <w:r>
        <w:rPr/>
        <w:t>Decision</w:t>
      </w:r>
      <w:r>
        <w:rPr>
          <w:spacing w:val="-2"/>
        </w:rPr>
        <w:t> </w:t>
      </w:r>
      <w:r>
        <w:rPr/>
        <w:t>(EU,</w:t>
      </w:r>
      <w:r>
        <w:rPr>
          <w:spacing w:val="-2"/>
        </w:rPr>
        <w:t> </w:t>
      </w:r>
      <w:r>
        <w:rPr/>
        <w:t>Euratom)</w:t>
      </w:r>
      <w:r>
        <w:rPr>
          <w:spacing w:val="-2"/>
        </w:rPr>
        <w:t> </w:t>
      </w:r>
      <w:r>
        <w:rPr/>
        <w:t>2015/444</w:t>
      </w:r>
      <w:r>
        <w:rPr>
          <w:spacing w:val="-2"/>
        </w:rPr>
        <w:t> </w:t>
      </w:r>
      <w:r>
        <w:rPr/>
        <w:t>of</w:t>
      </w:r>
      <w:r>
        <w:rPr>
          <w:spacing w:val="-2"/>
        </w:rPr>
        <w:t> </w:t>
      </w:r>
      <w:r>
        <w:rPr/>
        <w:t>13</w:t>
      </w:r>
      <w:r>
        <w:rPr>
          <w:spacing w:val="-2"/>
        </w:rPr>
        <w:t> </w:t>
      </w:r>
      <w:r>
        <w:rPr/>
        <w:t>March</w:t>
      </w:r>
      <w:r>
        <w:rPr>
          <w:spacing w:val="-2"/>
        </w:rPr>
        <w:t> </w:t>
      </w:r>
      <w:r>
        <w:rPr/>
        <w:t>2015,</w:t>
      </w:r>
      <w:r>
        <w:rPr>
          <w:spacing w:val="-2"/>
        </w:rPr>
        <w:t> </w:t>
      </w:r>
      <w:r>
        <w:rPr/>
        <w:t>OJ L 72, 17.03.2015, p. 53).</w:t>
      </w:r>
    </w:p>
    <w:p>
      <w:pPr>
        <w:pStyle w:val="BodyText"/>
        <w:ind w:left="799" w:right="116"/>
        <w:jc w:val="both"/>
      </w:pPr>
      <w:r>
        <w:rPr/>
        <w:t>The selected candidate has the obligation to launch the vetting procedure before getting the secondment </w:t>
      </w:r>
      <w:r>
        <w:rPr>
          <w:spacing w:val="-2"/>
        </w:rPr>
        <w:t>confirmation.</w:t>
      </w:r>
    </w:p>
    <w:p>
      <w:pPr>
        <w:pStyle w:val="BodyText"/>
        <w:spacing w:before="5"/>
        <w:rPr>
          <w:sz w:val="24"/>
        </w:rPr>
      </w:pPr>
    </w:p>
    <w:p>
      <w:pPr>
        <w:pStyle w:val="ListParagraph"/>
        <w:numPr>
          <w:ilvl w:val="0"/>
          <w:numId w:val="4"/>
        </w:numPr>
        <w:tabs>
          <w:tab w:pos="799" w:val="left" w:leader="none"/>
          <w:tab w:pos="800" w:val="left" w:leader="none"/>
        </w:tabs>
        <w:spacing w:line="240" w:lineRule="auto" w:before="0" w:after="0"/>
        <w:ind w:left="799" w:right="0" w:hanging="428"/>
        <w:jc w:val="left"/>
        <w:rPr>
          <w:b/>
          <w:sz w:val="24"/>
        </w:rPr>
      </w:pPr>
      <w:r>
        <w:rPr>
          <w:b/>
          <w:sz w:val="24"/>
          <w:u w:val="single"/>
        </w:rPr>
        <w:t>Processing</w:t>
      </w:r>
      <w:r>
        <w:rPr>
          <w:b/>
          <w:spacing w:val="-5"/>
          <w:sz w:val="24"/>
          <w:u w:val="single"/>
        </w:rPr>
        <w:t> </w:t>
      </w:r>
      <w:r>
        <w:rPr>
          <w:b/>
          <w:sz w:val="24"/>
          <w:u w:val="single"/>
        </w:rPr>
        <w:t>of</w:t>
      </w:r>
      <w:r>
        <w:rPr>
          <w:b/>
          <w:spacing w:val="-4"/>
          <w:sz w:val="24"/>
          <w:u w:val="single"/>
        </w:rPr>
        <w:t> </w:t>
      </w:r>
      <w:r>
        <w:rPr>
          <w:b/>
          <w:sz w:val="24"/>
          <w:u w:val="single"/>
        </w:rPr>
        <w:t>personal</w:t>
      </w:r>
      <w:r>
        <w:rPr>
          <w:b/>
          <w:spacing w:val="-5"/>
          <w:sz w:val="24"/>
          <w:u w:val="single"/>
        </w:rPr>
        <w:t> </w:t>
      </w:r>
      <w:r>
        <w:rPr>
          <w:b/>
          <w:spacing w:val="-4"/>
          <w:sz w:val="24"/>
          <w:u w:val="single"/>
        </w:rPr>
        <w:t>data</w:t>
      </w:r>
    </w:p>
    <w:p>
      <w:pPr>
        <w:pStyle w:val="BodyText"/>
        <w:spacing w:before="7"/>
        <w:rPr>
          <w:b/>
          <w:sz w:val="15"/>
        </w:rPr>
      </w:pPr>
    </w:p>
    <w:p>
      <w:pPr>
        <w:pStyle w:val="BodyText"/>
        <w:spacing w:before="92"/>
        <w:ind w:left="799" w:right="288"/>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spacing w:before="1"/>
        <w:ind w:left="799" w:right="284"/>
        <w:jc w:val="both"/>
      </w:pPr>
      <w:r>
        <w:rPr/>
        <w:t>Data is kept by the competent services for 10 years after the secondment (2 years for not selected or not seconded experts).</w:t>
      </w:r>
    </w:p>
    <w:p>
      <w:pPr>
        <w:pStyle w:val="BodyText"/>
        <w:spacing w:before="1"/>
        <w:ind w:left="799" w:right="281"/>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w:t>
      </w:r>
      <w:r>
        <w:rPr>
          <w:spacing w:val="-2"/>
        </w:rPr>
        <w:t> </w:t>
      </w:r>
      <w:r>
        <w:rPr/>
        <w:t>of your personal data.</w:t>
      </w:r>
      <w:r>
        <w:rPr>
          <w:spacing w:val="-1"/>
        </w:rPr>
        <w:t> </w:t>
      </w:r>
      <w:r>
        <w:rPr/>
        <w:t>Where applicable, you also</w:t>
      </w:r>
      <w:r>
        <w:rPr>
          <w:spacing w:val="-1"/>
        </w:rPr>
        <w:t> </w:t>
      </w:r>
      <w:r>
        <w:rPr/>
        <w:t>have the</w:t>
      </w:r>
      <w:r>
        <w:rPr>
          <w:spacing w:val="-1"/>
        </w:rPr>
        <w:t> </w:t>
      </w:r>
      <w:r>
        <w:rPr/>
        <w:t>right to object to the processing</w:t>
      </w:r>
      <w:r>
        <w:rPr>
          <w:spacing w:val="-2"/>
        </w:rPr>
        <w:t> </w:t>
      </w:r>
      <w:r>
        <w:rPr/>
        <w:t>or the right to data portability.</w:t>
      </w:r>
    </w:p>
    <w:p>
      <w:pPr>
        <w:pStyle w:val="BodyText"/>
        <w:ind w:left="799" w:right="286"/>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4"/>
      </w:pPr>
    </w:p>
    <w:p>
      <w:pPr>
        <w:pStyle w:val="Heading1"/>
        <w:ind w:left="799" w:firstLine="0"/>
      </w:pPr>
      <w:r>
        <w:rPr>
          <w:u w:val="single"/>
        </w:rPr>
        <w:t>Contact</w:t>
      </w:r>
      <w:r>
        <w:rPr>
          <w:spacing w:val="-4"/>
          <w:u w:val="single"/>
        </w:rPr>
        <w:t> </w:t>
      </w:r>
      <w:r>
        <w:rPr>
          <w:spacing w:val="-2"/>
          <w:u w:val="single"/>
        </w:rPr>
        <w:t>information</w:t>
      </w:r>
    </w:p>
    <w:p>
      <w:pPr>
        <w:pStyle w:val="BodyText"/>
        <w:spacing w:before="1"/>
        <w:rPr>
          <w:b/>
        </w:rPr>
      </w:pPr>
    </w:p>
    <w:p>
      <w:pPr>
        <w:pStyle w:val="ListParagraph"/>
        <w:numPr>
          <w:ilvl w:val="0"/>
          <w:numId w:val="7"/>
        </w:numPr>
        <w:tabs>
          <w:tab w:pos="1081" w:val="left" w:leader="none"/>
        </w:tabs>
        <w:spacing w:line="240" w:lineRule="auto" w:before="0" w:after="0"/>
        <w:ind w:left="1080" w:right="0" w:hanging="282"/>
        <w:jc w:val="both"/>
        <w:rPr>
          <w:b/>
          <w:sz w:val="22"/>
        </w:rPr>
      </w:pPr>
      <w:r>
        <w:rPr>
          <w:b/>
          <w:sz w:val="22"/>
        </w:rPr>
        <w:t>The</w:t>
      </w:r>
      <w:r>
        <w:rPr>
          <w:b/>
          <w:spacing w:val="-2"/>
          <w:sz w:val="22"/>
        </w:rPr>
        <w:t> </w:t>
      </w:r>
      <w:r>
        <w:rPr>
          <w:b/>
          <w:sz w:val="22"/>
        </w:rPr>
        <w:t>Data</w:t>
      </w:r>
      <w:r>
        <w:rPr>
          <w:b/>
          <w:spacing w:val="-1"/>
          <w:sz w:val="22"/>
        </w:rPr>
        <w:t> </w:t>
      </w:r>
      <w:r>
        <w:rPr>
          <w:b/>
          <w:spacing w:val="-2"/>
          <w:sz w:val="22"/>
        </w:rPr>
        <w:t>Controller</w:t>
      </w:r>
    </w:p>
    <w:p>
      <w:pPr>
        <w:pStyle w:val="BodyText"/>
        <w:spacing w:before="30"/>
        <w:ind w:left="1080" w:right="281"/>
        <w:jc w:val="both"/>
      </w:pPr>
      <w:r>
        <w:rPr/>
        <w:t>If you would like to exercise your rights under Regulation (EU) 2018/1725, or if you have comments, questions or</w:t>
      </w:r>
      <w:r>
        <w:rPr>
          <w:spacing w:val="-1"/>
        </w:rPr>
        <w:t> </w:t>
      </w:r>
      <w:r>
        <w:rPr/>
        <w:t>concerns, or</w:t>
      </w:r>
      <w:r>
        <w:rPr>
          <w:spacing w:val="-1"/>
        </w:rPr>
        <w:t> </w:t>
      </w:r>
      <w:r>
        <w:rPr/>
        <w:t>if</w:t>
      </w:r>
      <w:r>
        <w:rPr>
          <w:spacing w:val="-3"/>
        </w:rPr>
        <w:t> </w:t>
      </w:r>
      <w:r>
        <w:rPr/>
        <w:t>you would</w:t>
      </w:r>
      <w:r>
        <w:rPr>
          <w:spacing w:val="-1"/>
        </w:rPr>
        <w:t> </w:t>
      </w:r>
      <w:r>
        <w:rPr/>
        <w:t>like</w:t>
      </w:r>
      <w:r>
        <w:rPr>
          <w:spacing w:val="-1"/>
        </w:rPr>
        <w:t> </w:t>
      </w:r>
      <w:r>
        <w:rPr/>
        <w:t>to</w:t>
      </w:r>
      <w:r>
        <w:rPr>
          <w:spacing w:val="-1"/>
        </w:rPr>
        <w:t> </w:t>
      </w:r>
      <w:r>
        <w:rPr/>
        <w:t>submit a</w:t>
      </w:r>
      <w:r>
        <w:rPr>
          <w:spacing w:val="-1"/>
        </w:rPr>
        <w:t> </w:t>
      </w:r>
      <w:r>
        <w:rPr/>
        <w:t>complaint regarding</w:t>
      </w:r>
      <w:r>
        <w:rPr>
          <w:spacing w:val="-4"/>
        </w:rPr>
        <w:t> </w:t>
      </w:r>
      <w:r>
        <w:rPr/>
        <w:t>the</w:t>
      </w:r>
      <w:r>
        <w:rPr>
          <w:spacing w:val="-1"/>
        </w:rPr>
        <w:t> </w:t>
      </w:r>
      <w:r>
        <w:rPr/>
        <w:t>collection and use</w:t>
      </w:r>
      <w:r>
        <w:rPr>
          <w:spacing w:val="-1"/>
        </w:rPr>
        <w:t> </w:t>
      </w:r>
      <w:r>
        <w:rPr/>
        <w:t>of</w:t>
      </w:r>
      <w:r>
        <w:rPr>
          <w:spacing w:val="-1"/>
        </w:rPr>
        <w:t> </w:t>
      </w:r>
      <w:r>
        <w:rPr/>
        <w:t>your personal data, please feel free to contact the Data Controller, HR.DDG.B.4, </w:t>
      </w:r>
      <w:hyperlink r:id="rId10">
        <w:r>
          <w:rPr>
            <w:color w:val="0000FF"/>
            <w:u w:val="single" w:color="0000FF"/>
          </w:rPr>
          <w:t>HR-MAIL-</w:t>
        </w:r>
      </w:hyperlink>
      <w:r>
        <w:rPr>
          <w:color w:val="0000FF"/>
          <w:spacing w:val="40"/>
        </w:rPr>
        <w:t> </w:t>
      </w:r>
      <w:hyperlink r:id="rId10">
        <w:r>
          <w:rPr>
            <w:color w:val="0000FF"/>
            <w:spacing w:val="-2"/>
            <w:u w:val="single" w:color="0000FF"/>
          </w:rPr>
          <w:t>B4@ec.europa.eu</w:t>
        </w:r>
        <w:r>
          <w:rPr>
            <w:spacing w:val="-2"/>
          </w:rPr>
          <w:t>.</w:t>
        </w:r>
      </w:hyperlink>
    </w:p>
    <w:p>
      <w:pPr>
        <w:pStyle w:val="BodyText"/>
        <w:spacing w:before="9"/>
      </w:pPr>
    </w:p>
    <w:p>
      <w:pPr>
        <w:pStyle w:val="Heading1"/>
        <w:numPr>
          <w:ilvl w:val="0"/>
          <w:numId w:val="7"/>
        </w:numPr>
        <w:tabs>
          <w:tab w:pos="1081" w:val="left" w:leader="none"/>
        </w:tabs>
        <w:spacing w:line="240" w:lineRule="auto" w:before="0" w:after="0"/>
        <w:ind w:left="1080" w:right="0" w:hanging="284"/>
        <w:jc w:val="both"/>
      </w:pPr>
      <w:r>
        <w:rPr/>
        <w:t>The</w:t>
      </w:r>
      <w:r>
        <w:rPr>
          <w:spacing w:val="-4"/>
        </w:rPr>
        <w:t> </w:t>
      </w:r>
      <w:r>
        <w:rPr/>
        <w:t>Data</w:t>
      </w:r>
      <w:r>
        <w:rPr>
          <w:spacing w:val="-6"/>
        </w:rPr>
        <w:t> </w:t>
      </w:r>
      <w:r>
        <w:rPr/>
        <w:t>Protection</w:t>
      </w:r>
      <w:r>
        <w:rPr>
          <w:spacing w:val="-4"/>
        </w:rPr>
        <w:t> </w:t>
      </w:r>
      <w:r>
        <w:rPr/>
        <w:t>Officer</w:t>
      </w:r>
      <w:r>
        <w:rPr>
          <w:spacing w:val="-3"/>
        </w:rPr>
        <w:t> </w:t>
      </w:r>
      <w:r>
        <w:rPr/>
        <w:t>(DPO)</w:t>
      </w:r>
      <w:r>
        <w:rPr>
          <w:spacing w:val="-3"/>
        </w:rPr>
        <w:t> </w:t>
      </w:r>
      <w:r>
        <w:rPr/>
        <w:t>of</w:t>
      </w:r>
      <w:r>
        <w:rPr>
          <w:spacing w:val="-3"/>
        </w:rPr>
        <w:t> </w:t>
      </w:r>
      <w:r>
        <w:rPr/>
        <w:t>the</w:t>
      </w:r>
      <w:r>
        <w:rPr>
          <w:spacing w:val="-3"/>
        </w:rPr>
        <w:t> </w:t>
      </w:r>
      <w:r>
        <w:rPr>
          <w:spacing w:val="-2"/>
        </w:rPr>
        <w:t>Commission</w:t>
      </w:r>
    </w:p>
    <w:p>
      <w:pPr>
        <w:pStyle w:val="BodyText"/>
        <w:spacing w:before="30"/>
        <w:ind w:left="1080" w:right="280"/>
        <w:jc w:val="both"/>
      </w:pPr>
      <w:r>
        <w:rPr/>
        <w:t>You may contact the Data Protection Officer (</w:t>
      </w:r>
      <w:hyperlink r:id="rId11">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spacing w:before="8"/>
      </w:pPr>
    </w:p>
    <w:p>
      <w:pPr>
        <w:pStyle w:val="Heading1"/>
        <w:numPr>
          <w:ilvl w:val="0"/>
          <w:numId w:val="7"/>
        </w:numPr>
        <w:tabs>
          <w:tab w:pos="1081" w:val="left" w:leader="none"/>
        </w:tabs>
        <w:spacing w:line="240" w:lineRule="auto" w:before="0" w:after="0"/>
        <w:ind w:left="1080" w:right="0" w:hanging="284"/>
        <w:jc w:val="both"/>
      </w:pPr>
      <w:r>
        <w:rPr/>
        <w:t>The</w:t>
      </w:r>
      <w:r>
        <w:rPr>
          <w:spacing w:val="-3"/>
        </w:rPr>
        <w:t> </w:t>
      </w:r>
      <w:r>
        <w:rPr/>
        <w:t>European</w:t>
      </w:r>
      <w:r>
        <w:rPr>
          <w:spacing w:val="-3"/>
        </w:rPr>
        <w:t> </w:t>
      </w:r>
      <w:r>
        <w:rPr/>
        <w:t>Data</w:t>
      </w:r>
      <w:r>
        <w:rPr>
          <w:spacing w:val="-6"/>
        </w:rPr>
        <w:t> </w:t>
      </w:r>
      <w:r>
        <w:rPr/>
        <w:t>Protection</w:t>
      </w:r>
      <w:r>
        <w:rPr>
          <w:spacing w:val="-6"/>
        </w:rPr>
        <w:t> </w:t>
      </w:r>
      <w:r>
        <w:rPr/>
        <w:t>Supervisor</w:t>
      </w:r>
      <w:r>
        <w:rPr>
          <w:spacing w:val="-2"/>
        </w:rPr>
        <w:t> (EDPS)</w:t>
      </w:r>
    </w:p>
    <w:p>
      <w:pPr>
        <w:pStyle w:val="BodyText"/>
        <w:spacing w:before="30"/>
        <w:ind w:left="1080" w:right="283"/>
        <w:jc w:val="both"/>
      </w:pPr>
      <w:r>
        <w:rPr/>
        <w:pict>
          <v:rect style="position:absolute;margin-left:230.330002pt;margin-top:25.689554pt;width:3.72pt;height:.47998pt;mso-position-horizontal-relative:page;mso-position-vertical-relative:paragraph;z-index:-15821312" id="docshape3" filled="true" fillcolor="#000000" stroked="false">
            <v:fill type="solid"/>
            <w10:wrap type="none"/>
          </v:rect>
        </w:pict>
      </w:r>
      <w:r>
        <w:rPr/>
        <w:t>You have the right to have recourse (i.e. you can lodge a complaint) to the European Data Protection Supervisor</w:t>
      </w:r>
      <w:r>
        <w:rPr>
          <w:u w:val="single"/>
        </w:rPr>
        <w:t> (</w:t>
      </w:r>
      <w:hyperlink r:id="rId12">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before="2"/>
        <w:ind w:left="1080"/>
        <w:jc w:val="both"/>
      </w:pPr>
      <w:r>
        <w:rPr/>
        <w:t>To</w:t>
      </w:r>
      <w:r>
        <w:rPr>
          <w:spacing w:val="-6"/>
        </w:rPr>
        <w:t> </w:t>
      </w:r>
      <w:r>
        <w:rPr/>
        <w:t>the</w:t>
      </w:r>
      <w:r>
        <w:rPr>
          <w:spacing w:val="-4"/>
        </w:rPr>
        <w:t> </w:t>
      </w:r>
      <w:r>
        <w:rPr/>
        <w:t>attention</w:t>
      </w:r>
      <w:r>
        <w:rPr>
          <w:spacing w:val="-3"/>
        </w:rPr>
        <w:t> </w:t>
      </w:r>
      <w:r>
        <w:rPr/>
        <w:t>of</w:t>
      </w:r>
      <w:r>
        <w:rPr>
          <w:spacing w:val="-4"/>
        </w:rPr>
        <w:t> </w:t>
      </w:r>
      <w:r>
        <w:rPr/>
        <w:t>candidates</w:t>
      </w:r>
      <w:r>
        <w:rPr>
          <w:spacing w:val="-2"/>
        </w:rPr>
        <w:t> </w:t>
      </w:r>
      <w:r>
        <w:rPr/>
        <w:t>from</w:t>
      </w:r>
      <w:r>
        <w:rPr>
          <w:spacing w:val="-7"/>
        </w:rPr>
        <w:t> </w:t>
      </w:r>
      <w:r>
        <w:rPr/>
        <w:t>third</w:t>
      </w:r>
      <w:r>
        <w:rPr>
          <w:spacing w:val="-5"/>
        </w:rPr>
        <w:t> </w:t>
      </w:r>
      <w:r>
        <w:rPr/>
        <w:t>countries:</w:t>
      </w:r>
      <w:r>
        <w:rPr>
          <w:spacing w:val="-1"/>
        </w:rPr>
        <w:t> </w:t>
      </w:r>
      <w:r>
        <w:rPr/>
        <w:t>your</w:t>
      </w:r>
      <w:r>
        <w:rPr>
          <w:spacing w:val="-3"/>
        </w:rPr>
        <w:t> </w:t>
      </w:r>
      <w:r>
        <w:rPr/>
        <w:t>personal</w:t>
      </w:r>
      <w:r>
        <w:rPr>
          <w:spacing w:val="-1"/>
        </w:rPr>
        <w:t> </w:t>
      </w:r>
      <w:r>
        <w:rPr/>
        <w:t>data</w:t>
      </w:r>
      <w:r>
        <w:rPr>
          <w:spacing w:val="-5"/>
        </w:rPr>
        <w:t> </w:t>
      </w:r>
      <w:r>
        <w:rPr/>
        <w:t>can</w:t>
      </w:r>
      <w:r>
        <w:rPr>
          <w:spacing w:val="-2"/>
        </w:rPr>
        <w:t> </w:t>
      </w:r>
      <w:r>
        <w:rPr/>
        <w:t>be</w:t>
      </w:r>
      <w:r>
        <w:rPr>
          <w:spacing w:val="-2"/>
        </w:rPr>
        <w:t> </w:t>
      </w:r>
      <w:r>
        <w:rPr/>
        <w:t>used</w:t>
      </w:r>
      <w:r>
        <w:rPr>
          <w:spacing w:val="-5"/>
        </w:rPr>
        <w:t> </w:t>
      </w:r>
      <w:r>
        <w:rPr/>
        <w:t>for</w:t>
      </w:r>
      <w:r>
        <w:rPr>
          <w:spacing w:val="-2"/>
        </w:rPr>
        <w:t> </w:t>
      </w:r>
      <w:r>
        <w:rPr/>
        <w:t>necessary</w:t>
      </w:r>
      <w:r>
        <w:rPr>
          <w:spacing w:val="-5"/>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Wingdings 2">
    <w:altName w:val="Wingdings 2"/>
    <w:charset w:val="2"/>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940002pt;margin-top:796.435425pt;width:56.1pt;height:10.95pt;mso-position-horizontal-relative:page;mso-position-vertical-relative:page;z-index:-15821824" type="#_x0000_t202" id="docshape1" filled="false" stroked="false">
          <v:textbox inset="0,0,0,0">
            <w:txbxContent>
              <w:p>
                <w:pPr>
                  <w:spacing w:before="14"/>
                  <w:ind w:left="20" w:right="0" w:firstLine="0"/>
                  <w:jc w:val="left"/>
                  <w:rPr>
                    <w:sz w:val="16"/>
                  </w:rPr>
                </w:pPr>
                <w:r>
                  <w:rPr>
                    <w:sz w:val="16"/>
                  </w:rPr>
                  <w:t>Version</w:t>
                </w:r>
                <w:r>
                  <w:rPr>
                    <w:spacing w:val="-9"/>
                    <w:sz w:val="16"/>
                  </w:rPr>
                  <w:t> </w:t>
                </w:r>
                <w:r>
                  <w:rPr>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26" w:hanging="221"/>
      </w:pPr>
      <w:rPr>
        <w:rFonts w:hint="default" w:ascii="Wingdings" w:hAnsi="Wingdings" w:eastAsia="Wingdings" w:cs="Wingdings"/>
        <w:b w:val="0"/>
        <w:bCs w:val="0"/>
        <w:i w:val="0"/>
        <w:iCs w:val="0"/>
        <w:w w:val="100"/>
        <w:sz w:val="22"/>
        <w:szCs w:val="22"/>
        <w:lang w:val="en-US" w:eastAsia="en-US" w:bidi="ar-SA"/>
      </w:rPr>
    </w:lvl>
    <w:lvl w:ilvl="1">
      <w:start w:val="0"/>
      <w:numFmt w:val="bullet"/>
      <w:lvlText w:val="•"/>
      <w:lvlJc w:val="left"/>
      <w:pPr>
        <w:ind w:left="846" w:hanging="221"/>
      </w:pPr>
      <w:rPr>
        <w:rFonts w:hint="default"/>
        <w:lang w:val="en-US" w:eastAsia="en-US" w:bidi="ar-SA"/>
      </w:rPr>
    </w:lvl>
    <w:lvl w:ilvl="2">
      <w:start w:val="0"/>
      <w:numFmt w:val="bullet"/>
      <w:lvlText w:val="•"/>
      <w:lvlJc w:val="left"/>
      <w:pPr>
        <w:ind w:left="1373" w:hanging="221"/>
      </w:pPr>
      <w:rPr>
        <w:rFonts w:hint="default"/>
        <w:lang w:val="en-US" w:eastAsia="en-US" w:bidi="ar-SA"/>
      </w:rPr>
    </w:lvl>
    <w:lvl w:ilvl="3">
      <w:start w:val="0"/>
      <w:numFmt w:val="bullet"/>
      <w:lvlText w:val="•"/>
      <w:lvlJc w:val="left"/>
      <w:pPr>
        <w:ind w:left="1900" w:hanging="221"/>
      </w:pPr>
      <w:rPr>
        <w:rFonts w:hint="default"/>
        <w:lang w:val="en-US" w:eastAsia="en-US" w:bidi="ar-SA"/>
      </w:rPr>
    </w:lvl>
    <w:lvl w:ilvl="4">
      <w:start w:val="0"/>
      <w:numFmt w:val="bullet"/>
      <w:lvlText w:val="•"/>
      <w:lvlJc w:val="left"/>
      <w:pPr>
        <w:ind w:left="2426" w:hanging="221"/>
      </w:pPr>
      <w:rPr>
        <w:rFonts w:hint="default"/>
        <w:lang w:val="en-US" w:eastAsia="en-US" w:bidi="ar-SA"/>
      </w:rPr>
    </w:lvl>
    <w:lvl w:ilvl="5">
      <w:start w:val="0"/>
      <w:numFmt w:val="bullet"/>
      <w:lvlText w:val="•"/>
      <w:lvlJc w:val="left"/>
      <w:pPr>
        <w:ind w:left="2953" w:hanging="221"/>
      </w:pPr>
      <w:rPr>
        <w:rFonts w:hint="default"/>
        <w:lang w:val="en-US" w:eastAsia="en-US" w:bidi="ar-SA"/>
      </w:rPr>
    </w:lvl>
    <w:lvl w:ilvl="6">
      <w:start w:val="0"/>
      <w:numFmt w:val="bullet"/>
      <w:lvlText w:val="•"/>
      <w:lvlJc w:val="left"/>
      <w:pPr>
        <w:ind w:left="3480" w:hanging="221"/>
      </w:pPr>
      <w:rPr>
        <w:rFonts w:hint="default"/>
        <w:lang w:val="en-US" w:eastAsia="en-US" w:bidi="ar-SA"/>
      </w:rPr>
    </w:lvl>
    <w:lvl w:ilvl="7">
      <w:start w:val="0"/>
      <w:numFmt w:val="bullet"/>
      <w:lvlText w:val="•"/>
      <w:lvlJc w:val="left"/>
      <w:pPr>
        <w:ind w:left="4006" w:hanging="221"/>
      </w:pPr>
      <w:rPr>
        <w:rFonts w:hint="default"/>
        <w:lang w:val="en-US" w:eastAsia="en-US" w:bidi="ar-SA"/>
      </w:rPr>
    </w:lvl>
    <w:lvl w:ilvl="8">
      <w:start w:val="0"/>
      <w:numFmt w:val="bullet"/>
      <w:lvlText w:val="•"/>
      <w:lvlJc w:val="left"/>
      <w:pPr>
        <w:ind w:left="4533" w:hanging="221"/>
      </w:pPr>
      <w:rPr>
        <w:rFonts w:hint="default"/>
        <w:lang w:val="en-US" w:eastAsia="en-US" w:bidi="ar-SA"/>
      </w:rPr>
    </w:lvl>
  </w:abstractNum>
  <w:abstractNum w:abstractNumId="6">
    <w:multiLevelType w:val="hybridMultilevel"/>
    <w:lvl w:ilvl="0">
      <w:start w:val="0"/>
      <w:numFmt w:val="bullet"/>
      <w:lvlText w:val="-"/>
      <w:lvlJc w:val="left"/>
      <w:pPr>
        <w:ind w:left="1080" w:hanging="281"/>
      </w:pPr>
      <w:rPr>
        <w:rFonts w:hint="default" w:ascii="Verdana" w:hAnsi="Verdana" w:eastAsia="Verdana" w:cs="Verdana"/>
        <w:b w:val="0"/>
        <w:bCs w:val="0"/>
        <w:i w:val="0"/>
        <w:iCs w:val="0"/>
        <w:w w:val="100"/>
        <w:sz w:val="22"/>
        <w:szCs w:val="22"/>
        <w:lang w:val="en-US" w:eastAsia="en-US" w:bidi="ar-SA"/>
      </w:rPr>
    </w:lvl>
    <w:lvl w:ilvl="1">
      <w:start w:val="0"/>
      <w:numFmt w:val="bullet"/>
      <w:lvlText w:val="•"/>
      <w:lvlJc w:val="left"/>
      <w:pPr>
        <w:ind w:left="2040" w:hanging="281"/>
      </w:pPr>
      <w:rPr>
        <w:rFonts w:hint="default"/>
        <w:lang w:val="en-US" w:eastAsia="en-US" w:bidi="ar-SA"/>
      </w:rPr>
    </w:lvl>
    <w:lvl w:ilvl="2">
      <w:start w:val="0"/>
      <w:numFmt w:val="bullet"/>
      <w:lvlText w:val="•"/>
      <w:lvlJc w:val="left"/>
      <w:pPr>
        <w:ind w:left="3001" w:hanging="281"/>
      </w:pPr>
      <w:rPr>
        <w:rFonts w:hint="default"/>
        <w:lang w:val="en-US" w:eastAsia="en-US" w:bidi="ar-SA"/>
      </w:rPr>
    </w:lvl>
    <w:lvl w:ilvl="3">
      <w:start w:val="0"/>
      <w:numFmt w:val="bullet"/>
      <w:lvlText w:val="•"/>
      <w:lvlJc w:val="left"/>
      <w:pPr>
        <w:ind w:left="3961" w:hanging="281"/>
      </w:pPr>
      <w:rPr>
        <w:rFonts w:hint="default"/>
        <w:lang w:val="en-US" w:eastAsia="en-US" w:bidi="ar-SA"/>
      </w:rPr>
    </w:lvl>
    <w:lvl w:ilvl="4">
      <w:start w:val="0"/>
      <w:numFmt w:val="bullet"/>
      <w:lvlText w:val="•"/>
      <w:lvlJc w:val="left"/>
      <w:pPr>
        <w:ind w:left="4922" w:hanging="281"/>
      </w:pPr>
      <w:rPr>
        <w:rFonts w:hint="default"/>
        <w:lang w:val="en-US" w:eastAsia="en-US" w:bidi="ar-SA"/>
      </w:rPr>
    </w:lvl>
    <w:lvl w:ilvl="5">
      <w:start w:val="0"/>
      <w:numFmt w:val="bullet"/>
      <w:lvlText w:val="•"/>
      <w:lvlJc w:val="left"/>
      <w:pPr>
        <w:ind w:left="5883" w:hanging="281"/>
      </w:pPr>
      <w:rPr>
        <w:rFonts w:hint="default"/>
        <w:lang w:val="en-US" w:eastAsia="en-US" w:bidi="ar-SA"/>
      </w:rPr>
    </w:lvl>
    <w:lvl w:ilvl="6">
      <w:start w:val="0"/>
      <w:numFmt w:val="bullet"/>
      <w:lvlText w:val="•"/>
      <w:lvlJc w:val="left"/>
      <w:pPr>
        <w:ind w:left="6843" w:hanging="281"/>
      </w:pPr>
      <w:rPr>
        <w:rFonts w:hint="default"/>
        <w:lang w:val="en-US" w:eastAsia="en-US" w:bidi="ar-SA"/>
      </w:rPr>
    </w:lvl>
    <w:lvl w:ilvl="7">
      <w:start w:val="0"/>
      <w:numFmt w:val="bullet"/>
      <w:lvlText w:val="•"/>
      <w:lvlJc w:val="left"/>
      <w:pPr>
        <w:ind w:left="7804" w:hanging="281"/>
      </w:pPr>
      <w:rPr>
        <w:rFonts w:hint="default"/>
        <w:lang w:val="en-US" w:eastAsia="en-US" w:bidi="ar-SA"/>
      </w:rPr>
    </w:lvl>
    <w:lvl w:ilvl="8">
      <w:start w:val="0"/>
      <w:numFmt w:val="bullet"/>
      <w:lvlText w:val="•"/>
      <w:lvlJc w:val="left"/>
      <w:pPr>
        <w:ind w:left="8765" w:hanging="281"/>
      </w:pPr>
      <w:rPr>
        <w:rFonts w:hint="default"/>
        <w:lang w:val="en-US" w:eastAsia="en-US" w:bidi="ar-SA"/>
      </w:rPr>
    </w:lvl>
  </w:abstractNum>
  <w:abstractNum w:abstractNumId="5">
    <w:multiLevelType w:val="hybridMultilevel"/>
    <w:lvl w:ilvl="0">
      <w:start w:val="0"/>
      <w:numFmt w:val="bullet"/>
      <w:lvlText w:val="-"/>
      <w:lvlJc w:val="left"/>
      <w:pPr>
        <w:ind w:left="1205" w:hanging="125"/>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2148" w:hanging="125"/>
      </w:pPr>
      <w:rPr>
        <w:rFonts w:hint="default"/>
        <w:lang w:val="en-US" w:eastAsia="en-US" w:bidi="ar-SA"/>
      </w:rPr>
    </w:lvl>
    <w:lvl w:ilvl="2">
      <w:start w:val="0"/>
      <w:numFmt w:val="bullet"/>
      <w:lvlText w:val="•"/>
      <w:lvlJc w:val="left"/>
      <w:pPr>
        <w:ind w:left="3097" w:hanging="125"/>
      </w:pPr>
      <w:rPr>
        <w:rFonts w:hint="default"/>
        <w:lang w:val="en-US" w:eastAsia="en-US" w:bidi="ar-SA"/>
      </w:rPr>
    </w:lvl>
    <w:lvl w:ilvl="3">
      <w:start w:val="0"/>
      <w:numFmt w:val="bullet"/>
      <w:lvlText w:val="•"/>
      <w:lvlJc w:val="left"/>
      <w:pPr>
        <w:ind w:left="4045" w:hanging="125"/>
      </w:pPr>
      <w:rPr>
        <w:rFonts w:hint="default"/>
        <w:lang w:val="en-US" w:eastAsia="en-US" w:bidi="ar-SA"/>
      </w:rPr>
    </w:lvl>
    <w:lvl w:ilvl="4">
      <w:start w:val="0"/>
      <w:numFmt w:val="bullet"/>
      <w:lvlText w:val="•"/>
      <w:lvlJc w:val="left"/>
      <w:pPr>
        <w:ind w:left="4994" w:hanging="125"/>
      </w:pPr>
      <w:rPr>
        <w:rFonts w:hint="default"/>
        <w:lang w:val="en-US" w:eastAsia="en-US" w:bidi="ar-SA"/>
      </w:rPr>
    </w:lvl>
    <w:lvl w:ilvl="5">
      <w:start w:val="0"/>
      <w:numFmt w:val="bullet"/>
      <w:lvlText w:val="•"/>
      <w:lvlJc w:val="left"/>
      <w:pPr>
        <w:ind w:left="5943" w:hanging="125"/>
      </w:pPr>
      <w:rPr>
        <w:rFonts w:hint="default"/>
        <w:lang w:val="en-US" w:eastAsia="en-US" w:bidi="ar-SA"/>
      </w:rPr>
    </w:lvl>
    <w:lvl w:ilvl="6">
      <w:start w:val="0"/>
      <w:numFmt w:val="bullet"/>
      <w:lvlText w:val="•"/>
      <w:lvlJc w:val="left"/>
      <w:pPr>
        <w:ind w:left="6891" w:hanging="125"/>
      </w:pPr>
      <w:rPr>
        <w:rFonts w:hint="default"/>
        <w:lang w:val="en-US" w:eastAsia="en-US" w:bidi="ar-SA"/>
      </w:rPr>
    </w:lvl>
    <w:lvl w:ilvl="7">
      <w:start w:val="0"/>
      <w:numFmt w:val="bullet"/>
      <w:lvlText w:val="•"/>
      <w:lvlJc w:val="left"/>
      <w:pPr>
        <w:ind w:left="7840" w:hanging="125"/>
      </w:pPr>
      <w:rPr>
        <w:rFonts w:hint="default"/>
        <w:lang w:val="en-US" w:eastAsia="en-US" w:bidi="ar-SA"/>
      </w:rPr>
    </w:lvl>
    <w:lvl w:ilvl="8">
      <w:start w:val="0"/>
      <w:numFmt w:val="bullet"/>
      <w:lvlText w:val="•"/>
      <w:lvlJc w:val="left"/>
      <w:pPr>
        <w:ind w:left="8789" w:hanging="125"/>
      </w:pPr>
      <w:rPr>
        <w:rFonts w:hint="default"/>
        <w:lang w:val="en-US" w:eastAsia="en-US" w:bidi="ar-SA"/>
      </w:rPr>
    </w:lvl>
  </w:abstractNum>
  <w:abstractNum w:abstractNumId="4">
    <w:multiLevelType w:val="hybridMultilevel"/>
    <w:lvl w:ilvl="0">
      <w:start w:val="0"/>
      <w:numFmt w:val="bullet"/>
      <w:lvlText w:val="-"/>
      <w:lvlJc w:val="left"/>
      <w:pPr>
        <w:ind w:left="1519" w:hanging="360"/>
      </w:pPr>
      <w:rPr>
        <w:rFonts w:hint="default" w:ascii="Times New Roman" w:hAnsi="Times New Roman" w:eastAsia="Times New Roman" w:cs="Times New Roman"/>
        <w:b w:val="0"/>
        <w:bCs w:val="0"/>
        <w:i w:val="0"/>
        <w:iCs w:val="0"/>
        <w:w w:val="100"/>
        <w:sz w:val="22"/>
        <w:szCs w:val="22"/>
        <w:lang w:val="en-US" w:eastAsia="en-US" w:bidi="ar-SA"/>
      </w:rPr>
    </w:lvl>
    <w:lvl w:ilvl="1">
      <w:start w:val="0"/>
      <w:numFmt w:val="bullet"/>
      <w:lvlText w:val="•"/>
      <w:lvlJc w:val="left"/>
      <w:pPr>
        <w:ind w:left="2436" w:hanging="360"/>
      </w:pPr>
      <w:rPr>
        <w:rFonts w:hint="default"/>
        <w:lang w:val="en-US" w:eastAsia="en-US" w:bidi="ar-SA"/>
      </w:rPr>
    </w:lvl>
    <w:lvl w:ilvl="2">
      <w:start w:val="0"/>
      <w:numFmt w:val="bullet"/>
      <w:lvlText w:val="•"/>
      <w:lvlJc w:val="left"/>
      <w:pPr>
        <w:ind w:left="3353" w:hanging="360"/>
      </w:pPr>
      <w:rPr>
        <w:rFonts w:hint="default"/>
        <w:lang w:val="en-US" w:eastAsia="en-US" w:bidi="ar-SA"/>
      </w:rPr>
    </w:lvl>
    <w:lvl w:ilvl="3">
      <w:start w:val="0"/>
      <w:numFmt w:val="bullet"/>
      <w:lvlText w:val="•"/>
      <w:lvlJc w:val="left"/>
      <w:pPr>
        <w:ind w:left="4269" w:hanging="360"/>
      </w:pPr>
      <w:rPr>
        <w:rFonts w:hint="default"/>
        <w:lang w:val="en-US" w:eastAsia="en-US" w:bidi="ar-SA"/>
      </w:rPr>
    </w:lvl>
    <w:lvl w:ilvl="4">
      <w:start w:val="0"/>
      <w:numFmt w:val="bullet"/>
      <w:lvlText w:val="•"/>
      <w:lvlJc w:val="left"/>
      <w:pPr>
        <w:ind w:left="5186" w:hanging="360"/>
      </w:pPr>
      <w:rPr>
        <w:rFonts w:hint="default"/>
        <w:lang w:val="en-US" w:eastAsia="en-US" w:bidi="ar-SA"/>
      </w:rPr>
    </w:lvl>
    <w:lvl w:ilvl="5">
      <w:start w:val="0"/>
      <w:numFmt w:val="bullet"/>
      <w:lvlText w:val="•"/>
      <w:lvlJc w:val="left"/>
      <w:pPr>
        <w:ind w:left="6103" w:hanging="360"/>
      </w:pPr>
      <w:rPr>
        <w:rFonts w:hint="default"/>
        <w:lang w:val="en-US" w:eastAsia="en-US" w:bidi="ar-SA"/>
      </w:rPr>
    </w:lvl>
    <w:lvl w:ilvl="6">
      <w:start w:val="0"/>
      <w:numFmt w:val="bullet"/>
      <w:lvlText w:val="•"/>
      <w:lvlJc w:val="left"/>
      <w:pPr>
        <w:ind w:left="7019" w:hanging="360"/>
      </w:pPr>
      <w:rPr>
        <w:rFonts w:hint="default"/>
        <w:lang w:val="en-US" w:eastAsia="en-US" w:bidi="ar-SA"/>
      </w:rPr>
    </w:lvl>
    <w:lvl w:ilvl="7">
      <w:start w:val="0"/>
      <w:numFmt w:val="bullet"/>
      <w:lvlText w:val="•"/>
      <w:lvlJc w:val="left"/>
      <w:pPr>
        <w:ind w:left="7936" w:hanging="360"/>
      </w:pPr>
      <w:rPr>
        <w:rFonts w:hint="default"/>
        <w:lang w:val="en-US" w:eastAsia="en-US" w:bidi="ar-SA"/>
      </w:rPr>
    </w:lvl>
    <w:lvl w:ilvl="8">
      <w:start w:val="0"/>
      <w:numFmt w:val="bullet"/>
      <w:lvlText w:val="•"/>
      <w:lvlJc w:val="left"/>
      <w:pPr>
        <w:ind w:left="8853" w:hanging="360"/>
      </w:pPr>
      <w:rPr>
        <w:rFonts w:hint="default"/>
        <w:lang w:val="en-US" w:eastAsia="en-US" w:bidi="ar-SA"/>
      </w:rPr>
    </w:lvl>
  </w:abstractNum>
  <w:abstractNum w:abstractNumId="2">
    <w:multiLevelType w:val="hybridMultilevel"/>
    <w:lvl w:ilvl="0">
      <w:start w:val="0"/>
      <w:numFmt w:val="bullet"/>
      <w:lvlText w:val=""/>
      <w:lvlJc w:val="left"/>
      <w:pPr>
        <w:ind w:left="561" w:hanging="457"/>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89" w:hanging="276"/>
      </w:pPr>
      <w:rPr>
        <w:rFonts w:hint="default" w:ascii="Wingdings 2" w:hAnsi="Wingdings 2" w:eastAsia="Wingdings 2" w:cs="Wingdings 2"/>
        <w:b/>
        <w:bCs/>
        <w:i w:val="0"/>
        <w:iCs w:val="0"/>
        <w:w w:val="99"/>
        <w:sz w:val="24"/>
        <w:szCs w:val="24"/>
        <w:lang w:val="en-US" w:eastAsia="en-US" w:bidi="ar-SA"/>
      </w:rPr>
    </w:lvl>
    <w:lvl w:ilvl="2">
      <w:start w:val="0"/>
      <w:numFmt w:val="bullet"/>
      <w:lvlText w:val="•"/>
      <w:lvlJc w:val="left"/>
      <w:pPr>
        <w:ind w:left="2065" w:hanging="276"/>
      </w:pPr>
      <w:rPr>
        <w:rFonts w:hint="default"/>
        <w:lang w:val="en-US" w:eastAsia="en-US" w:bidi="ar-SA"/>
      </w:rPr>
    </w:lvl>
    <w:lvl w:ilvl="3">
      <w:start w:val="0"/>
      <w:numFmt w:val="bullet"/>
      <w:lvlText w:val="•"/>
      <w:lvlJc w:val="left"/>
      <w:pPr>
        <w:ind w:left="3050" w:hanging="276"/>
      </w:pPr>
      <w:rPr>
        <w:rFonts w:hint="default"/>
        <w:lang w:val="en-US" w:eastAsia="en-US" w:bidi="ar-SA"/>
      </w:rPr>
    </w:lvl>
    <w:lvl w:ilvl="4">
      <w:start w:val="0"/>
      <w:numFmt w:val="bullet"/>
      <w:lvlText w:val="•"/>
      <w:lvlJc w:val="left"/>
      <w:pPr>
        <w:ind w:left="4035" w:hanging="276"/>
      </w:pPr>
      <w:rPr>
        <w:rFonts w:hint="default"/>
        <w:lang w:val="en-US" w:eastAsia="en-US" w:bidi="ar-SA"/>
      </w:rPr>
    </w:lvl>
    <w:lvl w:ilvl="5">
      <w:start w:val="0"/>
      <w:numFmt w:val="bullet"/>
      <w:lvlText w:val="•"/>
      <w:lvlJc w:val="left"/>
      <w:pPr>
        <w:ind w:left="5020" w:hanging="276"/>
      </w:pPr>
      <w:rPr>
        <w:rFonts w:hint="default"/>
        <w:lang w:val="en-US" w:eastAsia="en-US" w:bidi="ar-SA"/>
      </w:rPr>
    </w:lvl>
    <w:lvl w:ilvl="6">
      <w:start w:val="0"/>
      <w:numFmt w:val="bullet"/>
      <w:lvlText w:val="•"/>
      <w:lvlJc w:val="left"/>
      <w:pPr>
        <w:ind w:left="6005" w:hanging="276"/>
      </w:pPr>
      <w:rPr>
        <w:rFonts w:hint="default"/>
        <w:lang w:val="en-US" w:eastAsia="en-US" w:bidi="ar-SA"/>
      </w:rPr>
    </w:lvl>
    <w:lvl w:ilvl="7">
      <w:start w:val="0"/>
      <w:numFmt w:val="bullet"/>
      <w:lvlText w:val="•"/>
      <w:lvlJc w:val="left"/>
      <w:pPr>
        <w:ind w:left="6990" w:hanging="276"/>
      </w:pPr>
      <w:rPr>
        <w:rFonts w:hint="default"/>
        <w:lang w:val="en-US" w:eastAsia="en-US" w:bidi="ar-SA"/>
      </w:rPr>
    </w:lvl>
    <w:lvl w:ilvl="8">
      <w:start w:val="0"/>
      <w:numFmt w:val="bullet"/>
      <w:lvlText w:val="•"/>
      <w:lvlJc w:val="left"/>
      <w:pPr>
        <w:ind w:left="7975" w:hanging="276"/>
      </w:pPr>
      <w:rPr>
        <w:rFonts w:hint="default"/>
        <w:lang w:val="en-US" w:eastAsia="en-US" w:bidi="ar-SA"/>
      </w:rPr>
    </w:lvl>
  </w:abstractNum>
  <w:abstractNum w:abstractNumId="1">
    <w:multiLevelType w:val="hybridMultilevel"/>
    <w:lvl w:ilvl="0">
      <w:start w:val="0"/>
      <w:numFmt w:val="bullet"/>
      <w:lvlText w:val=""/>
      <w:lvlJc w:val="left"/>
      <w:pPr>
        <w:ind w:left="379" w:hanging="274"/>
      </w:pPr>
      <w:rPr>
        <w:rFonts w:hint="default" w:ascii="Wingdings 2" w:hAnsi="Wingdings 2" w:eastAsia="Wingdings 2" w:cs="Wingdings 2"/>
        <w:b w:val="0"/>
        <w:bCs w:val="0"/>
        <w:i w:val="0"/>
        <w:iCs w:val="0"/>
        <w:w w:val="100"/>
        <w:sz w:val="24"/>
        <w:szCs w:val="24"/>
        <w:lang w:val="en-US" w:eastAsia="en-US" w:bidi="ar-SA"/>
      </w:rPr>
    </w:lvl>
    <w:lvl w:ilvl="1">
      <w:start w:val="0"/>
      <w:numFmt w:val="bullet"/>
      <w:lvlText w:val="•"/>
      <w:lvlJc w:val="left"/>
      <w:pPr>
        <w:ind w:left="900" w:hanging="274"/>
      </w:pPr>
      <w:rPr>
        <w:rFonts w:hint="default"/>
        <w:lang w:val="en-US" w:eastAsia="en-US" w:bidi="ar-SA"/>
      </w:rPr>
    </w:lvl>
    <w:lvl w:ilvl="2">
      <w:start w:val="0"/>
      <w:numFmt w:val="bullet"/>
      <w:lvlText w:val="•"/>
      <w:lvlJc w:val="left"/>
      <w:pPr>
        <w:ind w:left="1421" w:hanging="274"/>
      </w:pPr>
      <w:rPr>
        <w:rFonts w:hint="default"/>
        <w:lang w:val="en-US" w:eastAsia="en-US" w:bidi="ar-SA"/>
      </w:rPr>
    </w:lvl>
    <w:lvl w:ilvl="3">
      <w:start w:val="0"/>
      <w:numFmt w:val="bullet"/>
      <w:lvlText w:val="•"/>
      <w:lvlJc w:val="left"/>
      <w:pPr>
        <w:ind w:left="1942" w:hanging="274"/>
      </w:pPr>
      <w:rPr>
        <w:rFonts w:hint="default"/>
        <w:lang w:val="en-US" w:eastAsia="en-US" w:bidi="ar-SA"/>
      </w:rPr>
    </w:lvl>
    <w:lvl w:ilvl="4">
      <w:start w:val="0"/>
      <w:numFmt w:val="bullet"/>
      <w:lvlText w:val="•"/>
      <w:lvlJc w:val="left"/>
      <w:pPr>
        <w:ind w:left="2462" w:hanging="274"/>
      </w:pPr>
      <w:rPr>
        <w:rFonts w:hint="default"/>
        <w:lang w:val="en-US" w:eastAsia="en-US" w:bidi="ar-SA"/>
      </w:rPr>
    </w:lvl>
    <w:lvl w:ilvl="5">
      <w:start w:val="0"/>
      <w:numFmt w:val="bullet"/>
      <w:lvlText w:val="•"/>
      <w:lvlJc w:val="left"/>
      <w:pPr>
        <w:ind w:left="2983" w:hanging="274"/>
      </w:pPr>
      <w:rPr>
        <w:rFonts w:hint="default"/>
        <w:lang w:val="en-US" w:eastAsia="en-US" w:bidi="ar-SA"/>
      </w:rPr>
    </w:lvl>
    <w:lvl w:ilvl="6">
      <w:start w:val="0"/>
      <w:numFmt w:val="bullet"/>
      <w:lvlText w:val="•"/>
      <w:lvlJc w:val="left"/>
      <w:pPr>
        <w:ind w:left="3504" w:hanging="274"/>
      </w:pPr>
      <w:rPr>
        <w:rFonts w:hint="default"/>
        <w:lang w:val="en-US" w:eastAsia="en-US" w:bidi="ar-SA"/>
      </w:rPr>
    </w:lvl>
    <w:lvl w:ilvl="7">
      <w:start w:val="0"/>
      <w:numFmt w:val="bullet"/>
      <w:lvlText w:val="•"/>
      <w:lvlJc w:val="left"/>
      <w:pPr>
        <w:ind w:left="4024" w:hanging="274"/>
      </w:pPr>
      <w:rPr>
        <w:rFonts w:hint="default"/>
        <w:lang w:val="en-US" w:eastAsia="en-US" w:bidi="ar-SA"/>
      </w:rPr>
    </w:lvl>
    <w:lvl w:ilvl="8">
      <w:start w:val="0"/>
      <w:numFmt w:val="bullet"/>
      <w:lvlText w:val="•"/>
      <w:lvlJc w:val="left"/>
      <w:pPr>
        <w:ind w:left="4545" w:hanging="274"/>
      </w:pPr>
      <w:rPr>
        <w:rFonts w:hint="default"/>
        <w:lang w:val="en-US" w:eastAsia="en-US" w:bidi="ar-SA"/>
      </w:rPr>
    </w:lvl>
  </w:abstractNum>
  <w:abstractNum w:abstractNumId="3">
    <w:multiLevelType w:val="hybridMultilevel"/>
    <w:lvl w:ilvl="0">
      <w:start w:val="1"/>
      <w:numFmt w:val="decimal"/>
      <w:lvlText w:val="%1."/>
      <w:lvlJc w:val="left"/>
      <w:pPr>
        <w:ind w:left="799" w:hanging="428"/>
        <w:jc w:val="left"/>
      </w:pPr>
      <w:rPr>
        <w:rFonts w:hint="default" w:ascii="Times New Roman" w:hAnsi="Times New Roman" w:eastAsia="Times New Roman" w:cs="Times New Roman"/>
        <w:b/>
        <w:bCs/>
        <w:i w:val="0"/>
        <w:iCs w:val="0"/>
        <w:w w:val="100"/>
        <w:sz w:val="24"/>
        <w:szCs w:val="24"/>
        <w:lang w:val="en-US" w:eastAsia="en-US" w:bidi="ar-SA"/>
      </w:rPr>
    </w:lvl>
    <w:lvl w:ilvl="1">
      <w:start w:val="1"/>
      <w:numFmt w:val="lowerLetter"/>
      <w:lvlText w:val="%2)"/>
      <w:lvlJc w:val="left"/>
      <w:pPr>
        <w:ind w:left="1039" w:hanging="240"/>
        <w:jc w:val="left"/>
      </w:pPr>
      <w:rPr>
        <w:rFonts w:hint="default" w:ascii="Times New Roman" w:hAnsi="Times New Roman" w:eastAsia="Times New Roman" w:cs="Times New Roman"/>
        <w:b/>
        <w:bCs/>
        <w:i w:val="0"/>
        <w:iCs w:val="0"/>
        <w:w w:val="100"/>
        <w:sz w:val="22"/>
        <w:szCs w:val="22"/>
        <w:lang w:val="en-US" w:eastAsia="en-US" w:bidi="ar-SA"/>
      </w:rPr>
    </w:lvl>
    <w:lvl w:ilvl="2">
      <w:start w:val="0"/>
      <w:numFmt w:val="bullet"/>
      <w:lvlText w:val="•"/>
      <w:lvlJc w:val="left"/>
      <w:pPr>
        <w:ind w:left="1080" w:hanging="281"/>
      </w:pPr>
      <w:rPr>
        <w:rFonts w:hint="default" w:ascii="Times New Roman" w:hAnsi="Times New Roman" w:eastAsia="Times New Roman" w:cs="Times New Roman"/>
        <w:b w:val="0"/>
        <w:bCs w:val="0"/>
        <w:i w:val="0"/>
        <w:iCs w:val="0"/>
        <w:w w:val="100"/>
        <w:sz w:val="22"/>
        <w:szCs w:val="22"/>
        <w:lang w:val="en-US" w:eastAsia="en-US" w:bidi="ar-SA"/>
      </w:rPr>
    </w:lvl>
    <w:lvl w:ilvl="3">
      <w:start w:val="0"/>
      <w:numFmt w:val="bullet"/>
      <w:lvlText w:val="•"/>
      <w:lvlJc w:val="left"/>
      <w:pPr>
        <w:ind w:left="2280" w:hanging="281"/>
      </w:pPr>
      <w:rPr>
        <w:rFonts w:hint="default"/>
        <w:lang w:val="en-US" w:eastAsia="en-US" w:bidi="ar-SA"/>
      </w:rPr>
    </w:lvl>
    <w:lvl w:ilvl="4">
      <w:start w:val="0"/>
      <w:numFmt w:val="bullet"/>
      <w:lvlText w:val="•"/>
      <w:lvlJc w:val="left"/>
      <w:pPr>
        <w:ind w:left="3481" w:hanging="281"/>
      </w:pPr>
      <w:rPr>
        <w:rFonts w:hint="default"/>
        <w:lang w:val="en-US" w:eastAsia="en-US" w:bidi="ar-SA"/>
      </w:rPr>
    </w:lvl>
    <w:lvl w:ilvl="5">
      <w:start w:val="0"/>
      <w:numFmt w:val="bullet"/>
      <w:lvlText w:val="•"/>
      <w:lvlJc w:val="left"/>
      <w:pPr>
        <w:ind w:left="4682" w:hanging="281"/>
      </w:pPr>
      <w:rPr>
        <w:rFonts w:hint="default"/>
        <w:lang w:val="en-US" w:eastAsia="en-US" w:bidi="ar-SA"/>
      </w:rPr>
    </w:lvl>
    <w:lvl w:ilvl="6">
      <w:start w:val="0"/>
      <w:numFmt w:val="bullet"/>
      <w:lvlText w:val="•"/>
      <w:lvlJc w:val="left"/>
      <w:pPr>
        <w:ind w:left="5883" w:hanging="281"/>
      </w:pPr>
      <w:rPr>
        <w:rFonts w:hint="default"/>
        <w:lang w:val="en-US" w:eastAsia="en-US" w:bidi="ar-SA"/>
      </w:rPr>
    </w:lvl>
    <w:lvl w:ilvl="7">
      <w:start w:val="0"/>
      <w:numFmt w:val="bullet"/>
      <w:lvlText w:val="•"/>
      <w:lvlJc w:val="left"/>
      <w:pPr>
        <w:ind w:left="7084" w:hanging="281"/>
      </w:pPr>
      <w:rPr>
        <w:rFonts w:hint="default"/>
        <w:lang w:val="en-US" w:eastAsia="en-US" w:bidi="ar-SA"/>
      </w:rPr>
    </w:lvl>
    <w:lvl w:ilvl="8">
      <w:start w:val="0"/>
      <w:numFmt w:val="bullet"/>
      <w:lvlText w:val="•"/>
      <w:lvlJc w:val="left"/>
      <w:pPr>
        <w:ind w:left="8284" w:hanging="281"/>
      </w:pPr>
      <w:rPr>
        <w:rFonts w:hint="default"/>
        <w:lang w:val="en-US" w:eastAsia="en-US" w:bidi="ar-SA"/>
      </w:rPr>
    </w:lvl>
  </w:abstractNum>
  <w:num w:numId="1">
    <w:abstractNumId w:val="0"/>
  </w:num>
  <w:num w:numId="7">
    <w:abstractNumId w:val="6"/>
  </w:num>
  <w:num w:numId="6">
    <w:abstractNumId w:val="5"/>
  </w:num>
  <w:num w:numId="5">
    <w:abstractNumId w:val="4"/>
  </w:num>
  <w:num w:numId="3">
    <w:abstractNumId w:val="2"/>
  </w:num>
  <w:num w:numId="2">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0" w:hanging="284"/>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80" w:hanging="42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gelu.calacean@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http://ec.europa.eu/civil_service/job/sne/index_en.htm" TargetMode="External"/><Relationship Id="rId10" Type="http://schemas.openxmlformats.org/officeDocument/2006/relationships/hyperlink" Target="mailto:HR-MAIL-B4@ec.europa.eu" TargetMode="External"/><Relationship Id="rId11" Type="http://schemas.openxmlformats.org/officeDocument/2006/relationships/hyperlink" Target="mailto:DATA-PROTECTION-OFFICER@ec.europa.eu" TargetMode="External"/><Relationship Id="rId12" Type="http://schemas.openxmlformats.org/officeDocument/2006/relationships/hyperlink" Target="mailto:edps@edps.europa.e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2023-03-15T15:24:37Z</dcterms:created>
  <dcterms:modified xsi:type="dcterms:W3CDTF">2023-03-15T15:24:37Z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LastSaved">
    <vt:filetime>2023-03-15T00:00:00Z</vt:filetime>
  </property>
</Properties>
</file>