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7"/>
        <w:rPr>
          <w:sz w:val="19"/>
        </w:rPr>
      </w:pPr>
    </w:p>
    <w:p>
      <w:pPr>
        <w:spacing w:before="90"/>
        <w:ind w:left="1296" w:right="282" w:firstLine="0"/>
        <w:jc w:val="center"/>
        <w:rPr>
          <w:b/>
          <w:sz w:val="24"/>
        </w:rPr>
      </w:pPr>
      <w:r>
        <w:rPr/>
        <w:drawing>
          <wp:anchor distT="0" distB="0" distL="0" distR="0" allowOverlap="1" layoutInCell="1" locked="0" behindDoc="0" simplePos="0" relativeHeight="15729152">
            <wp:simplePos x="0" y="0"/>
            <wp:positionH relativeFrom="page">
              <wp:posOffset>368934</wp:posOffset>
            </wp:positionH>
            <wp:positionV relativeFrom="paragraph">
              <wp:posOffset>-292314</wp:posOffset>
            </wp:positionV>
            <wp:extent cx="1371600" cy="67627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anchor>
        </w:drawing>
      </w:r>
      <w:r>
        <w:rPr>
          <w:b/>
          <w:sz w:val="24"/>
        </w:rPr>
        <w:t>VACANCY</w:t>
      </w:r>
      <w:r>
        <w:rPr>
          <w:b/>
          <w:spacing w:val="-14"/>
          <w:sz w:val="24"/>
        </w:rPr>
        <w:t> </w:t>
      </w:r>
      <w:r>
        <w:rPr>
          <w:b/>
          <w:spacing w:val="-2"/>
          <w:sz w:val="24"/>
        </w:rPr>
        <w:t>NOTICE</w:t>
      </w:r>
    </w:p>
    <w:p>
      <w:pPr>
        <w:pStyle w:val="BodyText"/>
        <w:spacing w:before="2"/>
        <w:rPr>
          <w:b/>
          <w:sz w:val="16"/>
        </w:rPr>
      </w:pPr>
    </w:p>
    <w:p>
      <w:pPr>
        <w:spacing w:before="9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12"/>
        <w:gridCol w:w="3086"/>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8" w:type="dxa"/>
            <w:gridSpan w:val="2"/>
          </w:tcPr>
          <w:p>
            <w:pPr>
              <w:pStyle w:val="TableParagraph"/>
              <w:spacing w:before="167"/>
              <w:ind w:left="108"/>
              <w:rPr>
                <w:b/>
                <w:sz w:val="24"/>
              </w:rPr>
            </w:pPr>
            <w:r>
              <w:rPr>
                <w:b/>
                <w:spacing w:val="-2"/>
                <w:sz w:val="24"/>
              </w:rPr>
              <w:t>RTD-G-</w:t>
            </w:r>
            <w:r>
              <w:rPr>
                <w:b/>
                <w:spacing w:val="-10"/>
                <w:sz w:val="24"/>
              </w:rPr>
              <w:t>1</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2"/>
                <w:sz w:val="22"/>
              </w:rPr>
              <w:t> </w:t>
            </w:r>
            <w:r>
              <w:rPr>
                <w:b/>
                <w:sz w:val="22"/>
              </w:rPr>
              <w:t>of</w:t>
            </w:r>
            <w:r>
              <w:rPr>
                <w:b/>
                <w:spacing w:val="-1"/>
                <w:sz w:val="22"/>
              </w:rPr>
              <w:t> </w:t>
            </w:r>
            <w:r>
              <w:rPr>
                <w:b/>
                <w:spacing w:val="-2"/>
                <w:sz w:val="22"/>
              </w:rPr>
              <w:t>Unit:</w:t>
            </w:r>
          </w:p>
        </w:tc>
        <w:tc>
          <w:tcPr>
            <w:tcW w:w="5598" w:type="dxa"/>
            <w:gridSpan w:val="2"/>
            <w:tcBorders>
              <w:bottom w:val="nil"/>
            </w:tcBorders>
          </w:tcPr>
          <w:p>
            <w:pPr>
              <w:pStyle w:val="TableParagraph"/>
              <w:spacing w:line="237" w:lineRule="exact"/>
              <w:ind w:left="108"/>
              <w:rPr>
                <w:b/>
                <w:sz w:val="22"/>
              </w:rPr>
            </w:pPr>
            <w:r>
              <w:rPr>
                <w:b/>
                <w:sz w:val="22"/>
              </w:rPr>
              <w:t>Alexandr</w:t>
            </w:r>
            <w:r>
              <w:rPr>
                <w:b/>
                <w:spacing w:val="-5"/>
                <w:sz w:val="22"/>
              </w:rPr>
              <w:t> </w:t>
            </w:r>
            <w:r>
              <w:rPr>
                <w:b/>
                <w:spacing w:val="-4"/>
                <w:sz w:val="22"/>
              </w:rPr>
              <w:t>HOBZA</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8" w:type="dxa"/>
            <w:gridSpan w:val="2"/>
            <w:tcBorders>
              <w:top w:val="nil"/>
              <w:bottom w:val="nil"/>
            </w:tcBorders>
          </w:tcPr>
          <w:p>
            <w:pPr>
              <w:pStyle w:val="TableParagraph"/>
              <w:spacing w:line="233" w:lineRule="exact"/>
              <w:ind w:left="108"/>
              <w:rPr>
                <w:b/>
                <w:sz w:val="22"/>
              </w:rPr>
            </w:pPr>
            <w:hyperlink r:id="rId7">
              <w:r>
                <w:rPr>
                  <w:b/>
                  <w:color w:val="0000FF"/>
                  <w:spacing w:val="-2"/>
                  <w:sz w:val="22"/>
                  <w:u w:val="single" w:color="0000FF"/>
                </w:rPr>
                <w:t>Alexandr.hobza@ec.europa.eu</w:t>
              </w:r>
            </w:hyperlink>
          </w:p>
        </w:tc>
      </w:tr>
      <w:tr>
        <w:trPr>
          <w:trHeight w:val="253" w:hRule="atLeast"/>
        </w:trPr>
        <w:tc>
          <w:tcPr>
            <w:tcW w:w="4359" w:type="dxa"/>
            <w:tcBorders>
              <w:top w:val="nil"/>
              <w:bottom w:val="nil"/>
            </w:tcBorders>
          </w:tcPr>
          <w:p>
            <w:pPr>
              <w:pStyle w:val="TableParagraph"/>
              <w:spacing w:line="233" w:lineRule="exact"/>
              <w:rPr>
                <w:b/>
                <w:sz w:val="22"/>
              </w:rPr>
            </w:pPr>
            <w:r>
              <w:rPr>
                <w:b/>
                <w:spacing w:val="-2"/>
                <w:sz w:val="22"/>
              </w:rPr>
              <w:t>Telephone:</w:t>
            </w:r>
          </w:p>
        </w:tc>
        <w:tc>
          <w:tcPr>
            <w:tcW w:w="5598" w:type="dxa"/>
            <w:gridSpan w:val="2"/>
            <w:tcBorders>
              <w:top w:val="nil"/>
              <w:bottom w:val="nil"/>
            </w:tcBorders>
          </w:tcPr>
          <w:p>
            <w:pPr>
              <w:pStyle w:val="TableParagraph"/>
              <w:spacing w:line="233" w:lineRule="exact"/>
              <w:ind w:left="108"/>
              <w:rPr>
                <w:b/>
                <w:sz w:val="22"/>
              </w:rPr>
            </w:pPr>
            <w:r>
              <w:rPr>
                <w:b/>
                <w:sz w:val="22"/>
              </w:rPr>
              <w:t>+32</w:t>
            </w:r>
            <w:r>
              <w:rPr>
                <w:b/>
                <w:spacing w:val="-2"/>
                <w:sz w:val="22"/>
              </w:rPr>
              <w:t> </w:t>
            </w:r>
            <w:r>
              <w:rPr>
                <w:b/>
                <w:sz w:val="22"/>
              </w:rPr>
              <w:t>229-</w:t>
            </w:r>
            <w:r>
              <w:rPr>
                <w:b/>
                <w:spacing w:val="-2"/>
                <w:sz w:val="22"/>
              </w:rPr>
              <w:t>86658</w:t>
            </w:r>
          </w:p>
        </w:tc>
      </w:tr>
      <w:tr>
        <w:trPr>
          <w:trHeight w:val="264" w:hRule="atLeast"/>
        </w:trPr>
        <w:tc>
          <w:tcPr>
            <w:tcW w:w="4359" w:type="dxa"/>
            <w:tcBorders>
              <w:top w:val="nil"/>
              <w:bottom w:val="nil"/>
            </w:tcBorders>
          </w:tcPr>
          <w:p>
            <w:pPr>
              <w:pStyle w:val="TableParagraph"/>
              <w:spacing w:line="245"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8" w:type="dxa"/>
            <w:gridSpan w:val="2"/>
            <w:tcBorders>
              <w:top w:val="nil"/>
              <w:bottom w:val="nil"/>
            </w:tcBorders>
          </w:tcPr>
          <w:p>
            <w:pPr>
              <w:pStyle w:val="TableParagraph"/>
              <w:spacing w:line="245" w:lineRule="exact"/>
              <w:ind w:left="108"/>
              <w:rPr>
                <w:b/>
                <w:sz w:val="24"/>
              </w:rPr>
            </w:pPr>
            <w:r>
              <w:rPr>
                <w:b/>
                <w:sz w:val="24"/>
              </w:rPr>
              <w:t>1</w:t>
            </w:r>
          </w:p>
        </w:tc>
      </w:tr>
      <w:tr>
        <w:trPr>
          <w:trHeight w:val="950" w:hRule="atLeast"/>
        </w:trPr>
        <w:tc>
          <w:tcPr>
            <w:tcW w:w="4359" w:type="dxa"/>
            <w:tcBorders>
              <w:top w:val="nil"/>
              <w:bottom w:val="nil"/>
            </w:tcBorders>
          </w:tcPr>
          <w:p>
            <w:pPr>
              <w:pStyle w:val="TableParagraph"/>
              <w:spacing w:line="236"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p>
            <w:pPr>
              <w:pStyle w:val="TableParagraph"/>
              <w:ind w:right="1295"/>
              <w:rPr>
                <w:b/>
                <w:sz w:val="22"/>
              </w:rPr>
            </w:pPr>
            <w:r>
              <w:rPr>
                <w:b/>
                <w:sz w:val="22"/>
              </w:rPr>
              <w:t>Suggested</w:t>
            </w:r>
            <w:r>
              <w:rPr>
                <w:b/>
                <w:spacing w:val="-14"/>
                <w:sz w:val="22"/>
              </w:rPr>
              <w:t> </w:t>
            </w:r>
            <w:r>
              <w:rPr>
                <w:b/>
                <w:sz w:val="22"/>
              </w:rPr>
              <w:t>initial</w:t>
            </w:r>
            <w:r>
              <w:rPr>
                <w:b/>
                <w:spacing w:val="-14"/>
                <w:sz w:val="22"/>
              </w:rPr>
              <w:t> </w:t>
            </w:r>
            <w:r>
              <w:rPr>
                <w:b/>
                <w:sz w:val="22"/>
              </w:rPr>
              <w:t>duration: Place of secondment:</w:t>
            </w:r>
          </w:p>
        </w:tc>
        <w:tc>
          <w:tcPr>
            <w:tcW w:w="5598" w:type="dxa"/>
            <w:gridSpan w:val="2"/>
            <w:tcBorders>
              <w:top w:val="nil"/>
            </w:tcBorders>
          </w:tcPr>
          <w:p>
            <w:pPr>
              <w:pStyle w:val="TableParagraph"/>
              <w:spacing w:line="281" w:lineRule="exact" w:before="2"/>
              <w:ind w:left="108"/>
              <w:rPr>
                <w:b/>
                <w:sz w:val="22"/>
              </w:rPr>
            </w:pPr>
            <w:r>
              <w:rPr>
                <w:b/>
                <w:sz w:val="24"/>
              </w:rPr>
              <w:t>3</w:t>
            </w:r>
            <w:r>
              <w:rPr>
                <w:b/>
                <w:position w:val="8"/>
                <w:sz w:val="16"/>
              </w:rPr>
              <w:t>rd</w:t>
            </w:r>
            <w:r>
              <w:rPr>
                <w:b/>
                <w:spacing w:val="16"/>
                <w:position w:val="8"/>
                <w:sz w:val="16"/>
              </w:rPr>
              <w:t> </w:t>
            </w:r>
            <w:r>
              <w:rPr>
                <w:b/>
                <w:sz w:val="22"/>
              </w:rPr>
              <w:t>quarter</w:t>
            </w:r>
            <w:r>
              <w:rPr>
                <w:b/>
                <w:spacing w:val="-2"/>
                <w:sz w:val="22"/>
              </w:rPr>
              <w:t> </w:t>
            </w:r>
            <w:r>
              <w:rPr>
                <w:b/>
                <w:sz w:val="22"/>
              </w:rPr>
              <w:t>2023</w:t>
            </w:r>
            <w:r>
              <w:rPr>
                <w:b/>
                <w:spacing w:val="-4"/>
                <w:sz w:val="22"/>
              </w:rPr>
              <w:t> </w:t>
            </w:r>
            <w:r>
              <w:rPr>
                <w:b/>
                <w:spacing w:val="-10"/>
                <w:sz w:val="22"/>
                <w:vertAlign w:val="superscript"/>
              </w:rPr>
              <w:t>1</w:t>
            </w:r>
          </w:p>
          <w:p>
            <w:pPr>
              <w:pStyle w:val="TableParagraph"/>
              <w:spacing w:line="252" w:lineRule="exact"/>
              <w:ind w:left="108"/>
              <w:rPr>
                <w:b/>
                <w:sz w:val="22"/>
              </w:rPr>
            </w:pPr>
            <w:r>
              <w:rPr>
                <w:b/>
                <w:sz w:val="22"/>
              </w:rPr>
              <w:t>2 </w:t>
            </w:r>
            <w:r>
              <w:rPr>
                <w:b/>
                <w:spacing w:val="-2"/>
                <w:sz w:val="22"/>
              </w:rPr>
              <w:t>years</w:t>
            </w:r>
            <w:r>
              <w:rPr>
                <w:b/>
                <w:spacing w:val="-2"/>
                <w:sz w:val="22"/>
                <w:vertAlign w:val="superscript"/>
              </w:rPr>
              <w:t>1</w:t>
            </w:r>
          </w:p>
          <w:p>
            <w:pPr>
              <w:pStyle w:val="TableParagraph"/>
              <w:spacing w:line="252" w:lineRule="exact"/>
              <w:ind w:left="108"/>
              <w:rPr>
                <w:b/>
                <w:sz w:val="22"/>
              </w:rPr>
            </w:pPr>
            <w:r>
              <w:rPr>
                <w:rFonts w:ascii="Wingdings 2" w:hAnsi="Wingdings 2"/>
                <w:b/>
                <w:sz w:val="22"/>
              </w:rPr>
              <w:t></w:t>
            </w:r>
            <w:r>
              <w:rPr>
                <w:spacing w:val="-2"/>
                <w:sz w:val="22"/>
              </w:rPr>
              <w:t> </w:t>
            </w:r>
            <w:r>
              <w:rPr>
                <w:b/>
                <w:sz w:val="22"/>
              </w:rPr>
              <w:t>Brussels</w:t>
            </w:r>
            <w:r>
              <w:rPr>
                <w:b/>
                <w:spacing w:val="50"/>
                <w:sz w:val="22"/>
              </w:rPr>
              <w:t> </w:t>
            </w:r>
            <w:r>
              <w:rPr>
                <w:rFonts w:ascii="Wingdings 2" w:hAnsi="Wingdings 2"/>
                <w:sz w:val="22"/>
              </w:rPr>
              <w:t></w:t>
            </w:r>
            <w:r>
              <w:rPr>
                <w:spacing w:val="-1"/>
                <w:sz w:val="22"/>
              </w:rPr>
              <w:t> </w:t>
            </w:r>
            <w:r>
              <w:rPr>
                <w:b/>
                <w:sz w:val="22"/>
              </w:rPr>
              <w:t>Luxemburg</w:t>
            </w:r>
            <w:r>
              <w:rPr>
                <w:b/>
                <w:spacing w:val="51"/>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12" w:type="dxa"/>
            <w:tcBorders>
              <w:right w:val="nil"/>
            </w:tcBorders>
          </w:tcPr>
          <w:p>
            <w:pPr>
              <w:pStyle w:val="TableParagraph"/>
              <w:tabs>
                <w:tab w:pos="525" w:val="left" w:leader="none"/>
              </w:tabs>
              <w:spacing w:before="145"/>
              <w:ind w:left="108"/>
              <w:rPr>
                <w:b/>
                <w:sz w:val="22"/>
              </w:rPr>
            </w:pPr>
            <w:r>
              <w:rPr>
                <w:rFonts w:ascii="Wingdings 2" w:hAnsi="Wingdings 2"/>
                <w:b/>
                <w:spacing w:val="-10"/>
                <w:sz w:val="22"/>
              </w:rPr>
              <w:t></w:t>
            </w:r>
            <w:r>
              <w:rPr>
                <w:sz w:val="22"/>
              </w:rPr>
              <w:tab/>
            </w:r>
            <w:r>
              <w:rPr>
                <w:b/>
                <w:sz w:val="22"/>
              </w:rPr>
              <w:t>With</w:t>
            </w:r>
            <w:r>
              <w:rPr>
                <w:b/>
                <w:spacing w:val="-2"/>
                <w:sz w:val="22"/>
              </w:rPr>
              <w:t> allowances</w:t>
            </w:r>
          </w:p>
        </w:tc>
        <w:tc>
          <w:tcPr>
            <w:tcW w:w="3086" w:type="dxa"/>
            <w:tcBorders>
              <w:left w:val="nil"/>
            </w:tcBorders>
          </w:tcPr>
          <w:p>
            <w:pPr>
              <w:pStyle w:val="TableParagraph"/>
              <w:numPr>
                <w:ilvl w:val="0"/>
                <w:numId w:val="1"/>
              </w:numPr>
              <w:tabs>
                <w:tab w:pos="918" w:val="left" w:leader="none"/>
                <w:tab w:pos="919" w:val="left" w:leader="none"/>
              </w:tabs>
              <w:spacing w:line="240" w:lineRule="auto" w:before="145" w:after="0"/>
              <w:ind w:left="918" w:right="0" w:hanging="474"/>
              <w:jc w:val="left"/>
              <w:rPr>
                <w:b/>
                <w:sz w:val="22"/>
              </w:rPr>
            </w:pPr>
            <w:r>
              <w:rPr>
                <w:b/>
                <w:spacing w:val="-2"/>
                <w:sz w:val="22"/>
              </w:rPr>
              <w:t>Cost-</w:t>
            </w:r>
            <w:r>
              <w:rPr>
                <w:b/>
                <w:spacing w:val="-4"/>
                <w:sz w:val="22"/>
              </w:rPr>
              <w:t>free</w:t>
            </w:r>
          </w:p>
        </w:tc>
      </w:tr>
      <w:tr>
        <w:trPr>
          <w:trHeight w:val="2113" w:hRule="atLeast"/>
        </w:trPr>
        <w:tc>
          <w:tcPr>
            <w:tcW w:w="9957"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0"/>
              <w:ind w:left="0"/>
              <w:rPr>
                <w:b/>
                <w:sz w:val="21"/>
              </w:rPr>
            </w:pPr>
          </w:p>
          <w:p>
            <w:pPr>
              <w:pStyle w:val="TableParagraph"/>
              <w:numPr>
                <w:ilvl w:val="0"/>
                <w:numId w:val="2"/>
              </w:numPr>
              <w:tabs>
                <w:tab w:pos="564" w:val="left" w:leader="none"/>
                <w:tab w:pos="565" w:val="left" w:leader="none"/>
              </w:tabs>
              <w:spacing w:line="240" w:lineRule="auto" w:before="0" w:after="0"/>
              <w:ind w:left="564" w:right="0" w:hanging="458"/>
              <w:jc w:val="left"/>
              <w:rPr>
                <w:b/>
                <w:sz w:val="24"/>
              </w:rPr>
            </w:pPr>
            <w:r>
              <w:rPr>
                <w:b/>
                <w:sz w:val="24"/>
              </w:rPr>
              <w:t>the</w:t>
            </w:r>
            <w:r>
              <w:rPr>
                <w:b/>
                <w:spacing w:val="-8"/>
                <w:sz w:val="24"/>
              </w:rPr>
              <w:t> </w:t>
            </w:r>
            <w:r>
              <w:rPr>
                <w:b/>
                <w:sz w:val="24"/>
              </w:rPr>
              <w:t>following</w:t>
            </w:r>
            <w:r>
              <w:rPr>
                <w:b/>
                <w:spacing w:val="-6"/>
                <w:sz w:val="24"/>
              </w:rPr>
              <w:t> </w:t>
            </w:r>
            <w:r>
              <w:rPr>
                <w:b/>
                <w:sz w:val="24"/>
              </w:rPr>
              <w:t>EFTA</w:t>
            </w:r>
            <w:r>
              <w:rPr>
                <w:b/>
                <w:spacing w:val="-7"/>
                <w:sz w:val="24"/>
              </w:rPr>
              <w:t> </w:t>
            </w:r>
            <w:r>
              <w:rPr>
                <w:b/>
                <w:sz w:val="24"/>
              </w:rPr>
              <w:t>countries</w:t>
            </w:r>
            <w:r>
              <w:rPr>
                <w:b/>
                <w:spacing w:val="-6"/>
                <w:sz w:val="24"/>
              </w:rPr>
              <w:t> </w:t>
            </w:r>
            <w:r>
              <w:rPr>
                <w:b/>
                <w:spacing w:val="-10"/>
                <w:sz w:val="24"/>
              </w:rPr>
              <w:t>:</w:t>
            </w:r>
          </w:p>
          <w:p>
            <w:pPr>
              <w:pStyle w:val="TableParagraph"/>
              <w:numPr>
                <w:ilvl w:val="1"/>
                <w:numId w:val="2"/>
              </w:numPr>
              <w:tabs>
                <w:tab w:pos="1093" w:val="left" w:leader="none"/>
              </w:tabs>
              <w:spacing w:line="240" w:lineRule="auto" w:before="0" w:after="0"/>
              <w:ind w:left="1092"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3" w:val="left" w:leader="none"/>
              </w:tabs>
              <w:spacing w:line="240" w:lineRule="auto" w:before="0" w:after="0"/>
              <w:ind w:left="1092"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4" w:val="left" w:leader="none"/>
                <w:tab w:pos="565" w:val="left" w:leader="none"/>
              </w:tabs>
              <w:spacing w:line="240" w:lineRule="auto" w:before="0" w:after="0"/>
              <w:ind w:left="564" w:right="0" w:hanging="458"/>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4" w:val="left" w:leader="none"/>
                <w:tab w:pos="565" w:val="left" w:leader="none"/>
              </w:tabs>
              <w:spacing w:line="240" w:lineRule="auto" w:before="0" w:after="0"/>
              <w:ind w:left="564" w:right="0" w:hanging="458"/>
              <w:jc w:val="left"/>
              <w:rPr>
                <w:b/>
                <w:sz w:val="24"/>
              </w:rPr>
            </w:pPr>
            <w:r>
              <w:rPr>
                <w:b/>
                <w:sz w:val="24"/>
              </w:rPr>
              <w:t>the</w:t>
            </w:r>
            <w:r>
              <w:rPr>
                <w:b/>
                <w:spacing w:val="-13"/>
                <w:sz w:val="24"/>
              </w:rPr>
              <w:t> </w:t>
            </w:r>
            <w:r>
              <w:rPr>
                <w:b/>
                <w:sz w:val="24"/>
              </w:rPr>
              <w:t>following</w:t>
            </w:r>
            <w:r>
              <w:rPr>
                <w:b/>
                <w:spacing w:val="-12"/>
                <w:sz w:val="24"/>
              </w:rPr>
              <w:t> </w:t>
            </w:r>
            <w:r>
              <w:rPr>
                <w:b/>
                <w:sz w:val="24"/>
              </w:rPr>
              <w:t>intergovernmental</w:t>
            </w:r>
            <w:r>
              <w:rPr>
                <w:b/>
                <w:spacing w:val="-12"/>
                <w:sz w:val="24"/>
              </w:rPr>
              <w:t> </w:t>
            </w:r>
            <w:r>
              <w:rPr>
                <w:b/>
                <w:spacing w:val="-2"/>
                <w:sz w:val="24"/>
              </w:rPr>
              <w:t>organisations:</w:t>
            </w:r>
          </w:p>
        </w:tc>
      </w:tr>
    </w:tbl>
    <w:p>
      <w:pPr>
        <w:pStyle w:val="BodyText"/>
        <w:spacing w:before="2"/>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2"/>
        <w:ind w:left="799" w:right="105"/>
        <w:jc w:val="both"/>
      </w:pPr>
      <w:r>
        <w:rPr/>
        <w:t>Unit</w:t>
      </w:r>
      <w:r>
        <w:rPr>
          <w:spacing w:val="-8"/>
        </w:rPr>
        <w:t> </w:t>
      </w:r>
      <w:r>
        <w:rPr/>
        <w:t>RTD.G.1</w:t>
      </w:r>
      <w:r>
        <w:rPr>
          <w:spacing w:val="-8"/>
        </w:rPr>
        <w:t> </w:t>
      </w:r>
      <w:r>
        <w:rPr/>
        <w:t>–</w:t>
      </w:r>
      <w:r>
        <w:rPr>
          <w:spacing w:val="-8"/>
        </w:rPr>
        <w:t> </w:t>
      </w:r>
      <w:r>
        <w:rPr/>
        <w:t>Common</w:t>
      </w:r>
      <w:r>
        <w:rPr>
          <w:spacing w:val="-9"/>
        </w:rPr>
        <w:t> </w:t>
      </w:r>
      <w:r>
        <w:rPr/>
        <w:t>Strategy</w:t>
      </w:r>
      <w:r>
        <w:rPr>
          <w:spacing w:val="-11"/>
        </w:rPr>
        <w:t> </w:t>
      </w:r>
      <w:r>
        <w:rPr/>
        <w:t>&amp;</w:t>
      </w:r>
      <w:r>
        <w:rPr>
          <w:spacing w:val="-10"/>
        </w:rPr>
        <w:t> </w:t>
      </w:r>
      <w:r>
        <w:rPr/>
        <w:t>Foresight</w:t>
      </w:r>
      <w:r>
        <w:rPr>
          <w:spacing w:val="-8"/>
        </w:rPr>
        <w:t> </w:t>
      </w:r>
      <w:r>
        <w:rPr/>
        <w:t>Service</w:t>
      </w:r>
      <w:r>
        <w:rPr>
          <w:spacing w:val="-7"/>
        </w:rPr>
        <w:t> </w:t>
      </w:r>
      <w:r>
        <w:rPr/>
        <w:t>–</w:t>
      </w:r>
      <w:r>
        <w:rPr>
          <w:spacing w:val="-8"/>
        </w:rPr>
        <w:t> </w:t>
      </w:r>
      <w:r>
        <w:rPr/>
        <w:t>the</w:t>
      </w:r>
      <w:r>
        <w:rPr>
          <w:spacing w:val="-8"/>
        </w:rPr>
        <w:t> </w:t>
      </w:r>
      <w:r>
        <w:rPr/>
        <w:t>team</w:t>
      </w:r>
      <w:r>
        <w:rPr>
          <w:spacing w:val="-12"/>
        </w:rPr>
        <w:t> </w:t>
      </w:r>
      <w:r>
        <w:rPr/>
        <w:t>of</w:t>
      </w:r>
      <w:r>
        <w:rPr>
          <w:spacing w:val="-8"/>
        </w:rPr>
        <w:t> </w:t>
      </w:r>
      <w:r>
        <w:rPr/>
        <w:t>the</w:t>
      </w:r>
      <w:r>
        <w:rPr>
          <w:spacing w:val="-8"/>
        </w:rPr>
        <w:t> </w:t>
      </w:r>
      <w:r>
        <w:rPr/>
        <w:t>Chief</w:t>
      </w:r>
      <w:r>
        <w:rPr>
          <w:spacing w:val="-7"/>
        </w:rPr>
        <w:t> </w:t>
      </w:r>
      <w:r>
        <w:rPr/>
        <w:t>Economist</w:t>
      </w:r>
      <w:r>
        <w:rPr>
          <w:spacing w:val="-7"/>
        </w:rPr>
        <w:t> </w:t>
      </w:r>
      <w:r>
        <w:rPr/>
        <w:t>of</w:t>
      </w:r>
      <w:r>
        <w:rPr>
          <w:spacing w:val="-8"/>
        </w:rPr>
        <w:t> </w:t>
      </w:r>
      <w:r>
        <w:rPr/>
        <w:t>DG</w:t>
      </w:r>
      <w:r>
        <w:rPr>
          <w:spacing w:val="-10"/>
        </w:rPr>
        <w:t> </w:t>
      </w:r>
      <w:r>
        <w:rPr/>
        <w:t>R&amp;I.</w:t>
      </w:r>
      <w:r>
        <w:rPr>
          <w:spacing w:val="-8"/>
        </w:rPr>
        <w:t> </w:t>
      </w:r>
      <w:r>
        <w:rPr/>
        <w:t>The</w:t>
      </w:r>
      <w:r>
        <w:rPr>
          <w:spacing w:val="-8"/>
        </w:rPr>
        <w:t> </w:t>
      </w:r>
      <w:r>
        <w:rPr/>
        <w:t>unit contributes to the formulation of evidence-based and transformative research and innovation (R&amp;I) policies to increase Europe’s prosperity and well-being. It produces evidence on the contribution of R&amp;I to the Commission’s policies, with an objective to help minimise trade-offs between economic, social and environmental objectives and the transgression of planetary boundaries. The unit focuses on R&amp;I investments as well as reforms and regulation in the field of R&amp;I. It also leads the foresight process for R&amp;I policy and coordinates</w:t>
      </w:r>
      <w:r>
        <w:rPr>
          <w:spacing w:val="-5"/>
        </w:rPr>
        <w:t> </w:t>
      </w:r>
      <w:r>
        <w:rPr/>
        <w:t>foresight</w:t>
      </w:r>
      <w:r>
        <w:rPr>
          <w:spacing w:val="-3"/>
        </w:rPr>
        <w:t> </w:t>
      </w:r>
      <w:r>
        <w:rPr/>
        <w:t>across</w:t>
      </w:r>
      <w:r>
        <w:rPr>
          <w:spacing w:val="-6"/>
        </w:rPr>
        <w:t> </w:t>
      </w:r>
      <w:r>
        <w:rPr/>
        <w:t>the</w:t>
      </w:r>
      <w:r>
        <w:rPr>
          <w:spacing w:val="-3"/>
        </w:rPr>
        <w:t> </w:t>
      </w:r>
      <w:r>
        <w:rPr/>
        <w:t>Framework</w:t>
      </w:r>
      <w:r>
        <w:rPr>
          <w:spacing w:val="-6"/>
        </w:rPr>
        <w:t> </w:t>
      </w:r>
      <w:r>
        <w:rPr/>
        <w:t>Programme.</w:t>
      </w:r>
      <w:r>
        <w:rPr>
          <w:spacing w:val="-1"/>
        </w:rPr>
        <w:t> </w:t>
      </w:r>
      <w:r>
        <w:rPr/>
        <w:t>It</w:t>
      </w:r>
      <w:r>
        <w:rPr>
          <w:spacing w:val="-3"/>
        </w:rPr>
        <w:t> </w:t>
      </w:r>
      <w:r>
        <w:rPr/>
        <w:t>acts</w:t>
      </w:r>
      <w:r>
        <w:rPr>
          <w:spacing w:val="-3"/>
        </w:rPr>
        <w:t> </w:t>
      </w:r>
      <w:r>
        <w:rPr/>
        <w:t>as</w:t>
      </w:r>
      <w:r>
        <w:rPr>
          <w:spacing w:val="-3"/>
        </w:rPr>
        <w:t> </w:t>
      </w:r>
      <w:r>
        <w:rPr/>
        <w:t>the</w:t>
      </w:r>
      <w:r>
        <w:rPr>
          <w:spacing w:val="-3"/>
        </w:rPr>
        <w:t> </w:t>
      </w:r>
      <w:r>
        <w:rPr/>
        <w:t>economic</w:t>
      </w:r>
      <w:r>
        <w:rPr>
          <w:spacing w:val="-3"/>
        </w:rPr>
        <w:t> </w:t>
      </w:r>
      <w:r>
        <w:rPr/>
        <w:t>service</w:t>
      </w:r>
      <w:r>
        <w:rPr>
          <w:spacing w:val="-3"/>
        </w:rPr>
        <w:t> </w:t>
      </w:r>
      <w:r>
        <w:rPr/>
        <w:t>of</w:t>
      </w:r>
      <w:r>
        <w:rPr>
          <w:spacing w:val="-3"/>
        </w:rPr>
        <w:t> </w:t>
      </w:r>
      <w:r>
        <w:rPr/>
        <w:t>the</w:t>
      </w:r>
      <w:r>
        <w:rPr>
          <w:spacing w:val="-3"/>
        </w:rPr>
        <w:t> </w:t>
      </w:r>
      <w:r>
        <w:rPr/>
        <w:t>DG</w:t>
      </w:r>
      <w:r>
        <w:rPr>
          <w:spacing w:val="-5"/>
        </w:rPr>
        <w:t> </w:t>
      </w:r>
      <w:r>
        <w:rPr/>
        <w:t>R&amp;I</w:t>
      </w:r>
      <w:r>
        <w:rPr>
          <w:spacing w:val="-5"/>
        </w:rPr>
        <w:t> </w:t>
      </w:r>
      <w:r>
        <w:rPr/>
        <w:t>and</w:t>
      </w:r>
      <w:r>
        <w:rPr>
          <w:spacing w:val="-3"/>
        </w:rPr>
        <w:t> </w:t>
      </w:r>
      <w:r>
        <w:rPr/>
        <w:t>the Common Policy Centre and works closely with numerous partners in a co-creation spirit.</w:t>
      </w:r>
    </w:p>
    <w:p>
      <w:pPr>
        <w:pStyle w:val="BodyText"/>
        <w:spacing w:before="10"/>
        <w:rPr>
          <w:sz w:val="21"/>
        </w:rPr>
      </w:pPr>
    </w:p>
    <w:p>
      <w:pPr>
        <w:pStyle w:val="BodyText"/>
        <w:ind w:left="799" w:right="107"/>
        <w:jc w:val="both"/>
      </w:pPr>
      <w:r>
        <w:rPr/>
        <w:t>Under</w:t>
      </w:r>
      <w:r>
        <w:rPr>
          <w:spacing w:val="-1"/>
        </w:rPr>
        <w:t> </w:t>
      </w:r>
      <w:r>
        <w:rPr/>
        <w:t>the</w:t>
      </w:r>
      <w:r>
        <w:rPr>
          <w:spacing w:val="-2"/>
        </w:rPr>
        <w:t> </w:t>
      </w:r>
      <w:r>
        <w:rPr/>
        <w:t>supervision of an</w:t>
      </w:r>
      <w:r>
        <w:rPr>
          <w:spacing w:val="-3"/>
        </w:rPr>
        <w:t> </w:t>
      </w:r>
      <w:r>
        <w:rPr/>
        <w:t>AD</w:t>
      </w:r>
      <w:r>
        <w:rPr>
          <w:spacing w:val="-1"/>
        </w:rPr>
        <w:t> </w:t>
      </w:r>
      <w:r>
        <w:rPr/>
        <w:t>staff</w:t>
      </w:r>
      <w:r>
        <w:rPr>
          <w:spacing w:val="-2"/>
        </w:rPr>
        <w:t> </w:t>
      </w:r>
      <w:r>
        <w:rPr/>
        <w:t>member, the expert will contribute</w:t>
      </w:r>
      <w:r>
        <w:rPr>
          <w:spacing w:val="-2"/>
        </w:rPr>
        <w:t> </w:t>
      </w:r>
      <w:r>
        <w:rPr/>
        <w:t>to</w:t>
      </w:r>
      <w:r>
        <w:rPr>
          <w:spacing w:val="-3"/>
        </w:rPr>
        <w:t> </w:t>
      </w:r>
      <w:r>
        <w:rPr/>
        <w:t>the</w:t>
      </w:r>
      <w:r>
        <w:rPr>
          <w:spacing w:val="-1"/>
        </w:rPr>
        <w:t> </w:t>
      </w:r>
      <w:r>
        <w:rPr/>
        <w:t>integration</w:t>
      </w:r>
      <w:r>
        <w:rPr>
          <w:spacing w:val="-3"/>
        </w:rPr>
        <w:t> </w:t>
      </w:r>
      <w:r>
        <w:rPr/>
        <w:t>of</w:t>
      </w:r>
      <w:r>
        <w:rPr>
          <w:spacing w:val="-2"/>
        </w:rPr>
        <w:t> </w:t>
      </w:r>
      <w:r>
        <w:rPr/>
        <w:t>foresight</w:t>
      </w:r>
      <w:r>
        <w:rPr>
          <w:spacing w:val="-1"/>
        </w:rPr>
        <w:t> </w:t>
      </w:r>
      <w:r>
        <w:rPr/>
        <w:t>into</w:t>
      </w:r>
      <w:r>
        <w:rPr>
          <w:spacing w:val="-3"/>
        </w:rPr>
        <w:t> </w:t>
      </w:r>
      <w:r>
        <w:rPr/>
        <w:t>EU R&amp;I policy and strategy. This involves:</w:t>
      </w:r>
    </w:p>
    <w:p>
      <w:pPr>
        <w:pStyle w:val="BodyText"/>
        <w:spacing w:before="1"/>
      </w:pPr>
    </w:p>
    <w:p>
      <w:pPr>
        <w:pStyle w:val="ListParagraph"/>
        <w:numPr>
          <w:ilvl w:val="1"/>
          <w:numId w:val="3"/>
        </w:numPr>
        <w:tabs>
          <w:tab w:pos="1520" w:val="left" w:leader="none"/>
        </w:tabs>
        <w:spacing w:line="240" w:lineRule="auto" w:before="1" w:after="0"/>
        <w:ind w:left="1519" w:right="108" w:hanging="360"/>
        <w:jc w:val="left"/>
        <w:rPr>
          <w:sz w:val="22"/>
        </w:rPr>
      </w:pPr>
      <w:r>
        <w:rPr>
          <w:sz w:val="22"/>
        </w:rPr>
        <w:t>Monitoring</w:t>
      </w:r>
      <w:r>
        <w:rPr>
          <w:spacing w:val="-7"/>
          <w:sz w:val="22"/>
        </w:rPr>
        <w:t> </w:t>
      </w:r>
      <w:r>
        <w:rPr>
          <w:sz w:val="22"/>
        </w:rPr>
        <w:t>trends</w:t>
      </w:r>
      <w:r>
        <w:rPr>
          <w:spacing w:val="-6"/>
          <w:sz w:val="22"/>
        </w:rPr>
        <w:t> </w:t>
      </w:r>
      <w:r>
        <w:rPr>
          <w:sz w:val="22"/>
        </w:rPr>
        <w:t>and</w:t>
      </w:r>
      <w:r>
        <w:rPr>
          <w:spacing w:val="-7"/>
          <w:sz w:val="22"/>
        </w:rPr>
        <w:t> </w:t>
      </w:r>
      <w:r>
        <w:rPr>
          <w:sz w:val="22"/>
        </w:rPr>
        <w:t>analysing</w:t>
      </w:r>
      <w:r>
        <w:rPr>
          <w:spacing w:val="-7"/>
          <w:sz w:val="22"/>
        </w:rPr>
        <w:t> </w:t>
      </w:r>
      <w:r>
        <w:rPr>
          <w:sz w:val="22"/>
        </w:rPr>
        <w:t>developments</w:t>
      </w:r>
      <w:r>
        <w:rPr>
          <w:spacing w:val="-6"/>
          <w:sz w:val="22"/>
        </w:rPr>
        <w:t> </w:t>
      </w:r>
      <w:r>
        <w:rPr>
          <w:sz w:val="22"/>
        </w:rPr>
        <w:t>in</w:t>
      </w:r>
      <w:r>
        <w:rPr>
          <w:spacing w:val="-7"/>
          <w:sz w:val="22"/>
        </w:rPr>
        <w:t> </w:t>
      </w:r>
      <w:r>
        <w:rPr>
          <w:sz w:val="22"/>
        </w:rPr>
        <w:t>the</w:t>
      </w:r>
      <w:r>
        <w:rPr>
          <w:spacing w:val="-7"/>
          <w:sz w:val="22"/>
        </w:rPr>
        <w:t> </w:t>
      </w:r>
      <w:r>
        <w:rPr>
          <w:sz w:val="22"/>
        </w:rPr>
        <w:t>science,</w:t>
      </w:r>
      <w:r>
        <w:rPr>
          <w:spacing w:val="-7"/>
          <w:sz w:val="22"/>
        </w:rPr>
        <w:t> </w:t>
      </w:r>
      <w:r>
        <w:rPr>
          <w:sz w:val="22"/>
        </w:rPr>
        <w:t>technology</w:t>
      </w:r>
      <w:r>
        <w:rPr>
          <w:spacing w:val="-7"/>
          <w:sz w:val="22"/>
        </w:rPr>
        <w:t> </w:t>
      </w:r>
      <w:r>
        <w:rPr>
          <w:sz w:val="22"/>
        </w:rPr>
        <w:t>and</w:t>
      </w:r>
      <w:r>
        <w:rPr>
          <w:spacing w:val="-4"/>
          <w:sz w:val="22"/>
        </w:rPr>
        <w:t> </w:t>
      </w:r>
      <w:r>
        <w:rPr>
          <w:sz w:val="22"/>
        </w:rPr>
        <w:t>innovation</w:t>
      </w:r>
      <w:r>
        <w:rPr>
          <w:spacing w:val="-7"/>
          <w:sz w:val="22"/>
        </w:rPr>
        <w:t> </w:t>
      </w:r>
      <w:r>
        <w:rPr>
          <w:sz w:val="22"/>
        </w:rPr>
        <w:t>and</w:t>
      </w:r>
      <w:r>
        <w:rPr>
          <w:spacing w:val="-7"/>
          <w:sz w:val="22"/>
        </w:rPr>
        <w:t> </w:t>
      </w:r>
      <w:r>
        <w:rPr>
          <w:sz w:val="22"/>
        </w:rPr>
        <w:t>in</w:t>
      </w:r>
      <w:r>
        <w:rPr>
          <w:spacing w:val="-7"/>
          <w:sz w:val="22"/>
        </w:rPr>
        <w:t> </w:t>
      </w:r>
      <w:r>
        <w:rPr>
          <w:sz w:val="22"/>
        </w:rPr>
        <w:t>related policies at EU and national levels;</w:t>
      </w:r>
    </w:p>
    <w:p>
      <w:pPr>
        <w:pStyle w:val="ListParagraph"/>
        <w:numPr>
          <w:ilvl w:val="1"/>
          <w:numId w:val="3"/>
        </w:numPr>
        <w:tabs>
          <w:tab w:pos="1520" w:val="left" w:leader="none"/>
        </w:tabs>
        <w:spacing w:line="252" w:lineRule="exact" w:before="0" w:after="0"/>
        <w:ind w:left="1519" w:right="0" w:hanging="361"/>
        <w:jc w:val="left"/>
        <w:rPr>
          <w:sz w:val="22"/>
        </w:rPr>
      </w:pPr>
      <w:r>
        <w:rPr>
          <w:sz w:val="22"/>
        </w:rPr>
        <w:t>Contributing</w:t>
      </w:r>
      <w:r>
        <w:rPr>
          <w:spacing w:val="-8"/>
          <w:sz w:val="22"/>
        </w:rPr>
        <w:t> </w:t>
      </w:r>
      <w:r>
        <w:rPr>
          <w:sz w:val="22"/>
        </w:rPr>
        <w:t>to</w:t>
      </w:r>
      <w:r>
        <w:rPr>
          <w:spacing w:val="-6"/>
          <w:sz w:val="22"/>
        </w:rPr>
        <w:t> </w:t>
      </w:r>
      <w:r>
        <w:rPr>
          <w:sz w:val="22"/>
        </w:rPr>
        <w:t>the</w:t>
      </w:r>
      <w:r>
        <w:rPr>
          <w:spacing w:val="-5"/>
          <w:sz w:val="22"/>
        </w:rPr>
        <w:t> </w:t>
      </w:r>
      <w:r>
        <w:rPr>
          <w:sz w:val="22"/>
        </w:rPr>
        <w:t>development</w:t>
      </w:r>
      <w:r>
        <w:rPr>
          <w:spacing w:val="-3"/>
          <w:sz w:val="22"/>
        </w:rPr>
        <w:t> </w:t>
      </w:r>
      <w:r>
        <w:rPr>
          <w:sz w:val="22"/>
        </w:rPr>
        <w:t>of</w:t>
      </w:r>
      <w:r>
        <w:rPr>
          <w:spacing w:val="-3"/>
          <w:sz w:val="22"/>
        </w:rPr>
        <w:t> </w:t>
      </w:r>
      <w:r>
        <w:rPr>
          <w:sz w:val="22"/>
        </w:rPr>
        <w:t>scenarios</w:t>
      </w:r>
      <w:r>
        <w:rPr>
          <w:spacing w:val="-5"/>
          <w:sz w:val="22"/>
        </w:rPr>
        <w:t> </w:t>
      </w:r>
      <w:r>
        <w:rPr>
          <w:sz w:val="22"/>
        </w:rPr>
        <w:t>for</w:t>
      </w:r>
      <w:r>
        <w:rPr>
          <w:spacing w:val="-3"/>
          <w:sz w:val="22"/>
        </w:rPr>
        <w:t> </w:t>
      </w:r>
      <w:r>
        <w:rPr>
          <w:sz w:val="22"/>
        </w:rPr>
        <w:t>the</w:t>
      </w:r>
      <w:r>
        <w:rPr>
          <w:spacing w:val="-3"/>
          <w:sz w:val="22"/>
        </w:rPr>
        <w:t> </w:t>
      </w:r>
      <w:r>
        <w:rPr>
          <w:sz w:val="22"/>
        </w:rPr>
        <w:t>future,</w:t>
      </w:r>
      <w:r>
        <w:rPr>
          <w:spacing w:val="-3"/>
          <w:sz w:val="22"/>
        </w:rPr>
        <w:t> </w:t>
      </w:r>
      <w:r>
        <w:rPr>
          <w:sz w:val="22"/>
        </w:rPr>
        <w:t>and</w:t>
      </w:r>
      <w:r>
        <w:rPr>
          <w:spacing w:val="-5"/>
          <w:sz w:val="22"/>
        </w:rPr>
        <w:t> </w:t>
      </w:r>
      <w:r>
        <w:rPr>
          <w:sz w:val="22"/>
        </w:rPr>
        <w:t>identification</w:t>
      </w:r>
      <w:r>
        <w:rPr>
          <w:spacing w:val="-3"/>
          <w:sz w:val="22"/>
        </w:rPr>
        <w:t> </w:t>
      </w:r>
      <w:r>
        <w:rPr>
          <w:sz w:val="22"/>
        </w:rPr>
        <w:t>of</w:t>
      </w:r>
      <w:r>
        <w:rPr>
          <w:spacing w:val="-5"/>
          <w:sz w:val="22"/>
        </w:rPr>
        <w:t> </w:t>
      </w:r>
      <w:r>
        <w:rPr>
          <w:sz w:val="22"/>
        </w:rPr>
        <w:t>major</w:t>
      </w:r>
      <w:r>
        <w:rPr>
          <w:spacing w:val="-5"/>
          <w:sz w:val="22"/>
        </w:rPr>
        <w:t> </w:t>
      </w:r>
      <w:r>
        <w:rPr>
          <w:spacing w:val="-2"/>
          <w:sz w:val="22"/>
        </w:rPr>
        <w:t>trends;</w:t>
      </w:r>
    </w:p>
    <w:p>
      <w:pPr>
        <w:pStyle w:val="ListParagraph"/>
        <w:numPr>
          <w:ilvl w:val="1"/>
          <w:numId w:val="3"/>
        </w:numPr>
        <w:tabs>
          <w:tab w:pos="1520" w:val="left" w:leader="none"/>
        </w:tabs>
        <w:spacing w:line="240" w:lineRule="auto" w:before="1" w:after="0"/>
        <w:ind w:left="1519" w:right="113" w:hanging="360"/>
        <w:jc w:val="left"/>
        <w:rPr>
          <w:sz w:val="22"/>
        </w:rPr>
      </w:pPr>
      <w:r>
        <w:rPr>
          <w:sz w:val="22"/>
        </w:rPr>
        <w:t>Contributing to the coordination of foresight activities throughout the Commission, to the analysis of foresight findings and to the drafting of foresight-based evidence for R&amp;I policy;</w:t>
      </w:r>
    </w:p>
    <w:p>
      <w:pPr>
        <w:pStyle w:val="ListParagraph"/>
        <w:numPr>
          <w:ilvl w:val="1"/>
          <w:numId w:val="3"/>
        </w:numPr>
        <w:tabs>
          <w:tab w:pos="1520" w:val="left" w:leader="none"/>
        </w:tabs>
        <w:spacing w:line="240" w:lineRule="auto" w:before="0" w:after="0"/>
        <w:ind w:left="1519" w:right="108" w:hanging="360"/>
        <w:jc w:val="left"/>
        <w:rPr>
          <w:sz w:val="22"/>
        </w:rPr>
      </w:pPr>
      <w:r>
        <w:rPr>
          <w:sz w:val="22"/>
        </w:rPr>
        <w:t>Contribute</w:t>
      </w:r>
      <w:r>
        <w:rPr>
          <w:spacing w:val="-12"/>
          <w:sz w:val="22"/>
        </w:rPr>
        <w:t> </w:t>
      </w:r>
      <w:r>
        <w:rPr>
          <w:sz w:val="22"/>
        </w:rPr>
        <w:t>to</w:t>
      </w:r>
      <w:r>
        <w:rPr>
          <w:spacing w:val="-14"/>
          <w:sz w:val="22"/>
        </w:rPr>
        <w:t> </w:t>
      </w:r>
      <w:r>
        <w:rPr>
          <w:sz w:val="22"/>
        </w:rPr>
        <w:t>the</w:t>
      </w:r>
      <w:r>
        <w:rPr>
          <w:spacing w:val="-13"/>
          <w:sz w:val="22"/>
        </w:rPr>
        <w:t> </w:t>
      </w:r>
      <w:r>
        <w:rPr>
          <w:sz w:val="22"/>
        </w:rPr>
        <w:t>launching</w:t>
      </w:r>
      <w:r>
        <w:rPr>
          <w:spacing w:val="-14"/>
          <w:sz w:val="22"/>
        </w:rPr>
        <w:t> </w:t>
      </w:r>
      <w:r>
        <w:rPr>
          <w:sz w:val="22"/>
        </w:rPr>
        <w:t>of</w:t>
      </w:r>
      <w:r>
        <w:rPr>
          <w:spacing w:val="-11"/>
          <w:sz w:val="22"/>
        </w:rPr>
        <w:t> </w:t>
      </w:r>
      <w:r>
        <w:rPr>
          <w:sz w:val="22"/>
        </w:rPr>
        <w:t>foresight</w:t>
      </w:r>
      <w:r>
        <w:rPr>
          <w:spacing w:val="-11"/>
          <w:sz w:val="22"/>
        </w:rPr>
        <w:t> </w:t>
      </w:r>
      <w:r>
        <w:rPr>
          <w:sz w:val="22"/>
        </w:rPr>
        <w:t>studies</w:t>
      </w:r>
      <w:r>
        <w:rPr>
          <w:spacing w:val="-11"/>
          <w:sz w:val="22"/>
        </w:rPr>
        <w:t> </w:t>
      </w:r>
      <w:r>
        <w:rPr>
          <w:sz w:val="22"/>
        </w:rPr>
        <w:t>and</w:t>
      </w:r>
      <w:r>
        <w:rPr>
          <w:spacing w:val="-14"/>
          <w:sz w:val="22"/>
        </w:rPr>
        <w:t> </w:t>
      </w:r>
      <w:r>
        <w:rPr>
          <w:sz w:val="22"/>
        </w:rPr>
        <w:t>consultations,</w:t>
      </w:r>
      <w:r>
        <w:rPr>
          <w:spacing w:val="-11"/>
          <w:sz w:val="22"/>
        </w:rPr>
        <w:t> </w:t>
      </w:r>
      <w:r>
        <w:rPr>
          <w:sz w:val="22"/>
        </w:rPr>
        <w:t>and</w:t>
      </w:r>
      <w:r>
        <w:rPr>
          <w:spacing w:val="-12"/>
          <w:sz w:val="22"/>
        </w:rPr>
        <w:t> </w:t>
      </w:r>
      <w:r>
        <w:rPr>
          <w:sz w:val="22"/>
        </w:rPr>
        <w:t>analysing</w:t>
      </w:r>
      <w:r>
        <w:rPr>
          <w:spacing w:val="-14"/>
          <w:sz w:val="22"/>
        </w:rPr>
        <w:t> </w:t>
      </w:r>
      <w:r>
        <w:rPr>
          <w:sz w:val="22"/>
        </w:rPr>
        <w:t>and</w:t>
      </w:r>
      <w:r>
        <w:rPr>
          <w:spacing w:val="-12"/>
          <w:sz w:val="22"/>
        </w:rPr>
        <w:t> </w:t>
      </w:r>
      <w:r>
        <w:rPr>
          <w:sz w:val="22"/>
        </w:rPr>
        <w:t>disseminating</w:t>
      </w:r>
      <w:r>
        <w:rPr>
          <w:spacing w:val="-14"/>
          <w:sz w:val="22"/>
        </w:rPr>
        <w:t> </w:t>
      </w:r>
      <w:r>
        <w:rPr>
          <w:sz w:val="22"/>
        </w:rPr>
        <w:t>their results in the context of EU policy;</w:t>
      </w:r>
    </w:p>
    <w:p>
      <w:pPr>
        <w:pStyle w:val="ListParagraph"/>
        <w:numPr>
          <w:ilvl w:val="1"/>
          <w:numId w:val="3"/>
        </w:numPr>
        <w:tabs>
          <w:tab w:pos="1520" w:val="left" w:leader="none"/>
        </w:tabs>
        <w:spacing w:line="240" w:lineRule="auto" w:before="0" w:after="0"/>
        <w:ind w:left="1519" w:right="106" w:hanging="360"/>
        <w:jc w:val="left"/>
        <w:rPr>
          <w:sz w:val="22"/>
        </w:rPr>
      </w:pPr>
      <w:r>
        <w:rPr>
          <w:sz w:val="22"/>
        </w:rPr>
        <w:t>Contribute</w:t>
      </w:r>
      <w:r>
        <w:rPr>
          <w:spacing w:val="80"/>
          <w:sz w:val="22"/>
        </w:rPr>
        <w:t> </w:t>
      </w:r>
      <w:r>
        <w:rPr>
          <w:sz w:val="22"/>
        </w:rPr>
        <w:t>to</w:t>
      </w:r>
      <w:r>
        <w:rPr>
          <w:spacing w:val="80"/>
          <w:sz w:val="22"/>
        </w:rPr>
        <w:t> </w:t>
      </w:r>
      <w:r>
        <w:rPr>
          <w:sz w:val="22"/>
        </w:rPr>
        <w:t>internal</w:t>
      </w:r>
      <w:r>
        <w:rPr>
          <w:spacing w:val="80"/>
          <w:sz w:val="22"/>
        </w:rPr>
        <w:t> </w:t>
      </w:r>
      <w:r>
        <w:rPr>
          <w:sz w:val="22"/>
        </w:rPr>
        <w:t>and</w:t>
      </w:r>
      <w:r>
        <w:rPr>
          <w:spacing w:val="80"/>
          <w:sz w:val="22"/>
        </w:rPr>
        <w:t> </w:t>
      </w:r>
      <w:r>
        <w:rPr>
          <w:sz w:val="22"/>
        </w:rPr>
        <w:t>external</w:t>
      </w:r>
      <w:r>
        <w:rPr>
          <w:spacing w:val="80"/>
          <w:sz w:val="22"/>
        </w:rPr>
        <w:t> </w:t>
      </w:r>
      <w:r>
        <w:rPr>
          <w:sz w:val="22"/>
        </w:rPr>
        <w:t>communication</w:t>
      </w:r>
      <w:r>
        <w:rPr>
          <w:spacing w:val="80"/>
          <w:sz w:val="22"/>
        </w:rPr>
        <w:t> </w:t>
      </w:r>
      <w:r>
        <w:rPr>
          <w:sz w:val="22"/>
        </w:rPr>
        <w:t>activities,</w:t>
      </w:r>
      <w:r>
        <w:rPr>
          <w:spacing w:val="80"/>
          <w:sz w:val="22"/>
        </w:rPr>
        <w:t> </w:t>
      </w:r>
      <w:r>
        <w:rPr>
          <w:sz w:val="22"/>
        </w:rPr>
        <w:t>such</w:t>
      </w:r>
      <w:r>
        <w:rPr>
          <w:spacing w:val="80"/>
          <w:sz w:val="22"/>
        </w:rPr>
        <w:t> </w:t>
      </w:r>
      <w:r>
        <w:rPr>
          <w:sz w:val="22"/>
        </w:rPr>
        <w:t>as</w:t>
      </w:r>
      <w:r>
        <w:rPr>
          <w:spacing w:val="80"/>
          <w:sz w:val="22"/>
        </w:rPr>
        <w:t> </w:t>
      </w:r>
      <w:r>
        <w:rPr>
          <w:sz w:val="22"/>
        </w:rPr>
        <w:t>newsletters,</w:t>
      </w:r>
      <w:r>
        <w:rPr>
          <w:spacing w:val="80"/>
          <w:sz w:val="22"/>
        </w:rPr>
        <w:t> </w:t>
      </w:r>
      <w:r>
        <w:rPr>
          <w:sz w:val="22"/>
        </w:rPr>
        <w:t>blogs</w:t>
      </w:r>
      <w:r>
        <w:rPr>
          <w:spacing w:val="80"/>
          <w:sz w:val="22"/>
        </w:rPr>
        <w:t> </w:t>
      </w:r>
      <w:r>
        <w:rPr>
          <w:sz w:val="22"/>
        </w:rPr>
        <w:t>and </w:t>
      </w:r>
      <w:r>
        <w:rPr>
          <w:spacing w:val="-2"/>
          <w:sz w:val="22"/>
        </w:rPr>
        <w:t>conferences;</w:t>
      </w:r>
    </w:p>
    <w:p>
      <w:pPr>
        <w:pStyle w:val="ListParagraph"/>
        <w:numPr>
          <w:ilvl w:val="1"/>
          <w:numId w:val="3"/>
        </w:numPr>
        <w:tabs>
          <w:tab w:pos="1520" w:val="left" w:leader="none"/>
        </w:tabs>
        <w:spacing w:line="240" w:lineRule="auto" w:before="0" w:after="0"/>
        <w:ind w:left="1519" w:right="109" w:hanging="360"/>
        <w:jc w:val="left"/>
        <w:rPr>
          <w:sz w:val="22"/>
        </w:rPr>
      </w:pPr>
      <w:r>
        <w:rPr>
          <w:sz w:val="22"/>
        </w:rPr>
        <w:t>Provide</w:t>
      </w:r>
      <w:r>
        <w:rPr>
          <w:spacing w:val="-9"/>
          <w:sz w:val="22"/>
        </w:rPr>
        <w:t> </w:t>
      </w:r>
      <w:r>
        <w:rPr>
          <w:sz w:val="22"/>
        </w:rPr>
        <w:t>support</w:t>
      </w:r>
      <w:r>
        <w:rPr>
          <w:spacing w:val="-9"/>
          <w:sz w:val="22"/>
        </w:rPr>
        <w:t> </w:t>
      </w:r>
      <w:r>
        <w:rPr>
          <w:sz w:val="22"/>
        </w:rPr>
        <w:t>to</w:t>
      </w:r>
      <w:r>
        <w:rPr>
          <w:spacing w:val="-12"/>
          <w:sz w:val="22"/>
        </w:rPr>
        <w:t> </w:t>
      </w:r>
      <w:r>
        <w:rPr>
          <w:sz w:val="22"/>
        </w:rPr>
        <w:t>the</w:t>
      </w:r>
      <w:r>
        <w:rPr>
          <w:spacing w:val="-9"/>
          <w:sz w:val="22"/>
        </w:rPr>
        <w:t> </w:t>
      </w:r>
      <w:r>
        <w:rPr>
          <w:sz w:val="22"/>
        </w:rPr>
        <w:t>general</w:t>
      </w:r>
      <w:r>
        <w:rPr>
          <w:spacing w:val="-11"/>
          <w:sz w:val="22"/>
        </w:rPr>
        <w:t> </w:t>
      </w:r>
      <w:r>
        <w:rPr>
          <w:sz w:val="22"/>
        </w:rPr>
        <w:t>activities</w:t>
      </w:r>
      <w:r>
        <w:rPr>
          <w:spacing w:val="-11"/>
          <w:sz w:val="22"/>
        </w:rPr>
        <w:t> </w:t>
      </w:r>
      <w:r>
        <w:rPr>
          <w:sz w:val="22"/>
        </w:rPr>
        <w:t>of</w:t>
      </w:r>
      <w:r>
        <w:rPr>
          <w:spacing w:val="-11"/>
          <w:sz w:val="22"/>
        </w:rPr>
        <w:t> </w:t>
      </w:r>
      <w:r>
        <w:rPr>
          <w:sz w:val="22"/>
        </w:rPr>
        <w:t>the</w:t>
      </w:r>
      <w:r>
        <w:rPr>
          <w:spacing w:val="-9"/>
          <w:sz w:val="22"/>
        </w:rPr>
        <w:t> </w:t>
      </w:r>
      <w:r>
        <w:rPr>
          <w:sz w:val="22"/>
        </w:rPr>
        <w:t>unit</w:t>
      </w:r>
      <w:r>
        <w:rPr>
          <w:spacing w:val="-11"/>
          <w:sz w:val="22"/>
        </w:rPr>
        <w:t> </w:t>
      </w:r>
      <w:r>
        <w:rPr>
          <w:sz w:val="22"/>
        </w:rPr>
        <w:t>and</w:t>
      </w:r>
      <w:r>
        <w:rPr>
          <w:spacing w:val="-12"/>
          <w:sz w:val="22"/>
        </w:rPr>
        <w:t> </w:t>
      </w:r>
      <w:r>
        <w:rPr>
          <w:sz w:val="22"/>
        </w:rPr>
        <w:t>other</w:t>
      </w:r>
      <w:r>
        <w:rPr>
          <w:spacing w:val="-9"/>
          <w:sz w:val="22"/>
        </w:rPr>
        <w:t> </w:t>
      </w:r>
      <w:r>
        <w:rPr>
          <w:sz w:val="22"/>
        </w:rPr>
        <w:t>teams,</w:t>
      </w:r>
      <w:r>
        <w:rPr>
          <w:spacing w:val="-9"/>
          <w:sz w:val="22"/>
        </w:rPr>
        <w:t> </w:t>
      </w:r>
      <w:r>
        <w:rPr>
          <w:sz w:val="22"/>
        </w:rPr>
        <w:t>such</w:t>
      </w:r>
      <w:r>
        <w:rPr>
          <w:spacing w:val="-10"/>
          <w:sz w:val="22"/>
        </w:rPr>
        <w:t> </w:t>
      </w:r>
      <w:r>
        <w:rPr>
          <w:sz w:val="22"/>
        </w:rPr>
        <w:t>as</w:t>
      </w:r>
      <w:r>
        <w:rPr>
          <w:spacing w:val="-11"/>
          <w:sz w:val="22"/>
        </w:rPr>
        <w:t> </w:t>
      </w:r>
      <w:r>
        <w:rPr>
          <w:sz w:val="22"/>
        </w:rPr>
        <w:t>the</w:t>
      </w:r>
      <w:r>
        <w:rPr>
          <w:spacing w:val="-9"/>
          <w:sz w:val="22"/>
        </w:rPr>
        <w:t> </w:t>
      </w:r>
      <w:r>
        <w:rPr>
          <w:sz w:val="22"/>
        </w:rPr>
        <w:t>Economics</w:t>
      </w:r>
      <w:r>
        <w:rPr>
          <w:spacing w:val="-9"/>
          <w:sz w:val="22"/>
        </w:rPr>
        <w:t> </w:t>
      </w:r>
      <w:r>
        <w:rPr>
          <w:sz w:val="22"/>
        </w:rPr>
        <w:t>and</w:t>
      </w:r>
      <w:r>
        <w:rPr>
          <w:spacing w:val="-9"/>
          <w:sz w:val="22"/>
        </w:rPr>
        <w:t> </w:t>
      </w:r>
      <w:r>
        <w:rPr>
          <w:sz w:val="22"/>
        </w:rPr>
        <w:t>Strategy </w:t>
      </w:r>
      <w:r>
        <w:rPr>
          <w:spacing w:val="-2"/>
          <w:sz w:val="22"/>
        </w:rPr>
        <w:t>teams.</w:t>
      </w:r>
    </w:p>
    <w:p>
      <w:pPr>
        <w:pStyle w:val="BodyText"/>
        <w:rPr>
          <w:sz w:val="20"/>
        </w:rPr>
      </w:pPr>
    </w:p>
    <w:p>
      <w:pPr>
        <w:pStyle w:val="BodyText"/>
        <w:rPr>
          <w:sz w:val="20"/>
        </w:rPr>
      </w:pPr>
    </w:p>
    <w:p>
      <w:pPr>
        <w:pStyle w:val="BodyText"/>
        <w:spacing w:before="1"/>
        <w:rPr>
          <w:sz w:val="13"/>
        </w:rPr>
      </w:pPr>
      <w:r>
        <w:rPr/>
        <w:pict>
          <v:rect style="position:absolute;margin-left:42.599998pt;margin-top:8.733563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1120" w:bottom="880" w:left="480" w:right="740"/>
          <w:pgNumType w:start="1"/>
        </w:sectPr>
      </w:pPr>
    </w:p>
    <w:p>
      <w:pPr>
        <w:pStyle w:val="ListParagraph"/>
        <w:numPr>
          <w:ilvl w:val="0"/>
          <w:numId w:val="3"/>
        </w:numPr>
        <w:tabs>
          <w:tab w:pos="799" w:val="left" w:leader="none"/>
          <w:tab w:pos="800" w:val="left" w:leader="none"/>
        </w:tabs>
        <w:spacing w:line="240" w:lineRule="auto" w:before="68" w:after="0"/>
        <w:ind w:left="799" w:right="0" w:hanging="428"/>
        <w:jc w:val="left"/>
        <w:rPr>
          <w:b/>
          <w:sz w:val="24"/>
        </w:rPr>
      </w:pPr>
      <w:r>
        <w:rPr>
          <w:b/>
          <w:sz w:val="24"/>
          <w:u w:val="single"/>
        </w:rPr>
        <w:t>Main</w:t>
      </w:r>
      <w:r>
        <w:rPr>
          <w:b/>
          <w:spacing w:val="-2"/>
          <w:sz w:val="24"/>
          <w:u w:val="single"/>
        </w:rPr>
        <w:t> qualifications</w:t>
      </w:r>
    </w:p>
    <w:p>
      <w:pPr>
        <w:pStyle w:val="BodyText"/>
        <w:rPr>
          <w:b/>
          <w:sz w:val="16"/>
        </w:rPr>
      </w:pPr>
    </w:p>
    <w:p>
      <w:pPr>
        <w:pStyle w:val="Heading1"/>
        <w:numPr>
          <w:ilvl w:val="0"/>
          <w:numId w:val="4"/>
        </w:numPr>
        <w:tabs>
          <w:tab w:pos="1040" w:val="left" w:leader="none"/>
        </w:tabs>
        <w:spacing w:line="240" w:lineRule="auto" w:before="92"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11"/>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9"/>
        <w:rPr>
          <w:sz w:val="21"/>
        </w:rPr>
      </w:pPr>
    </w:p>
    <w:p>
      <w:pPr>
        <w:pStyle w:val="ListParagraph"/>
        <w:numPr>
          <w:ilvl w:val="0"/>
          <w:numId w:val="5"/>
        </w:numPr>
        <w:tabs>
          <w:tab w:pos="1081" w:val="left" w:leader="none"/>
        </w:tabs>
        <w:spacing w:line="240" w:lineRule="auto" w:before="1" w:after="0"/>
        <w:ind w:left="1080" w:right="111"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
      </w:pPr>
    </w:p>
    <w:p>
      <w:pPr>
        <w:pStyle w:val="ListParagraph"/>
        <w:numPr>
          <w:ilvl w:val="0"/>
          <w:numId w:val="5"/>
        </w:numPr>
        <w:tabs>
          <w:tab w:pos="1081" w:val="left" w:leader="none"/>
        </w:tabs>
        <w:spacing w:line="240" w:lineRule="auto" w:before="1" w:after="0"/>
        <w:ind w:left="1080" w:right="109"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0"/>
        <w:rPr>
          <w:sz w:val="21"/>
        </w:rPr>
      </w:pPr>
    </w:p>
    <w:p>
      <w:pPr>
        <w:pStyle w:val="ListParagraph"/>
        <w:numPr>
          <w:ilvl w:val="0"/>
          <w:numId w:val="5"/>
        </w:numPr>
        <w:tabs>
          <w:tab w:pos="1081" w:val="left" w:leader="none"/>
        </w:tabs>
        <w:spacing w:line="240" w:lineRule="auto" w:before="0" w:after="0"/>
        <w:ind w:left="1080" w:right="107"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w:t>
      </w:r>
      <w:r>
        <w:rPr>
          <w:spacing w:val="-4"/>
          <w:sz w:val="22"/>
        </w:rPr>
        <w:t> </w:t>
      </w:r>
      <w:r>
        <w:rPr>
          <w:sz w:val="22"/>
        </w:rPr>
        <w:t>evidence</w:t>
      </w:r>
      <w:r>
        <w:rPr>
          <w:spacing w:val="-2"/>
          <w:sz w:val="22"/>
        </w:rPr>
        <w:t> </w:t>
      </w:r>
      <w:r>
        <w:rPr>
          <w:sz w:val="22"/>
        </w:rPr>
        <w:t>of</w:t>
      </w:r>
      <w:r>
        <w:rPr>
          <w:spacing w:val="-2"/>
          <w:sz w:val="22"/>
        </w:rPr>
        <w:t> </w:t>
      </w:r>
      <w:r>
        <w:rPr>
          <w:sz w:val="22"/>
        </w:rPr>
        <w:t>a</w:t>
      </w:r>
      <w:r>
        <w:rPr>
          <w:spacing w:val="-7"/>
          <w:sz w:val="22"/>
        </w:rPr>
        <w:t> </w:t>
      </w:r>
      <w:r>
        <w:rPr>
          <w:sz w:val="22"/>
        </w:rPr>
        <w:t>thorough</w:t>
      </w:r>
      <w:r>
        <w:rPr>
          <w:spacing w:val="-2"/>
          <w:sz w:val="22"/>
        </w:rPr>
        <w:t> </w:t>
      </w:r>
      <w:r>
        <w:rPr>
          <w:sz w:val="22"/>
        </w:rPr>
        <w:t>knowledge</w:t>
      </w:r>
      <w:r>
        <w:rPr>
          <w:spacing w:val="-2"/>
          <w:sz w:val="22"/>
        </w:rPr>
        <w:t> </w:t>
      </w:r>
      <w:r>
        <w:rPr>
          <w:sz w:val="22"/>
        </w:rPr>
        <w:t>of</w:t>
      </w:r>
      <w:r>
        <w:rPr>
          <w:spacing w:val="-4"/>
          <w:sz w:val="22"/>
        </w:rPr>
        <w:t> </w:t>
      </w:r>
      <w:r>
        <w:rPr>
          <w:sz w:val="22"/>
        </w:rPr>
        <w:t>one</w:t>
      </w:r>
      <w:r>
        <w:rPr>
          <w:spacing w:val="-4"/>
          <w:sz w:val="22"/>
        </w:rPr>
        <w:t> </w:t>
      </w:r>
      <w:r>
        <w:rPr>
          <w:sz w:val="22"/>
        </w:rPr>
        <w:t>EU</w:t>
      </w:r>
      <w:r>
        <w:rPr>
          <w:spacing w:val="-4"/>
          <w:sz w:val="22"/>
        </w:rPr>
        <w:t> </w:t>
      </w:r>
      <w:r>
        <w:rPr>
          <w:sz w:val="22"/>
        </w:rPr>
        <w:t>language</w:t>
      </w:r>
      <w:r>
        <w:rPr>
          <w:spacing w:val="-2"/>
          <w:sz w:val="22"/>
        </w:rPr>
        <w:t> </w:t>
      </w:r>
      <w:r>
        <w:rPr>
          <w:sz w:val="22"/>
        </w:rPr>
        <w:t>necessary</w:t>
      </w:r>
      <w:r>
        <w:rPr>
          <w:spacing w:val="-5"/>
          <w:sz w:val="22"/>
        </w:rPr>
        <w:t> </w:t>
      </w:r>
      <w:r>
        <w:rPr>
          <w:sz w:val="22"/>
        </w:rPr>
        <w:t>for</w:t>
      </w:r>
      <w:r>
        <w:rPr>
          <w:spacing w:val="-4"/>
          <w:sz w:val="22"/>
        </w:rPr>
        <w:t> </w:t>
      </w:r>
      <w:r>
        <w:rPr>
          <w:sz w:val="22"/>
        </w:rPr>
        <w:t>the</w:t>
      </w:r>
      <w:r>
        <w:rPr>
          <w:spacing w:val="-4"/>
          <w:sz w:val="22"/>
        </w:rPr>
        <w:t> </w:t>
      </w:r>
      <w:r>
        <w:rPr>
          <w:sz w:val="22"/>
        </w:rPr>
        <w:t>performance</w:t>
      </w:r>
      <w:r>
        <w:rPr>
          <w:spacing w:val="-2"/>
          <w:sz w:val="22"/>
        </w:rPr>
        <w:t> </w:t>
      </w:r>
      <w:r>
        <w:rPr>
          <w:sz w:val="22"/>
        </w:rPr>
        <w:t>of</w:t>
      </w:r>
      <w:r>
        <w:rPr>
          <w:spacing w:val="-2"/>
          <w:sz w:val="22"/>
        </w:rPr>
        <w:t> </w:t>
      </w:r>
      <w:r>
        <w:rPr>
          <w:sz w:val="22"/>
        </w:rPr>
        <w:t>his</w:t>
      </w:r>
      <w:r>
        <w:rPr>
          <w:spacing w:val="-4"/>
          <w:sz w:val="22"/>
        </w:rPr>
        <w:t> </w:t>
      </w:r>
      <w:r>
        <w:rPr>
          <w:sz w:val="22"/>
        </w:rPr>
        <w:t>duties.</w:t>
      </w:r>
    </w:p>
    <w:p>
      <w:pPr>
        <w:pStyle w:val="BodyText"/>
        <w:spacing w:before="4"/>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9"/>
        <w:rPr>
          <w:b/>
          <w:sz w:val="15"/>
        </w:rPr>
      </w:pPr>
    </w:p>
    <w:p>
      <w:pPr>
        <w:pStyle w:val="BodyText"/>
        <w:spacing w:line="252" w:lineRule="exact" w:before="92"/>
        <w:ind w:left="1080"/>
      </w:pPr>
      <w:r>
        <w:rPr>
          <w:spacing w:val="-2"/>
          <w:u w:val="single"/>
        </w:rPr>
        <w:t>Diploma</w:t>
      </w:r>
    </w:p>
    <w:p>
      <w:pPr>
        <w:pStyle w:val="ListParagraph"/>
        <w:numPr>
          <w:ilvl w:val="1"/>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477" w:lineRule="auto" w:before="1" w:after="0"/>
        <w:ind w:left="1190" w:right="3333" w:hanging="111"/>
        <w:jc w:val="left"/>
        <w:rPr>
          <w:sz w:val="22"/>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 science, R&amp;D, and innovation.</w:t>
      </w:r>
    </w:p>
    <w:p>
      <w:pPr>
        <w:pStyle w:val="BodyText"/>
        <w:spacing w:before="4"/>
        <w:ind w:left="1080"/>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before="91"/>
        <w:ind w:left="1080" w:right="164"/>
        <w:jc w:val="both"/>
      </w:pPr>
      <w:r>
        <w:rPr/>
        <w:t>The expert will have a multidisciplinary background and a thorough understanding of policy-making. S/he will</w:t>
      </w:r>
      <w:r>
        <w:rPr>
          <w:spacing w:val="-12"/>
        </w:rPr>
        <w:t> </w:t>
      </w:r>
      <w:r>
        <w:rPr/>
        <w:t>have</w:t>
      </w:r>
      <w:r>
        <w:rPr>
          <w:spacing w:val="-12"/>
        </w:rPr>
        <w:t> </w:t>
      </w:r>
      <w:r>
        <w:rPr/>
        <w:t>at</w:t>
      </w:r>
      <w:r>
        <w:rPr>
          <w:spacing w:val="-12"/>
        </w:rPr>
        <w:t> </w:t>
      </w:r>
      <w:r>
        <w:rPr/>
        <w:t>least</w:t>
      </w:r>
      <w:r>
        <w:rPr>
          <w:spacing w:val="-12"/>
        </w:rPr>
        <w:t> </w:t>
      </w:r>
      <w:r>
        <w:rPr/>
        <w:t>2</w:t>
      </w:r>
      <w:r>
        <w:rPr>
          <w:spacing w:val="-12"/>
        </w:rPr>
        <w:t> </w:t>
      </w:r>
      <w:r>
        <w:rPr/>
        <w:t>years</w:t>
      </w:r>
      <w:r>
        <w:rPr>
          <w:spacing w:val="-11"/>
        </w:rPr>
        <w:t> </w:t>
      </w:r>
      <w:r>
        <w:rPr/>
        <w:t>of</w:t>
      </w:r>
      <w:r>
        <w:rPr>
          <w:spacing w:val="-13"/>
        </w:rPr>
        <w:t> </w:t>
      </w:r>
      <w:r>
        <w:rPr/>
        <w:t>experience</w:t>
      </w:r>
      <w:r>
        <w:rPr>
          <w:spacing w:val="-13"/>
        </w:rPr>
        <w:t> </w:t>
      </w:r>
      <w:r>
        <w:rPr/>
        <w:t>in</w:t>
      </w:r>
      <w:r>
        <w:rPr>
          <w:spacing w:val="-12"/>
        </w:rPr>
        <w:t> </w:t>
      </w:r>
      <w:r>
        <w:rPr/>
        <w:t>policy</w:t>
      </w:r>
      <w:r>
        <w:rPr>
          <w:spacing w:val="-13"/>
        </w:rPr>
        <w:t> </w:t>
      </w:r>
      <w:r>
        <w:rPr/>
        <w:t>analysis.</w:t>
      </w:r>
      <w:r>
        <w:rPr>
          <w:spacing w:val="-11"/>
        </w:rPr>
        <w:t> </w:t>
      </w:r>
      <w:r>
        <w:rPr/>
        <w:t>In</w:t>
      </w:r>
      <w:r>
        <w:rPr>
          <w:spacing w:val="-12"/>
        </w:rPr>
        <w:t> </w:t>
      </w:r>
      <w:r>
        <w:rPr/>
        <w:t>addition,</w:t>
      </w:r>
      <w:r>
        <w:rPr>
          <w:spacing w:val="-12"/>
        </w:rPr>
        <w:t> </w:t>
      </w:r>
      <w:r>
        <w:rPr/>
        <w:t>proven</w:t>
      </w:r>
      <w:r>
        <w:rPr>
          <w:spacing w:val="-12"/>
        </w:rPr>
        <w:t> </w:t>
      </w:r>
      <w:r>
        <w:rPr/>
        <w:t>experience</w:t>
      </w:r>
      <w:r>
        <w:rPr>
          <w:spacing w:val="-13"/>
        </w:rPr>
        <w:t> </w:t>
      </w:r>
      <w:r>
        <w:rPr/>
        <w:t>in</w:t>
      </w:r>
      <w:r>
        <w:rPr>
          <w:spacing w:val="-6"/>
        </w:rPr>
        <w:t> </w:t>
      </w:r>
      <w:r>
        <w:rPr/>
        <w:t>foresight</w:t>
      </w:r>
      <w:r>
        <w:rPr>
          <w:spacing w:val="-12"/>
        </w:rPr>
        <w:t> </w:t>
      </w:r>
      <w:r>
        <w:rPr/>
        <w:t>relating to R&amp;I policy would be a strong asset.</w:t>
      </w:r>
    </w:p>
    <w:p>
      <w:pPr>
        <w:pStyle w:val="BodyText"/>
        <w:spacing w:before="1"/>
      </w:pPr>
    </w:p>
    <w:p>
      <w:pPr>
        <w:pStyle w:val="BodyText"/>
        <w:ind w:left="1080"/>
        <w:jc w:val="both"/>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2"/>
        <w:ind w:left="1080"/>
      </w:pPr>
      <w:r>
        <w:rPr/>
        <w:t>A thorough knowledge of one of</w:t>
      </w:r>
      <w:r>
        <w:rPr>
          <w:spacing w:val="-1"/>
        </w:rPr>
        <w:t> </w:t>
      </w:r>
      <w:r>
        <w:rPr/>
        <w:t>the EU</w:t>
      </w:r>
      <w:r>
        <w:rPr>
          <w:spacing w:val="-1"/>
        </w:rPr>
        <w:t> </w:t>
      </w:r>
      <w:r>
        <w:rPr/>
        <w:t>languages and</w:t>
      </w:r>
      <w:r>
        <w:rPr>
          <w:spacing w:val="-1"/>
        </w:rPr>
        <w:t> </w:t>
      </w:r>
      <w:r>
        <w:rPr/>
        <w:t>a satisfactory</w:t>
      </w:r>
      <w:r>
        <w:rPr>
          <w:spacing w:val="-2"/>
        </w:rPr>
        <w:t> </w:t>
      </w:r>
      <w:r>
        <w:rPr/>
        <w:t>knowledge of another EU</w:t>
      </w:r>
      <w:r>
        <w:rPr>
          <w:spacing w:val="-1"/>
        </w:rPr>
        <w:t> </w:t>
      </w:r>
      <w:r>
        <w:rPr/>
        <w:t>language is required. Excellent command of written and spoken English is essential.</w:t>
      </w:r>
    </w:p>
    <w:p>
      <w:pPr>
        <w:pStyle w:val="BodyText"/>
        <w:spacing w:before="4"/>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2"/>
        <w:ind w:left="799" w:right="279"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w:t>
      </w:r>
      <w:r>
        <w:rPr>
          <w:spacing w:val="-11"/>
          <w:sz w:val="22"/>
        </w:rPr>
        <w:t> </w:t>
      </w:r>
      <w:r>
        <w:rPr>
          <w:sz w:val="22"/>
        </w:rPr>
        <w:t>in</w:t>
      </w:r>
      <w:r>
        <w:rPr>
          <w:spacing w:val="-9"/>
          <w:sz w:val="22"/>
        </w:rPr>
        <w:t> </w:t>
      </w:r>
      <w:r>
        <w:rPr>
          <w:sz w:val="22"/>
        </w:rPr>
        <w:t>English,</w:t>
      </w:r>
      <w:r>
        <w:rPr>
          <w:spacing w:val="-8"/>
          <w:sz w:val="22"/>
        </w:rPr>
        <w:t> </w:t>
      </w:r>
      <w:r>
        <w:rPr>
          <w:sz w:val="22"/>
        </w:rPr>
        <w:t>French</w:t>
      </w:r>
      <w:r>
        <w:rPr>
          <w:spacing w:val="-9"/>
          <w:sz w:val="22"/>
        </w:rPr>
        <w:t> </w:t>
      </w:r>
      <w:r>
        <w:rPr>
          <w:sz w:val="22"/>
        </w:rPr>
        <w:t>or</w:t>
      </w:r>
      <w:r>
        <w:rPr>
          <w:spacing w:val="-8"/>
          <w:sz w:val="22"/>
        </w:rPr>
        <w:t> </w:t>
      </w:r>
      <w:r>
        <w:rPr>
          <w:sz w:val="22"/>
        </w:rPr>
        <w:t>German</w:t>
      </w:r>
      <w:r>
        <w:rPr>
          <w:spacing w:val="-7"/>
          <w:sz w:val="22"/>
        </w:rPr>
        <w:t> </w:t>
      </w:r>
      <w:r>
        <w:rPr>
          <w:b/>
          <w:sz w:val="22"/>
          <w:u w:val="single"/>
        </w:rPr>
        <w:t>only</w:t>
      </w:r>
      <w:r>
        <w:rPr>
          <w:b/>
          <w:spacing w:val="-11"/>
          <w:sz w:val="22"/>
          <w:u w:val="single"/>
        </w:rPr>
        <w:t> </w:t>
      </w:r>
      <w:r>
        <w:rPr>
          <w:b/>
          <w:sz w:val="22"/>
          <w:u w:val="single"/>
        </w:rPr>
        <w:t>to</w:t>
      </w:r>
      <w:r>
        <w:rPr>
          <w:b/>
          <w:spacing w:val="-9"/>
          <w:sz w:val="22"/>
          <w:u w:val="single"/>
        </w:rPr>
        <w:t> </w:t>
      </w:r>
      <w:r>
        <w:rPr>
          <w:b/>
          <w:sz w:val="22"/>
          <w:u w:val="single"/>
        </w:rPr>
        <w:t>the</w:t>
      </w:r>
      <w:r>
        <w:rPr>
          <w:b/>
          <w:sz w:val="22"/>
        </w:rPr>
        <w:t> </w:t>
      </w:r>
      <w:r>
        <w:rPr>
          <w:b/>
          <w:sz w:val="22"/>
          <w:u w:val="single"/>
        </w:rPr>
        <w:t>Permanent Representation / Diplomatic Mission to the EU of their country</w:t>
      </w:r>
      <w:r>
        <w:rPr>
          <w:sz w:val="22"/>
        </w:rPr>
        <w:t>, which will forward it to the competent</w:t>
      </w:r>
      <w:r>
        <w:rPr>
          <w:spacing w:val="-1"/>
          <w:sz w:val="22"/>
        </w:rPr>
        <w:t> </w:t>
      </w:r>
      <w:r>
        <w:rPr>
          <w:sz w:val="22"/>
        </w:rPr>
        <w:t>services</w:t>
      </w:r>
      <w:r>
        <w:rPr>
          <w:spacing w:val="-2"/>
          <w:sz w:val="22"/>
        </w:rPr>
        <w:t> </w:t>
      </w:r>
      <w:r>
        <w:rPr>
          <w:sz w:val="22"/>
        </w:rPr>
        <w:t>of</w:t>
      </w:r>
      <w:r>
        <w:rPr>
          <w:spacing w:val="-2"/>
          <w:sz w:val="22"/>
        </w:rPr>
        <w:t> </w:t>
      </w:r>
      <w:r>
        <w:rPr>
          <w:sz w:val="22"/>
        </w:rPr>
        <w:t>the</w:t>
      </w:r>
      <w:r>
        <w:rPr>
          <w:spacing w:val="-2"/>
          <w:sz w:val="22"/>
        </w:rPr>
        <w:t> </w:t>
      </w:r>
      <w:r>
        <w:rPr>
          <w:sz w:val="22"/>
        </w:rPr>
        <w:t>Commission within</w:t>
      </w:r>
      <w:r>
        <w:rPr>
          <w:spacing w:val="-2"/>
          <w:sz w:val="22"/>
        </w:rPr>
        <w:t> </w:t>
      </w:r>
      <w:r>
        <w:rPr>
          <w:sz w:val="22"/>
        </w:rPr>
        <w:t>the</w:t>
      </w:r>
      <w:r>
        <w:rPr>
          <w:spacing w:val="-2"/>
          <w:sz w:val="22"/>
        </w:rPr>
        <w:t> </w:t>
      </w:r>
      <w:r>
        <w:rPr>
          <w:sz w:val="22"/>
        </w:rPr>
        <w:t>deadline</w:t>
      </w:r>
      <w:r>
        <w:rPr>
          <w:spacing w:val="-2"/>
          <w:sz w:val="22"/>
        </w:rPr>
        <w:t> </w:t>
      </w:r>
      <w:r>
        <w:rPr>
          <w:sz w:val="22"/>
        </w:rPr>
        <w:t>fixed</w:t>
      </w:r>
      <w:r>
        <w:rPr>
          <w:spacing w:val="-2"/>
          <w:sz w:val="22"/>
        </w:rPr>
        <w:t> </w:t>
      </w:r>
      <w:r>
        <w:rPr>
          <w:sz w:val="22"/>
        </w:rPr>
        <w:t>by</w:t>
      </w:r>
      <w:r>
        <w:rPr>
          <w:spacing w:val="-3"/>
          <w:sz w:val="22"/>
        </w:rPr>
        <w:t> </w:t>
      </w:r>
      <w:r>
        <w:rPr>
          <w:sz w:val="22"/>
        </w:rPr>
        <w:t>the</w:t>
      </w:r>
      <w:r>
        <w:rPr>
          <w:spacing w:val="-2"/>
          <w:sz w:val="22"/>
        </w:rPr>
        <w:t> </w:t>
      </w:r>
      <w:r>
        <w:rPr>
          <w:sz w:val="22"/>
        </w:rPr>
        <w:t>latter. The</w:t>
      </w:r>
      <w:r>
        <w:rPr>
          <w:spacing w:val="-2"/>
          <w:sz w:val="22"/>
        </w:rPr>
        <w:t> </w:t>
      </w:r>
      <w:r>
        <w:rPr>
          <w:sz w:val="22"/>
        </w:rPr>
        <w:t>CV must mention</w:t>
      </w:r>
      <w:r>
        <w:rPr>
          <w:spacing w:val="-2"/>
          <w:sz w:val="22"/>
        </w:rPr>
        <w:t> </w:t>
      </w:r>
      <w:r>
        <w:rPr>
          <w:sz w:val="22"/>
        </w:rPr>
        <w:t>the</w:t>
      </w:r>
      <w:r>
        <w:rPr>
          <w:spacing w:val="-2"/>
          <w:sz w:val="22"/>
        </w:rPr>
        <w:t> </w:t>
      </w:r>
      <w:r>
        <w:rPr>
          <w:sz w:val="22"/>
        </w:rPr>
        <w:t>date of</w:t>
      </w:r>
      <w:r>
        <w:rPr>
          <w:spacing w:val="-4"/>
          <w:sz w:val="22"/>
        </w:rPr>
        <w:t> </w:t>
      </w:r>
      <w:r>
        <w:rPr>
          <w:sz w:val="22"/>
        </w:rPr>
        <w:t>birth</w:t>
      </w:r>
      <w:r>
        <w:rPr>
          <w:spacing w:val="-5"/>
          <w:sz w:val="22"/>
        </w:rPr>
        <w:t> </w:t>
      </w:r>
      <w:r>
        <w:rPr>
          <w:sz w:val="22"/>
        </w:rPr>
        <w:t>and</w:t>
      </w:r>
      <w:r>
        <w:rPr>
          <w:spacing w:val="-5"/>
          <w:sz w:val="22"/>
        </w:rPr>
        <w:t> </w:t>
      </w:r>
      <w:r>
        <w:rPr>
          <w:sz w:val="22"/>
        </w:rPr>
        <w:t>the</w:t>
      </w:r>
      <w:r>
        <w:rPr>
          <w:spacing w:val="-4"/>
          <w:sz w:val="22"/>
        </w:rPr>
        <w:t> </w:t>
      </w:r>
      <w:r>
        <w:rPr>
          <w:sz w:val="22"/>
        </w:rPr>
        <w:t>nationality</w:t>
      </w:r>
      <w:r>
        <w:rPr>
          <w:spacing w:val="-7"/>
          <w:sz w:val="22"/>
        </w:rPr>
        <w:t> </w:t>
      </w:r>
      <w:r>
        <w:rPr>
          <w:sz w:val="22"/>
        </w:rPr>
        <w:t>of</w:t>
      </w:r>
      <w:r>
        <w:rPr>
          <w:spacing w:val="-4"/>
          <w:sz w:val="22"/>
        </w:rPr>
        <w:t> </w:t>
      </w:r>
      <w:r>
        <w:rPr>
          <w:sz w:val="22"/>
        </w:rPr>
        <w:t>the</w:t>
      </w:r>
      <w:r>
        <w:rPr>
          <w:spacing w:val="-7"/>
          <w:sz w:val="22"/>
        </w:rPr>
        <w:t> </w:t>
      </w:r>
      <w:r>
        <w:rPr>
          <w:sz w:val="22"/>
        </w:rPr>
        <w:t>candidate.</w:t>
      </w:r>
      <w:r>
        <w:rPr>
          <w:spacing w:val="-1"/>
          <w:sz w:val="22"/>
        </w:rPr>
        <w:t> </w:t>
      </w:r>
      <w:r>
        <w:rPr>
          <w:b/>
          <w:sz w:val="22"/>
        </w:rPr>
        <w:t>Not</w:t>
      </w:r>
      <w:r>
        <w:rPr>
          <w:b/>
          <w:spacing w:val="-6"/>
          <w:sz w:val="22"/>
        </w:rPr>
        <w:t> </w:t>
      </w:r>
      <w:r>
        <w:rPr>
          <w:b/>
          <w:sz w:val="22"/>
        </w:rPr>
        <w:t>respecting</w:t>
      </w:r>
      <w:r>
        <w:rPr>
          <w:b/>
          <w:spacing w:val="-7"/>
          <w:sz w:val="22"/>
        </w:rPr>
        <w:t> </w:t>
      </w:r>
      <w:r>
        <w:rPr>
          <w:b/>
          <w:sz w:val="22"/>
        </w:rPr>
        <w:t>this</w:t>
      </w:r>
      <w:r>
        <w:rPr>
          <w:b/>
          <w:spacing w:val="-3"/>
          <w:sz w:val="22"/>
        </w:rPr>
        <w:t> </w:t>
      </w:r>
      <w:r>
        <w:rPr>
          <w:b/>
          <w:sz w:val="22"/>
        </w:rPr>
        <w:t>procedure</w:t>
      </w:r>
      <w:r>
        <w:rPr>
          <w:b/>
          <w:spacing w:val="-4"/>
          <w:sz w:val="22"/>
        </w:rPr>
        <w:t> </w:t>
      </w:r>
      <w:r>
        <w:rPr>
          <w:b/>
          <w:sz w:val="22"/>
        </w:rPr>
        <w:t>or</w:t>
      </w:r>
      <w:r>
        <w:rPr>
          <w:b/>
          <w:spacing w:val="-4"/>
          <w:sz w:val="22"/>
        </w:rPr>
        <w:t> </w:t>
      </w:r>
      <w:r>
        <w:rPr>
          <w:b/>
          <w:sz w:val="22"/>
        </w:rPr>
        <w:t>deadlines</w:t>
      </w:r>
      <w:r>
        <w:rPr>
          <w:b/>
          <w:spacing w:val="-6"/>
          <w:sz w:val="22"/>
        </w:rPr>
        <w:t> </w:t>
      </w:r>
      <w:r>
        <w:rPr>
          <w:b/>
          <w:sz w:val="22"/>
        </w:rPr>
        <w:t>will</w:t>
      </w:r>
      <w:r>
        <w:rPr>
          <w:b/>
          <w:spacing w:val="-4"/>
          <w:sz w:val="22"/>
        </w:rPr>
        <w:t> </w:t>
      </w:r>
      <w:r>
        <w:rPr>
          <w:b/>
          <w:sz w:val="22"/>
        </w:rPr>
        <w:t>automatically invalidate the application.</w:t>
      </w:r>
    </w:p>
    <w:p>
      <w:pPr>
        <w:pStyle w:val="BodyText"/>
        <w:rPr>
          <w:b/>
        </w:rPr>
      </w:pPr>
    </w:p>
    <w:p>
      <w:pPr>
        <w:pStyle w:val="BodyText"/>
        <w:spacing w:before="1"/>
        <w:ind w:left="799" w:right="267"/>
        <w:jc w:val="both"/>
      </w:pPr>
      <w:r>
        <w:rPr/>
        <w:t>Candidates</w:t>
      </w:r>
      <w:r>
        <w:rPr>
          <w:spacing w:val="-1"/>
        </w:rPr>
        <w:t> </w:t>
      </w:r>
      <w:r>
        <w:rPr/>
        <w:t>are</w:t>
      </w:r>
      <w:r>
        <w:rPr>
          <w:spacing w:val="-3"/>
        </w:rPr>
        <w:t> </w:t>
      </w:r>
      <w:r>
        <w:rPr/>
        <w:t>asked</w:t>
      </w:r>
      <w:r>
        <w:rPr>
          <w:spacing w:val="-3"/>
        </w:rPr>
        <w:t> </w:t>
      </w:r>
      <w:r>
        <w:rPr/>
        <w:t>not</w:t>
      </w:r>
      <w:r>
        <w:rPr>
          <w:spacing w:val="-3"/>
        </w:rPr>
        <w:t> </w:t>
      </w:r>
      <w:r>
        <w:rPr/>
        <w:t>to</w:t>
      </w:r>
      <w:r>
        <w:rPr>
          <w:spacing w:val="-4"/>
        </w:rPr>
        <w:t> </w:t>
      </w:r>
      <w:r>
        <w:rPr/>
        <w:t>add</w:t>
      </w:r>
      <w:r>
        <w:rPr>
          <w:spacing w:val="-3"/>
        </w:rPr>
        <w:t> </w:t>
      </w:r>
      <w:r>
        <w:rPr/>
        <w:t>any</w:t>
      </w:r>
      <w:r>
        <w:rPr>
          <w:spacing w:val="-3"/>
        </w:rPr>
        <w:t> </w:t>
      </w:r>
      <w:r>
        <w:rPr/>
        <w:t>other</w:t>
      </w:r>
      <w:r>
        <w:rPr>
          <w:spacing w:val="-2"/>
        </w:rPr>
        <w:t> </w:t>
      </w:r>
      <w:r>
        <w:rPr/>
        <w:t>documents</w:t>
      </w:r>
      <w:r>
        <w:rPr>
          <w:spacing w:val="-2"/>
        </w:rPr>
        <w:t> </w:t>
      </w:r>
      <w:r>
        <w:rPr/>
        <w:t>(such</w:t>
      </w:r>
      <w:r>
        <w:rPr>
          <w:spacing w:val="-4"/>
        </w:rPr>
        <w:t> </w:t>
      </w:r>
      <w:r>
        <w:rPr/>
        <w:t>as</w:t>
      </w:r>
      <w:r>
        <w:rPr>
          <w:spacing w:val="-3"/>
        </w:rPr>
        <w:t> </w:t>
      </w:r>
      <w:r>
        <w:rPr/>
        <w:t>copy</w:t>
      </w:r>
      <w:r>
        <w:rPr>
          <w:spacing w:val="-3"/>
        </w:rPr>
        <w:t> </w:t>
      </w:r>
      <w:r>
        <w:rPr/>
        <w:t>of</w:t>
      </w:r>
      <w:r>
        <w:rPr>
          <w:spacing w:val="-3"/>
        </w:rPr>
        <w:t> </w:t>
      </w:r>
      <w:r>
        <w:rPr/>
        <w:t>passport,</w:t>
      </w:r>
      <w:r>
        <w:rPr>
          <w:spacing w:val="-4"/>
        </w:rPr>
        <w:t> </w:t>
      </w:r>
      <w:r>
        <w:rPr/>
        <w:t>copy</w:t>
      </w:r>
      <w:r>
        <w:rPr>
          <w:spacing w:val="-4"/>
        </w:rPr>
        <w:t> </w:t>
      </w:r>
      <w:r>
        <w:rPr/>
        <w:t>of</w:t>
      </w:r>
      <w:r>
        <w:rPr>
          <w:spacing w:val="-1"/>
        </w:rPr>
        <w:t> </w:t>
      </w:r>
      <w:r>
        <w:rPr/>
        <w:t>degrees</w:t>
      </w:r>
      <w:r>
        <w:rPr>
          <w:spacing w:val="-3"/>
        </w:rPr>
        <w:t> </w:t>
      </w:r>
      <w:r>
        <w:rPr/>
        <w:t>or</w:t>
      </w:r>
      <w:r>
        <w:rPr>
          <w:spacing w:val="-3"/>
        </w:rPr>
        <w:t> </w:t>
      </w:r>
      <w:r>
        <w:rPr/>
        <w:t>certificate of professional experience, etc.). If necessary, these will be requested at a later stage.</w:t>
      </w:r>
    </w:p>
    <w:p>
      <w:pPr>
        <w:pStyle w:val="BodyText"/>
        <w:spacing w:line="251" w:lineRule="exact"/>
        <w:ind w:left="799"/>
        <w:jc w:val="both"/>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BodyText"/>
        <w:rPr>
          <w:sz w:val="24"/>
        </w:rPr>
      </w:pPr>
    </w:p>
    <w:p>
      <w:pPr>
        <w:pStyle w:val="BodyText"/>
        <w:spacing w:before="7"/>
        <w:rPr>
          <w:sz w:val="20"/>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4"/>
          <w:sz w:val="24"/>
          <w:u w:val="single"/>
        </w:rPr>
        <w:t> </w:t>
      </w:r>
      <w:r>
        <w:rPr>
          <w:b/>
          <w:sz w:val="24"/>
          <w:u w:val="single"/>
        </w:rPr>
        <w:t>the</w:t>
      </w:r>
      <w:r>
        <w:rPr>
          <w:b/>
          <w:spacing w:val="-5"/>
          <w:sz w:val="24"/>
          <w:u w:val="single"/>
        </w:rPr>
        <w:t> </w:t>
      </w:r>
      <w:r>
        <w:rPr>
          <w:b/>
          <w:spacing w:val="-2"/>
          <w:sz w:val="24"/>
          <w:u w:val="single"/>
        </w:rPr>
        <w:t>secondment</w:t>
      </w:r>
    </w:p>
    <w:p>
      <w:pPr>
        <w:spacing w:after="0" w:line="240" w:lineRule="auto"/>
        <w:jc w:val="left"/>
        <w:rPr>
          <w:sz w:val="24"/>
        </w:rPr>
        <w:sectPr>
          <w:pgSz w:w="11910" w:h="16840"/>
          <w:pgMar w:header="0" w:footer="690" w:top="1300" w:bottom="880" w:left="480" w:right="740"/>
        </w:sectPr>
      </w:pPr>
    </w:p>
    <w:p>
      <w:pPr>
        <w:spacing w:before="68"/>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2"/>
        <w:ind w:left="799" w:right="287"/>
        <w:jc w:val="both"/>
      </w:pPr>
      <w:r>
        <w:rPr/>
        <w:t>The SNE will remain employed and remunerated by his/her employer during the secondment. He/she will equally remain covered by the national social security system.</w:t>
      </w:r>
    </w:p>
    <w:p>
      <w:pPr>
        <w:pStyle w:val="BodyText"/>
        <w:spacing w:before="1"/>
        <w:ind w:left="799" w:right="286"/>
        <w:jc w:val="both"/>
      </w:pPr>
      <w:r>
        <w:rPr/>
        <w:t>Unless for cost-free SNE, allowances may be granted by the Commission to SNE fulfilling the conditions provided for in Art. 17 of the SNE decision.</w:t>
      </w:r>
    </w:p>
    <w:p>
      <w:pPr>
        <w:pStyle w:val="BodyText"/>
        <w:spacing w:before="10"/>
        <w:rPr>
          <w:sz w:val="21"/>
        </w:rPr>
      </w:pPr>
    </w:p>
    <w:p>
      <w:pPr>
        <w:pStyle w:val="BodyText"/>
        <w:spacing w:before="1"/>
        <w:ind w:left="799" w:right="283"/>
        <w:jc w:val="both"/>
      </w:pPr>
      <w:r>
        <w:rPr/>
        <w:t>During the secondment, SNE are subject to confidentiality, loyalty and absence of conflict of interest obligations, as provided for in Art. 6 and 7 of the SNE Decision.</w:t>
      </w:r>
    </w:p>
    <w:p>
      <w:pPr>
        <w:pStyle w:val="BodyText"/>
        <w:ind w:left="799"/>
        <w:jc w:val="both"/>
      </w:pPr>
      <w:r>
        <w:rPr/>
        <w:t>If</w:t>
      </w:r>
      <w:r>
        <w:rPr>
          <w:spacing w:val="-5"/>
        </w:rPr>
        <w:t> </w:t>
      </w:r>
      <w:r>
        <w:rPr/>
        <w:t>any</w:t>
      </w:r>
      <w:r>
        <w:rPr>
          <w:spacing w:val="-5"/>
        </w:rPr>
        <w:t> </w:t>
      </w:r>
      <w:r>
        <w:rPr/>
        <w:t>document</w:t>
      </w:r>
      <w:r>
        <w:rPr>
          <w:spacing w:val="-2"/>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3"/>
        </w:rPr>
        <w:t> </w:t>
      </w:r>
      <w:r>
        <w:rPr/>
        <w:t>the</w:t>
      </w:r>
      <w:r>
        <w:rPr>
          <w:spacing w:val="-4"/>
        </w:rPr>
        <w:t> </w:t>
      </w:r>
      <w:r>
        <w:rPr/>
        <w:t>application</w:t>
      </w:r>
      <w:r>
        <w:rPr>
          <w:spacing w:val="-3"/>
        </w:rPr>
        <w:t> </w:t>
      </w:r>
      <w:r>
        <w:rPr/>
        <w:t>may</w:t>
      </w:r>
      <w:r>
        <w:rPr>
          <w:spacing w:val="-5"/>
        </w:rPr>
        <w:t> </w:t>
      </w:r>
      <w:r>
        <w:rPr/>
        <w:t>be</w:t>
      </w:r>
      <w:r>
        <w:rPr>
          <w:spacing w:val="-2"/>
        </w:rPr>
        <w:t> cancelled.</w:t>
      </w:r>
    </w:p>
    <w:p>
      <w:pPr>
        <w:pStyle w:val="BodyText"/>
        <w:spacing w:before="9"/>
        <w:rPr>
          <w:sz w:val="21"/>
        </w:rPr>
      </w:pPr>
    </w:p>
    <w:p>
      <w:pPr>
        <w:pStyle w:val="BodyText"/>
        <w:spacing w:before="1"/>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spacing w:before="1"/>
        <w:ind w:left="799" w:right="109"/>
        <w:jc w:val="both"/>
      </w:pPr>
      <w:r>
        <w:rPr/>
        <w:t>The selected candidate has the obligation to launch the vetting procedure before getting the secondment </w:t>
      </w:r>
      <w:r>
        <w:rPr>
          <w:spacing w:val="-2"/>
        </w:rPr>
        <w:t>confirmation.</w:t>
      </w:r>
    </w:p>
    <w:p>
      <w:pPr>
        <w:pStyle w:val="BodyText"/>
        <w:spacing w:before="4"/>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7"/>
        <w:rPr>
          <w:b/>
          <w:sz w:val="15"/>
        </w:rPr>
      </w:pPr>
    </w:p>
    <w:p>
      <w:pPr>
        <w:pStyle w:val="BodyText"/>
        <w:spacing w:before="92"/>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91"/>
        <w:jc w:val="both"/>
      </w:pPr>
      <w:r>
        <w:rPr/>
        <w:t>Data is kept by the competent services for 10 years after the secondment (2 years for not selected or not seconded experts).</w:t>
      </w:r>
    </w:p>
    <w:p>
      <w:pPr>
        <w:pStyle w:val="BodyText"/>
        <w:ind w:left="799" w:right="283"/>
        <w:jc w:val="both"/>
      </w:pPr>
      <w:r>
        <w:rPr/>
        <w:t>You</w:t>
      </w:r>
      <w:r>
        <w:rPr>
          <w:spacing w:val="-5"/>
        </w:rPr>
        <w:t> </w:t>
      </w:r>
      <w:r>
        <w:rPr/>
        <w:t>have</w:t>
      </w:r>
      <w:r>
        <w:rPr>
          <w:spacing w:val="-4"/>
        </w:rPr>
        <w:t> </w:t>
      </w:r>
      <w:r>
        <w:rPr/>
        <w:t>specific</w:t>
      </w:r>
      <w:r>
        <w:rPr>
          <w:spacing w:val="-4"/>
        </w:rPr>
        <w:t> </w:t>
      </w:r>
      <w:r>
        <w:rPr/>
        <w:t>rights</w:t>
      </w:r>
      <w:r>
        <w:rPr>
          <w:spacing w:val="-4"/>
        </w:rPr>
        <w:t> </w:t>
      </w:r>
      <w:r>
        <w:rPr/>
        <w:t>as</w:t>
      </w:r>
      <w:r>
        <w:rPr>
          <w:spacing w:val="-4"/>
        </w:rPr>
        <w:t> </w:t>
      </w:r>
      <w:r>
        <w:rPr/>
        <w:t>a</w:t>
      </w:r>
      <w:r>
        <w:rPr>
          <w:spacing w:val="-4"/>
        </w:rPr>
        <w:t> </w:t>
      </w:r>
      <w:r>
        <w:rPr/>
        <w:t>‘data</w:t>
      </w:r>
      <w:r>
        <w:rPr>
          <w:spacing w:val="-4"/>
        </w:rPr>
        <w:t> </w:t>
      </w:r>
      <w:r>
        <w:rPr/>
        <w:t>subject’</w:t>
      </w:r>
      <w:r>
        <w:rPr>
          <w:spacing w:val="-4"/>
        </w:rPr>
        <w:t> </w:t>
      </w:r>
      <w:r>
        <w:rPr/>
        <w:t>under</w:t>
      </w:r>
      <w:r>
        <w:rPr>
          <w:spacing w:val="-4"/>
        </w:rPr>
        <w:t> </w:t>
      </w:r>
      <w:r>
        <w:rPr/>
        <w:t>Chapter</w:t>
      </w:r>
      <w:r>
        <w:rPr>
          <w:spacing w:val="-4"/>
        </w:rPr>
        <w:t> </w:t>
      </w:r>
      <w:r>
        <w:rPr/>
        <w:t>III</w:t>
      </w:r>
      <w:r>
        <w:rPr>
          <w:spacing w:val="-9"/>
        </w:rPr>
        <w:t> </w:t>
      </w:r>
      <w:r>
        <w:rPr/>
        <w:t>(Articles</w:t>
      </w:r>
      <w:r>
        <w:rPr>
          <w:spacing w:val="-4"/>
        </w:rPr>
        <w:t> </w:t>
      </w:r>
      <w:r>
        <w:rPr/>
        <w:t>14-25)</w:t>
      </w:r>
      <w:r>
        <w:rPr>
          <w:spacing w:val="-4"/>
        </w:rPr>
        <w:t> </w:t>
      </w:r>
      <w:r>
        <w:rPr/>
        <w:t>of</w:t>
      </w:r>
      <w:r>
        <w:rPr>
          <w:spacing w:val="-4"/>
        </w:rPr>
        <w:t> </w:t>
      </w:r>
      <w:r>
        <w:rPr/>
        <w:t>Regulation</w:t>
      </w:r>
      <w:r>
        <w:rPr>
          <w:spacing w:val="-5"/>
        </w:rPr>
        <w:t> </w:t>
      </w:r>
      <w:r>
        <w:rPr/>
        <w:t>(EU)</w:t>
      </w:r>
      <w:r>
        <w:rPr>
          <w:spacing w:val="-4"/>
        </w:rPr>
        <w:t> </w:t>
      </w:r>
      <w:r>
        <w:rPr/>
        <w:t>2018/1725, in particular the right to access, rectify or erase your personal data and the right to restrict the processing of your personal data. Where applicable, you also have the right to object to the processing or the right to data </w:t>
      </w:r>
      <w:r>
        <w:rPr>
          <w:spacing w:val="-2"/>
        </w:rPr>
        <w:t>portability.</w:t>
      </w:r>
    </w:p>
    <w:p>
      <w:pPr>
        <w:pStyle w:val="BodyText"/>
        <w:ind w:left="799" w:right="282"/>
        <w:jc w:val="both"/>
      </w:pPr>
      <w:r>
        <w:rPr/>
        <w:t>You can exercise your rights by contacting the Data Controller, or in case of conflict the Data Protection Officer.</w:t>
      </w:r>
      <w:r>
        <w:rPr>
          <w:spacing w:val="-14"/>
        </w:rPr>
        <w:t> </w:t>
      </w:r>
      <w:r>
        <w:rPr/>
        <w:t>If</w:t>
      </w:r>
      <w:r>
        <w:rPr>
          <w:spacing w:val="-14"/>
        </w:rPr>
        <w:t> </w:t>
      </w:r>
      <w:r>
        <w:rPr/>
        <w:t>necessary,</w:t>
      </w:r>
      <w:r>
        <w:rPr>
          <w:spacing w:val="-14"/>
        </w:rPr>
        <w:t> </w:t>
      </w:r>
      <w:r>
        <w:rPr/>
        <w:t>you</w:t>
      </w:r>
      <w:r>
        <w:rPr>
          <w:spacing w:val="-13"/>
        </w:rPr>
        <w:t> </w:t>
      </w:r>
      <w:r>
        <w:rPr/>
        <w:t>can</w:t>
      </w:r>
      <w:r>
        <w:rPr>
          <w:spacing w:val="-14"/>
        </w:rPr>
        <w:t> </w:t>
      </w:r>
      <w:r>
        <w:rPr/>
        <w:t>also</w:t>
      </w:r>
      <w:r>
        <w:rPr>
          <w:spacing w:val="-14"/>
        </w:rPr>
        <w:t> </w:t>
      </w:r>
      <w:r>
        <w:rPr/>
        <w:t>address</w:t>
      </w:r>
      <w:r>
        <w:rPr>
          <w:spacing w:val="-12"/>
        </w:rPr>
        <w:t> </w:t>
      </w:r>
      <w:r>
        <w:rPr/>
        <w:t>the</w:t>
      </w:r>
      <w:r>
        <w:rPr>
          <w:spacing w:val="-14"/>
        </w:rPr>
        <w:t> </w:t>
      </w:r>
      <w:r>
        <w:rPr/>
        <w:t>European</w:t>
      </w:r>
      <w:r>
        <w:rPr>
          <w:spacing w:val="-14"/>
        </w:rPr>
        <w:t> </w:t>
      </w:r>
      <w:r>
        <w:rPr/>
        <w:t>Data</w:t>
      </w:r>
      <w:r>
        <w:rPr>
          <w:spacing w:val="-13"/>
        </w:rPr>
        <w:t> </w:t>
      </w:r>
      <w:r>
        <w:rPr/>
        <w:t>Protection</w:t>
      </w:r>
      <w:r>
        <w:rPr>
          <w:spacing w:val="-14"/>
        </w:rPr>
        <w:t> </w:t>
      </w:r>
      <w:r>
        <w:rPr/>
        <w:t>Supervisor.</w:t>
      </w:r>
      <w:r>
        <w:rPr>
          <w:spacing w:val="-14"/>
        </w:rPr>
        <w:t> </w:t>
      </w:r>
      <w:r>
        <w:rPr/>
        <w:t>Their</w:t>
      </w:r>
      <w:r>
        <w:rPr>
          <w:spacing w:val="-13"/>
        </w:rPr>
        <w:t> </w:t>
      </w:r>
      <w:r>
        <w:rPr/>
        <w:t>contact</w:t>
      </w:r>
      <w:r>
        <w:rPr>
          <w:spacing w:val="-13"/>
        </w:rPr>
        <w:t> </w:t>
      </w:r>
      <w:r>
        <w:rPr/>
        <w:t>information is given below.</w:t>
      </w:r>
    </w:p>
    <w:p>
      <w:pPr>
        <w:pStyle w:val="BodyText"/>
        <w:spacing w:before="4"/>
      </w:pPr>
    </w:p>
    <w:p>
      <w:pPr>
        <w:pStyle w:val="Heading1"/>
        <w:spacing w:before="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78"/>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w:t>
      </w:r>
      <w:r>
        <w:rPr>
          <w:spacing w:val="-10"/>
        </w:rPr>
        <w:t> </w:t>
      </w:r>
      <w:r>
        <w:rPr/>
        <w:t>data,</w:t>
      </w:r>
      <w:r>
        <w:rPr>
          <w:spacing w:val="-6"/>
        </w:rPr>
        <w:t> </w:t>
      </w:r>
      <w:r>
        <w:rPr/>
        <w:t>please</w:t>
      </w:r>
      <w:r>
        <w:rPr>
          <w:spacing w:val="-6"/>
        </w:rPr>
        <w:t> </w:t>
      </w:r>
      <w:r>
        <w:rPr/>
        <w:t>feel</w:t>
      </w:r>
      <w:r>
        <w:rPr>
          <w:spacing w:val="-8"/>
        </w:rPr>
        <w:t> </w:t>
      </w:r>
      <w:r>
        <w:rPr/>
        <w:t>free</w:t>
      </w:r>
      <w:r>
        <w:rPr>
          <w:spacing w:val="-6"/>
        </w:rPr>
        <w:t> </w:t>
      </w:r>
      <w:r>
        <w:rPr/>
        <w:t>to</w:t>
      </w:r>
      <w:r>
        <w:rPr>
          <w:spacing w:val="-9"/>
        </w:rPr>
        <w:t> </w:t>
      </w:r>
      <w:r>
        <w:rPr/>
        <w:t>contact</w:t>
      </w:r>
      <w:r>
        <w:rPr>
          <w:spacing w:val="-6"/>
        </w:rPr>
        <w:t> </w:t>
      </w:r>
      <w:r>
        <w:rPr/>
        <w:t>the</w:t>
      </w:r>
      <w:r>
        <w:rPr>
          <w:spacing w:val="-6"/>
        </w:rPr>
        <w:t> </w:t>
      </w:r>
      <w:r>
        <w:rPr/>
        <w:t>Data</w:t>
      </w:r>
      <w:r>
        <w:rPr>
          <w:spacing w:val="-6"/>
        </w:rPr>
        <w:t> </w:t>
      </w:r>
      <w:r>
        <w:rPr/>
        <w:t>Controller,</w:t>
      </w:r>
      <w:r>
        <w:rPr>
          <w:spacing w:val="-6"/>
        </w:rPr>
        <w:t> </w:t>
      </w:r>
      <w:r>
        <w:rPr/>
        <w:t>HR.DDG.B.4,</w:t>
      </w:r>
      <w:r>
        <w:rPr>
          <w:spacing w:val="-5"/>
        </w:rPr>
        <w:t> </w:t>
      </w:r>
      <w:hyperlink r:id="rId9">
        <w:r>
          <w:rPr>
            <w:color w:val="0000FF"/>
            <w:u w:val="single" w:color="0000FF"/>
          </w:rPr>
          <w:t>HR-MAIL-</w:t>
        </w:r>
        <w:r>
          <w:rPr>
            <w:color w:val="0000FF"/>
            <w:spacing w:val="-2"/>
            <w:u w:val="single" w:color="0000FF"/>
          </w:rPr>
          <w:t>B4@ec.europa.eu</w:t>
        </w:r>
      </w:hyperlink>
      <w:r>
        <w:rPr>
          <w:spacing w:val="-2"/>
        </w:rPr>
        <w:t>.</w:t>
      </w:r>
    </w:p>
    <w:p>
      <w:pPr>
        <w:pStyle w:val="BodyText"/>
        <w:spacing w:before="4"/>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3"/>
        <w:jc w:val="both"/>
      </w:pPr>
      <w:r>
        <w:rPr/>
        <w:pict>
          <v:rect style="position:absolute;margin-left:228.169998pt;margin-top:24.069498pt;width:3.72pt;height:.48004pt;mso-position-horizontal-relative:page;mso-position-vertical-relative:paragraph;z-index:15729664" id="docshape3" filled="true" fillcolor="#000000" stroked="false">
            <v:fill type="solid"/>
            <w10:wrap type="none"/>
          </v:rect>
        </w:pict>
      </w:r>
      <w:r>
        <w:rPr/>
        <w:t>You have the right to have recourse (i.e. you can lodge a complaint) to the European Data Protection Supervisor</w:t>
      </w:r>
      <w:r>
        <w:rPr>
          <w:spacing w:val="-10"/>
          <w:u w:val="single"/>
        </w:rPr>
        <w:t> </w:t>
      </w:r>
      <w:r>
        <w:rPr>
          <w:u w:val="single"/>
        </w:rPr>
        <w:t>(</w:t>
      </w:r>
      <w:hyperlink r:id="rId11">
        <w:r>
          <w:rPr>
            <w:color w:val="0000FF"/>
            <w:u w:val="single" w:color="000000"/>
          </w:rPr>
          <w:t>edps@edps.europa.eu</w:t>
        </w:r>
      </w:hyperlink>
      <w:r>
        <w:rPr/>
        <w:t>)</w:t>
      </w:r>
      <w:r>
        <w:rPr>
          <w:spacing w:val="-9"/>
        </w:rPr>
        <w:t> </w:t>
      </w:r>
      <w:r>
        <w:rPr/>
        <w:t>if</w:t>
      </w:r>
      <w:r>
        <w:rPr>
          <w:spacing w:val="-9"/>
        </w:rPr>
        <w:t> </w:t>
      </w:r>
      <w:r>
        <w:rPr/>
        <w:t>you</w:t>
      </w:r>
      <w:r>
        <w:rPr>
          <w:spacing w:val="-10"/>
        </w:rPr>
        <w:t> </w:t>
      </w:r>
      <w:r>
        <w:rPr/>
        <w:t>consider</w:t>
      </w:r>
      <w:r>
        <w:rPr>
          <w:spacing w:val="-11"/>
        </w:rPr>
        <w:t> </w:t>
      </w:r>
      <w:r>
        <w:rPr/>
        <w:t>that</w:t>
      </w:r>
      <w:r>
        <w:rPr>
          <w:spacing w:val="-9"/>
        </w:rPr>
        <w:t> </w:t>
      </w:r>
      <w:r>
        <w:rPr/>
        <w:t>your</w:t>
      </w:r>
      <w:r>
        <w:rPr>
          <w:spacing w:val="-9"/>
        </w:rPr>
        <w:t> </w:t>
      </w:r>
      <w:r>
        <w:rPr/>
        <w:t>rights</w:t>
      </w:r>
      <w:r>
        <w:rPr>
          <w:spacing w:val="-9"/>
        </w:rPr>
        <w:t> </w:t>
      </w:r>
      <w:r>
        <w:rPr/>
        <w:t>under</w:t>
      </w:r>
      <w:r>
        <w:rPr>
          <w:spacing w:val="-9"/>
        </w:rPr>
        <w:t> </w:t>
      </w:r>
      <w:r>
        <w:rPr/>
        <w:t>Regulation</w:t>
      </w:r>
      <w:r>
        <w:rPr>
          <w:spacing w:val="-10"/>
        </w:rPr>
        <w:t> </w:t>
      </w:r>
      <w:r>
        <w:rPr/>
        <w:t>(EU)</w:t>
      </w:r>
      <w:r>
        <w:rPr>
          <w:spacing w:val="-9"/>
        </w:rPr>
        <w:t> </w:t>
      </w:r>
      <w:r>
        <w:rPr/>
        <w:t>2018/1725</w:t>
      </w:r>
      <w:r>
        <w:rPr>
          <w:spacing w:val="-10"/>
        </w:rPr>
        <w:t> </w:t>
      </w:r>
      <w:r>
        <w:rPr/>
        <w:t>have been infringed as a result of the processing of your personal data by the Data Controller.</w:t>
      </w:r>
    </w:p>
    <w:p>
      <w:pPr>
        <w:pStyle w:val="BodyText"/>
        <w:spacing w:line="252" w:lineRule="exact"/>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32576"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4"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2"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6"/>
      </w:pPr>
      <w:rPr>
        <w:rFonts w:hint="default"/>
        <w:lang w:val="en-US" w:eastAsia="en-US" w:bidi="ar-SA"/>
      </w:rPr>
    </w:lvl>
    <w:lvl w:ilvl="3">
      <w:start w:val="0"/>
      <w:numFmt w:val="bullet"/>
      <w:lvlText w:val="•"/>
      <w:lvlJc w:val="left"/>
      <w:pPr>
        <w:ind w:left="3066" w:hanging="276"/>
      </w:pPr>
      <w:rPr>
        <w:rFonts w:hint="default"/>
        <w:lang w:val="en-US" w:eastAsia="en-US" w:bidi="ar-SA"/>
      </w:rPr>
    </w:lvl>
    <w:lvl w:ilvl="4">
      <w:start w:val="0"/>
      <w:numFmt w:val="bullet"/>
      <w:lvlText w:val="•"/>
      <w:lvlJc w:val="left"/>
      <w:pPr>
        <w:ind w:left="4049" w:hanging="276"/>
      </w:pPr>
      <w:rPr>
        <w:rFonts w:hint="default"/>
        <w:lang w:val="en-US" w:eastAsia="en-US" w:bidi="ar-SA"/>
      </w:rPr>
    </w:lvl>
    <w:lvl w:ilvl="5">
      <w:start w:val="0"/>
      <w:numFmt w:val="bullet"/>
      <w:lvlText w:val="•"/>
      <w:lvlJc w:val="left"/>
      <w:pPr>
        <w:ind w:left="5032" w:hanging="276"/>
      </w:pPr>
      <w:rPr>
        <w:rFonts w:hint="default"/>
        <w:lang w:val="en-US" w:eastAsia="en-US" w:bidi="ar-SA"/>
      </w:rPr>
    </w:lvl>
    <w:lvl w:ilvl="6">
      <w:start w:val="0"/>
      <w:numFmt w:val="bullet"/>
      <w:lvlText w:val="•"/>
      <w:lvlJc w:val="left"/>
      <w:pPr>
        <w:ind w:left="6015" w:hanging="276"/>
      </w:pPr>
      <w:rPr>
        <w:rFonts w:hint="default"/>
        <w:lang w:val="en-US" w:eastAsia="en-US" w:bidi="ar-SA"/>
      </w:rPr>
    </w:lvl>
    <w:lvl w:ilvl="7">
      <w:start w:val="0"/>
      <w:numFmt w:val="bullet"/>
      <w:lvlText w:val="•"/>
      <w:lvlJc w:val="left"/>
      <w:pPr>
        <w:ind w:left="6998" w:hanging="276"/>
      </w:pPr>
      <w:rPr>
        <w:rFonts w:hint="default"/>
        <w:lang w:val="en-US" w:eastAsia="en-US" w:bidi="ar-SA"/>
      </w:rPr>
    </w:lvl>
    <w:lvl w:ilvl="8">
      <w:start w:val="0"/>
      <w:numFmt w:val="bullet"/>
      <w:lvlText w:val="•"/>
      <w:lvlJc w:val="left"/>
      <w:pPr>
        <w:ind w:left="7981" w:hanging="276"/>
      </w:pPr>
      <w:rPr>
        <w:rFonts w:hint="default"/>
        <w:lang w:val="en-US" w:eastAsia="en-US" w:bidi="ar-SA"/>
      </w:rPr>
    </w:lvl>
  </w:abstractNum>
  <w:abstractNum w:abstractNumId="0">
    <w:multiLevelType w:val="hybridMultilevel"/>
    <w:lvl w:ilvl="0">
      <w:start w:val="0"/>
      <w:numFmt w:val="bullet"/>
      <w:lvlText w:val=""/>
      <w:lvlJc w:val="left"/>
      <w:pPr>
        <w:ind w:left="918"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0" w:hanging="473"/>
      </w:pPr>
      <w:rPr>
        <w:rFonts w:hint="default"/>
        <w:lang w:val="en-US" w:eastAsia="en-US" w:bidi="ar-SA"/>
      </w:rPr>
    </w:lvl>
    <w:lvl w:ilvl="6">
      <w:start w:val="0"/>
      <w:numFmt w:val="bullet"/>
      <w:lvlText w:val="•"/>
      <w:lvlJc w:val="left"/>
      <w:pPr>
        <w:ind w:left="2216" w:hanging="473"/>
      </w:pPr>
      <w:rPr>
        <w:rFonts w:hint="default"/>
        <w:lang w:val="en-US" w:eastAsia="en-US" w:bidi="ar-SA"/>
      </w:rPr>
    </w:lvl>
    <w:lvl w:ilvl="7">
      <w:start w:val="0"/>
      <w:numFmt w:val="bullet"/>
      <w:lvlText w:val="•"/>
      <w:lvlJc w:val="left"/>
      <w:pPr>
        <w:ind w:left="2432" w:hanging="473"/>
      </w:pPr>
      <w:rPr>
        <w:rFonts w:hint="default"/>
        <w:lang w:val="en-US" w:eastAsia="en-US" w:bidi="ar-SA"/>
      </w:rPr>
    </w:lvl>
    <w:lvl w:ilvl="8">
      <w:start w:val="0"/>
      <w:numFmt w:val="bullet"/>
      <w:lvlText w:val="•"/>
      <w:lvlJc w:val="left"/>
      <w:pPr>
        <w:ind w:left="2648"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decimal"/>
      <w:lvlText w:val="%2."/>
      <w:lvlJc w:val="left"/>
      <w:pPr>
        <w:ind w:left="1519" w:hanging="360"/>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538" w:hanging="360"/>
      </w:pPr>
      <w:rPr>
        <w:rFonts w:hint="default"/>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575"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612"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649" w:hanging="360"/>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42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lexandr.hobza@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2023-03-15T15:32:04Z</dcterms:created>
  <dcterms:modified xsi:type="dcterms:W3CDTF">2023-03-15T15:32:04Z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