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RTD-G-</w:t>
            </w:r>
            <w:r>
              <w:rPr>
                <w:b/>
                <w:spacing w:val="-10"/>
                <w:sz w:val="24"/>
              </w:rPr>
              <w:t>4</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4"/>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Fabienne</w:t>
            </w:r>
            <w:r>
              <w:rPr>
                <w:b/>
                <w:spacing w:val="-2"/>
                <w:sz w:val="22"/>
              </w:rPr>
              <w:t> GAUTIER</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color w:val="0000FF"/>
                  <w:spacing w:val="-2"/>
                  <w:sz w:val="22"/>
                  <w:u w:val="single" w:color="0000FF"/>
                </w:rPr>
                <w:t>Fabienne.Gautier@ec.europa.eu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6" w:type="dxa"/>
            <w:gridSpan w:val="2"/>
            <w:tcBorders>
              <w:top w:val="nil"/>
              <w:bottom w:val="nil"/>
            </w:tcBorders>
          </w:tcPr>
          <w:p>
            <w:pPr>
              <w:pStyle w:val="TableParagraph"/>
              <w:spacing w:line="233" w:lineRule="exact"/>
              <w:rPr>
                <w:b/>
                <w:sz w:val="22"/>
              </w:rPr>
            </w:pPr>
            <w:r>
              <w:rPr>
                <w:b/>
                <w:sz w:val="22"/>
              </w:rPr>
              <w:t>+</w:t>
            </w:r>
            <w:r>
              <w:rPr>
                <w:b/>
                <w:spacing w:val="-1"/>
                <w:sz w:val="22"/>
              </w:rPr>
              <w:t> </w:t>
            </w:r>
            <w:r>
              <w:rPr>
                <w:b/>
                <w:sz w:val="22"/>
              </w:rPr>
              <w:t>32 2 29 </w:t>
            </w:r>
            <w:r>
              <w:rPr>
                <w:b/>
                <w:spacing w:val="-2"/>
                <w:sz w:val="22"/>
              </w:rPr>
              <w:t>93781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33" w:lineRule="exact"/>
              <w:rPr>
                <w:b/>
                <w:sz w:val="22"/>
              </w:rPr>
            </w:pPr>
            <w:r>
              <w:rPr>
                <w:b/>
                <w:w w:val="100"/>
                <w:sz w:val="22"/>
              </w:rPr>
              <w:t>1</w:t>
            </w:r>
          </w:p>
        </w:tc>
      </w:tr>
      <w:tr>
        <w:trPr>
          <w:trHeight w:val="251" w:hRule="atLeast"/>
        </w:trPr>
        <w:tc>
          <w:tcPr>
            <w:tcW w:w="4359" w:type="dxa"/>
            <w:tcBorders>
              <w:top w:val="nil"/>
              <w:bottom w:val="nil"/>
            </w:tcBorders>
          </w:tcPr>
          <w:p>
            <w:pPr>
              <w:pStyle w:val="TableParagraph"/>
              <w:spacing w:line="232"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32" w:lineRule="exact"/>
              <w:rPr>
                <w:b/>
                <w:sz w:val="22"/>
              </w:rPr>
            </w:pPr>
            <w:r>
              <w:rPr>
                <w:b/>
                <w:sz w:val="22"/>
              </w:rPr>
              <w:t>3rd</w:t>
            </w:r>
            <w:r>
              <w:rPr>
                <w:b/>
                <w:spacing w:val="-4"/>
                <w:sz w:val="22"/>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33" w:lineRule="exact"/>
              <w:rPr>
                <w:b/>
                <w:sz w:val="22"/>
              </w:rPr>
            </w:pPr>
            <w:r>
              <w:rPr>
                <w:b/>
                <w:sz w:val="22"/>
              </w:rPr>
              <w:t>2 </w:t>
            </w:r>
            <w:r>
              <w:rPr>
                <w:b/>
                <w:spacing w:val="-2"/>
                <w:sz w:val="22"/>
              </w:rPr>
              <w:t>years</w:t>
            </w:r>
            <w:r>
              <w:rPr>
                <w:b/>
                <w:spacing w:val="-2"/>
                <w:sz w:val="22"/>
                <w:vertAlign w:val="superscript"/>
              </w:rPr>
              <w:t>1</w:t>
            </w:r>
          </w:p>
        </w:tc>
      </w:tr>
      <w:tr>
        <w:trPr>
          <w:trHeight w:val="456" w:hRule="atLeast"/>
        </w:trPr>
        <w:tc>
          <w:tcPr>
            <w:tcW w:w="4359" w:type="dxa"/>
            <w:tcBorders>
              <w:top w:val="nil"/>
              <w:bottom w:val="nil"/>
            </w:tcBorders>
          </w:tcPr>
          <w:p>
            <w:pPr>
              <w:pStyle w:val="TableParagraph"/>
              <w:spacing w:line="249"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tcBorders>
          </w:tcPr>
          <w:p>
            <w:pPr>
              <w:pStyle w:val="TableParagraph"/>
              <w:spacing w:line="249" w:lineRule="exact"/>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3"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02" w:val="left" w:leader="none"/>
              </w:tabs>
              <w:spacing w:line="240" w:lineRule="auto" w:before="0" w:after="0"/>
              <w:ind w:left="501" w:right="0" w:hanging="397"/>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150" w:val="left" w:leader="none"/>
              </w:tabs>
              <w:spacing w:line="240" w:lineRule="auto" w:before="0" w:after="0"/>
              <w:ind w:left="1149" w:right="0" w:hanging="337"/>
              <w:jc w:val="left"/>
              <w:rPr>
                <w:b/>
                <w:sz w:val="24"/>
              </w:rPr>
            </w:pPr>
            <w:r>
              <w:rPr>
                <w:b/>
                <w:sz w:val="24"/>
              </w:rPr>
              <w:t>Iceland</w:t>
            </w:r>
            <w:r>
              <w:rPr>
                <w:b/>
                <w:spacing w:val="48"/>
                <w:sz w:val="24"/>
              </w:rPr>
              <w:t> </w:t>
            </w:r>
            <w:r>
              <w:rPr>
                <w:rFonts w:ascii="Wingdings 2" w:hAnsi="Wingdings 2"/>
                <w:b/>
                <w:sz w:val="24"/>
              </w:rPr>
              <w:t></w:t>
            </w:r>
            <w:r>
              <w:rPr>
                <w:spacing w:val="-3"/>
                <w:sz w:val="24"/>
              </w:rPr>
              <w:t> </w:t>
            </w:r>
            <w:r>
              <w:rPr>
                <w:b/>
                <w:sz w:val="24"/>
              </w:rPr>
              <w:t>Liechtenstein</w:t>
            </w:r>
            <w:r>
              <w:rPr>
                <w:b/>
                <w:spacing w:val="-3"/>
                <w:sz w:val="24"/>
              </w:rPr>
              <w:t> </w:t>
            </w:r>
            <w:r>
              <w:rPr>
                <w:rFonts w:ascii="Wingdings 2" w:hAnsi="Wingdings 2"/>
                <w:b/>
                <w:sz w:val="24"/>
              </w:rPr>
              <w:t></w:t>
            </w:r>
            <w:r>
              <w:rPr>
                <w:spacing w:val="-2"/>
                <w:sz w:val="24"/>
              </w:rPr>
              <w:t> </w:t>
            </w:r>
            <w:r>
              <w:rPr>
                <w:b/>
                <w:sz w:val="24"/>
              </w:rPr>
              <w:t>Norway</w:t>
            </w:r>
            <w:r>
              <w:rPr>
                <w:b/>
                <w:spacing w:val="47"/>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3"/>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799" w:right="103"/>
        <w:jc w:val="both"/>
      </w:pPr>
      <w:r>
        <w:rPr/>
        <w:t>The Seconded National Expert (SNE) shall contribute to the research and innovation policy work in the</w:t>
      </w:r>
      <w:r>
        <w:rPr>
          <w:spacing w:val="40"/>
        </w:rPr>
        <w:t> </w:t>
      </w:r>
      <w:r>
        <w:rPr/>
        <w:t>domain of European Missions. EU Missions are a novelty of the Horizon Europe research and innovation programme for</w:t>
      </w:r>
      <w:r>
        <w:rPr>
          <w:spacing w:val="-2"/>
        </w:rPr>
        <w:t> </w:t>
      </w:r>
      <w:r>
        <w:rPr/>
        <w:t>the</w:t>
      </w:r>
      <w:r>
        <w:rPr>
          <w:spacing w:val="-2"/>
        </w:rPr>
        <w:t> </w:t>
      </w:r>
      <w:r>
        <w:rPr/>
        <w:t>years</w:t>
      </w:r>
      <w:r>
        <w:rPr>
          <w:spacing w:val="-2"/>
        </w:rPr>
        <w:t> </w:t>
      </w:r>
      <w:r>
        <w:rPr/>
        <w:t>2021-2027. They</w:t>
      </w:r>
      <w:r>
        <w:rPr>
          <w:spacing w:val="-2"/>
        </w:rPr>
        <w:t> </w:t>
      </w:r>
      <w:r>
        <w:rPr/>
        <w:t>will</w:t>
      </w:r>
      <w:r>
        <w:rPr>
          <w:spacing w:val="-1"/>
        </w:rPr>
        <w:t> </w:t>
      </w:r>
      <w:r>
        <w:rPr/>
        <w:t>support</w:t>
      </w:r>
      <w:r>
        <w:rPr>
          <w:spacing w:val="-1"/>
        </w:rPr>
        <w:t> </w:t>
      </w:r>
      <w:r>
        <w:rPr/>
        <w:t>Europe’s transformation</w:t>
      </w:r>
      <w:r>
        <w:rPr>
          <w:spacing w:val="-3"/>
        </w:rPr>
        <w:t> </w:t>
      </w:r>
      <w:r>
        <w:rPr/>
        <w:t>into a</w:t>
      </w:r>
      <w:r>
        <w:rPr>
          <w:spacing w:val="-2"/>
        </w:rPr>
        <w:t> </w:t>
      </w:r>
      <w:r>
        <w:rPr/>
        <w:t>greener,</w:t>
      </w:r>
      <w:r>
        <w:rPr>
          <w:spacing w:val="-3"/>
        </w:rPr>
        <w:t> </w:t>
      </w:r>
      <w:r>
        <w:rPr/>
        <w:t>healthier, more inclusive and resilient continent. They aim to bring tangible benefits to people in Europe and engage Europeans in their design, implementation and monitoring. As an instrument, EU Missions pool the necessary resources in terms of EU funding programmes, policies and regulations, as well as other activities. They also aim to mobilise and activate public and private actors, such as EU Member States, regional and local authorities, research institutes, farmers and land managers, entrepreneurs and investors to create real and lasting impact. EU Missions will engage with citizens to boost societal uptake of new solutions and</w:t>
      </w:r>
      <w:r>
        <w:rPr>
          <w:spacing w:val="40"/>
        </w:rPr>
        <w:t> </w:t>
      </w:r>
      <w:r>
        <w:rPr>
          <w:spacing w:val="-2"/>
        </w:rPr>
        <w:t>approaches.</w:t>
      </w:r>
    </w:p>
    <w:p>
      <w:pPr>
        <w:pStyle w:val="BodyText"/>
        <w:spacing w:before="10"/>
        <w:rPr>
          <w:sz w:val="21"/>
        </w:rPr>
      </w:pPr>
    </w:p>
    <w:p>
      <w:pPr>
        <w:pStyle w:val="BodyText"/>
        <w:ind w:left="799" w:right="106"/>
        <w:jc w:val="both"/>
      </w:pPr>
      <w:r>
        <w:rPr/>
        <w:t>The vacancy of the seconded National Expert is in the Common Missions &amp; Partnerships service. The unit steers the policy development for Missions and European Partnerships and supports the Commission services, Member States and stakeholders in their co-creation in order to mobilise joint investments on commonly agreed objectives in line with priorities valued by European citizens. The unit leads the policy coordination across Commission services throughout the lifecycle of missions and partnerships, including their monitoring and impact assessment, acting as a policy centre for Missions and European Partnerships in the Commission.</w:t>
      </w:r>
    </w:p>
    <w:p>
      <w:pPr>
        <w:pStyle w:val="BodyText"/>
        <w:spacing w:before="1"/>
      </w:pPr>
    </w:p>
    <w:p>
      <w:pPr>
        <w:pStyle w:val="BodyText"/>
        <w:ind w:left="799" w:right="105"/>
        <w:jc w:val="both"/>
      </w:pPr>
      <w:r>
        <w:rPr/>
        <w:t>S/he will in particular advice and support Commission services in the implementation of EU Missions at national level,</w:t>
      </w:r>
      <w:r>
        <w:rPr>
          <w:spacing w:val="-2"/>
        </w:rPr>
        <w:t> </w:t>
      </w:r>
      <w:r>
        <w:rPr/>
        <w:t>in particular</w:t>
      </w:r>
      <w:r>
        <w:rPr>
          <w:spacing w:val="-2"/>
        </w:rPr>
        <w:t> </w:t>
      </w:r>
      <w:r>
        <w:rPr/>
        <w:t>on the mobilisation</w:t>
      </w:r>
      <w:r>
        <w:rPr>
          <w:spacing w:val="-3"/>
        </w:rPr>
        <w:t> </w:t>
      </w:r>
      <w:r>
        <w:rPr/>
        <w:t>and</w:t>
      </w:r>
      <w:r>
        <w:rPr>
          <w:spacing w:val="-2"/>
        </w:rPr>
        <w:t> </w:t>
      </w:r>
      <w:r>
        <w:rPr/>
        <w:t>coordination of actors</w:t>
      </w:r>
      <w:r>
        <w:rPr>
          <w:spacing w:val="-2"/>
        </w:rPr>
        <w:t> </w:t>
      </w:r>
      <w:r>
        <w:rPr/>
        <w:t>across</w:t>
      </w:r>
      <w:r>
        <w:rPr>
          <w:spacing w:val="-1"/>
        </w:rPr>
        <w:t> </w:t>
      </w:r>
      <w:r>
        <w:rPr/>
        <w:t>different sectors</w:t>
      </w:r>
      <w:r>
        <w:rPr>
          <w:spacing w:val="-2"/>
        </w:rPr>
        <w:t> </w:t>
      </w:r>
      <w:r>
        <w:rPr/>
        <w:t>and</w:t>
      </w:r>
      <w:r>
        <w:rPr>
          <w:spacing w:val="-2"/>
        </w:rPr>
        <w:t> </w:t>
      </w:r>
      <w:r>
        <w:rPr/>
        <w:t>levels of governance.</w:t>
      </w:r>
      <w:r>
        <w:rPr>
          <w:spacing w:val="40"/>
        </w:rPr>
        <w:t> </w:t>
      </w:r>
      <w:r>
        <w:rPr/>
        <w:t>Depending on the background of the Expert, this could include advice on mobilising different sources of public and private funding for Missions’ implementation.</w:t>
      </w:r>
    </w:p>
    <w:p>
      <w:pPr>
        <w:pStyle w:val="BodyText"/>
        <w:rPr>
          <w:sz w:val="20"/>
        </w:rPr>
      </w:pPr>
    </w:p>
    <w:p>
      <w:pPr>
        <w:pStyle w:val="BodyText"/>
        <w:rPr>
          <w:sz w:val="20"/>
        </w:rPr>
      </w:pPr>
    </w:p>
    <w:p>
      <w:pPr>
        <w:pStyle w:val="BodyText"/>
        <w:rPr>
          <w:sz w:val="20"/>
        </w:rPr>
      </w:pPr>
    </w:p>
    <w:p>
      <w:pPr>
        <w:pStyle w:val="BodyText"/>
        <w:spacing w:before="1"/>
        <w:rPr>
          <w:sz w:val="15"/>
        </w:rPr>
      </w:pPr>
      <w:r>
        <w:rPr/>
        <w:pict>
          <v:rect style="position:absolute;margin-left:42.599998pt;margin-top:9.915625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8"/>
        <w:ind w:left="799" w:right="110"/>
        <w:jc w:val="both"/>
      </w:pPr>
      <w:r>
        <w:rPr/>
        <w:t>The work includes co-ordination tasks and following-up parts of the mission in the work programmes as well as drafting briefing notes and speeches on EU missions, participating in meetings and inter-service activities.</w:t>
      </w:r>
    </w:p>
    <w:p>
      <w:pPr>
        <w:pStyle w:val="BodyText"/>
        <w:spacing w:before="2"/>
      </w:pPr>
    </w:p>
    <w:p>
      <w:pPr>
        <w:pStyle w:val="BodyText"/>
        <w:ind w:left="797" w:right="110"/>
        <w:jc w:val="both"/>
      </w:pPr>
      <w:r>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w:t>
      </w:r>
      <w:r>
        <w:rPr>
          <w:spacing w:val="-2"/>
        </w:rPr>
        <w:t>Commission.</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1"/>
          <w:numId w:val="3"/>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5"/>
        <w:rPr>
          <w:b/>
          <w:sz w:val="21"/>
        </w:rPr>
      </w:pPr>
    </w:p>
    <w:p>
      <w:pPr>
        <w:pStyle w:val="BodyText"/>
        <w:ind w:left="799" w:right="107"/>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2"/>
          <w:numId w:val="3"/>
        </w:numPr>
        <w:tabs>
          <w:tab w:pos="1081" w:val="left" w:leader="none"/>
        </w:tabs>
        <w:spacing w:line="240" w:lineRule="auto" w:before="1" w:after="0"/>
        <w:ind w:left="1080" w:right="111" w:hanging="281"/>
        <w:jc w:val="both"/>
        <w:rPr>
          <w:sz w:val="22"/>
        </w:rPr>
      </w:pPr>
      <w:r>
        <w:rPr>
          <w:sz w:val="22"/>
          <w:u w:val="single"/>
        </w:rPr>
        <w:t>Professional experience</w:t>
      </w:r>
      <w:r>
        <w:rPr>
          <w:sz w:val="22"/>
        </w:rPr>
        <w:t>: at least five years of professional experience in administrative, legal, scientific, technical, advisory or supervisory functions which are equivalent to those of function group AD;</w:t>
      </w:r>
    </w:p>
    <w:p>
      <w:pPr>
        <w:pStyle w:val="BodyText"/>
        <w:spacing w:before="10"/>
        <w:rPr>
          <w:sz w:val="21"/>
        </w:rPr>
      </w:pPr>
    </w:p>
    <w:p>
      <w:pPr>
        <w:pStyle w:val="ListParagraph"/>
        <w:numPr>
          <w:ilvl w:val="2"/>
          <w:numId w:val="3"/>
        </w:numPr>
        <w:tabs>
          <w:tab w:pos="1081" w:val="left" w:leader="none"/>
        </w:tabs>
        <w:spacing w:line="240" w:lineRule="auto" w:before="1" w:after="0"/>
        <w:ind w:left="1080" w:right="11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2"/>
          <w:numId w:val="3"/>
        </w:numPr>
        <w:tabs>
          <w:tab w:pos="1081" w:val="left" w:leader="none"/>
        </w:tabs>
        <w:spacing w:line="240" w:lineRule="auto" w:before="0" w:after="0"/>
        <w:ind w:left="1080" w:right="111"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4"/>
        <w:rPr>
          <w:sz w:val="24"/>
        </w:rPr>
      </w:pPr>
    </w:p>
    <w:p>
      <w:pPr>
        <w:pStyle w:val="Heading1"/>
        <w:numPr>
          <w:ilvl w:val="1"/>
          <w:numId w:val="3"/>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1"/>
        <w:ind w:left="1080"/>
      </w:pPr>
      <w:r>
        <w:rPr>
          <w:spacing w:val="-2"/>
          <w:u w:val="single"/>
        </w:rPr>
        <w:t>Diploma</w:t>
      </w:r>
    </w:p>
    <w:p>
      <w:pPr>
        <w:pStyle w:val="ListParagraph"/>
        <w:numPr>
          <w:ilvl w:val="0"/>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0"/>
          <w:numId w:val="4"/>
        </w:numPr>
        <w:tabs>
          <w:tab w:pos="1206" w:val="left" w:leader="none"/>
        </w:tabs>
        <w:spacing w:line="482" w:lineRule="auto" w:before="2"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w:t>
      </w:r>
    </w:p>
    <w:p>
      <w:pPr>
        <w:pStyle w:val="ListParagraph"/>
        <w:numPr>
          <w:ilvl w:val="1"/>
          <w:numId w:val="4"/>
        </w:numPr>
        <w:tabs>
          <w:tab w:pos="1505" w:val="left" w:leader="none"/>
          <w:tab w:pos="1506" w:val="left" w:leader="none"/>
        </w:tabs>
        <w:spacing w:line="232" w:lineRule="exact" w:before="0" w:after="0"/>
        <w:ind w:left="1505" w:right="0" w:hanging="282"/>
        <w:jc w:val="left"/>
        <w:rPr>
          <w:sz w:val="22"/>
        </w:rPr>
      </w:pPr>
      <w:r>
        <w:rPr>
          <w:sz w:val="22"/>
        </w:rPr>
        <w:t>Research</w:t>
      </w:r>
      <w:r>
        <w:rPr>
          <w:spacing w:val="-5"/>
          <w:sz w:val="22"/>
        </w:rPr>
        <w:t> </w:t>
      </w:r>
      <w:r>
        <w:rPr>
          <w:sz w:val="22"/>
        </w:rPr>
        <w:t>and</w:t>
      </w:r>
      <w:r>
        <w:rPr>
          <w:spacing w:val="-3"/>
          <w:sz w:val="22"/>
        </w:rPr>
        <w:t> </w:t>
      </w:r>
      <w:r>
        <w:rPr>
          <w:sz w:val="22"/>
        </w:rPr>
        <w:t>innovation</w:t>
      </w:r>
      <w:r>
        <w:rPr>
          <w:spacing w:val="-2"/>
          <w:sz w:val="22"/>
        </w:rPr>
        <w:t> </w:t>
      </w:r>
      <w:r>
        <w:rPr>
          <w:sz w:val="22"/>
        </w:rPr>
        <w:t>policy</w:t>
      </w:r>
      <w:r>
        <w:rPr>
          <w:spacing w:val="-5"/>
          <w:sz w:val="22"/>
        </w:rPr>
        <w:t> </w:t>
      </w:r>
      <w:r>
        <w:rPr>
          <w:sz w:val="22"/>
        </w:rPr>
        <w:t>or</w:t>
      </w:r>
      <w:r>
        <w:rPr>
          <w:spacing w:val="-4"/>
          <w:sz w:val="22"/>
        </w:rPr>
        <w:t> </w:t>
      </w:r>
      <w:r>
        <w:rPr>
          <w:spacing w:val="-2"/>
          <w:sz w:val="22"/>
        </w:rPr>
        <w:t>funding</w:t>
      </w:r>
    </w:p>
    <w:p>
      <w:pPr>
        <w:pStyle w:val="ListParagraph"/>
        <w:numPr>
          <w:ilvl w:val="1"/>
          <w:numId w:val="4"/>
        </w:numPr>
        <w:tabs>
          <w:tab w:pos="1505" w:val="left" w:leader="none"/>
          <w:tab w:pos="1506" w:val="left" w:leader="none"/>
        </w:tabs>
        <w:spacing w:line="252" w:lineRule="exact" w:before="0" w:after="0"/>
        <w:ind w:left="1505" w:right="0" w:hanging="282"/>
        <w:jc w:val="left"/>
        <w:rPr>
          <w:sz w:val="22"/>
        </w:rPr>
      </w:pPr>
      <w:r>
        <w:rPr>
          <w:sz w:val="22"/>
        </w:rPr>
        <w:t>Public</w:t>
      </w:r>
      <w:r>
        <w:rPr>
          <w:spacing w:val="-3"/>
          <w:sz w:val="22"/>
        </w:rPr>
        <w:t> </w:t>
      </w:r>
      <w:r>
        <w:rPr>
          <w:spacing w:val="-2"/>
          <w:sz w:val="22"/>
        </w:rPr>
        <w:t>policy</w:t>
      </w:r>
    </w:p>
    <w:p>
      <w:pPr>
        <w:pStyle w:val="ListParagraph"/>
        <w:numPr>
          <w:ilvl w:val="1"/>
          <w:numId w:val="4"/>
        </w:numPr>
        <w:tabs>
          <w:tab w:pos="1505" w:val="left" w:leader="none"/>
          <w:tab w:pos="1506" w:val="left" w:leader="none"/>
        </w:tabs>
        <w:spacing w:line="252" w:lineRule="exact" w:before="1" w:after="0"/>
        <w:ind w:left="1505" w:right="0" w:hanging="282"/>
        <w:jc w:val="left"/>
        <w:rPr>
          <w:sz w:val="22"/>
        </w:rPr>
      </w:pPr>
      <w:r>
        <w:rPr>
          <w:spacing w:val="-2"/>
          <w:sz w:val="22"/>
        </w:rPr>
        <w:t>Politics/international</w:t>
      </w:r>
      <w:r>
        <w:rPr>
          <w:spacing w:val="27"/>
          <w:sz w:val="22"/>
        </w:rPr>
        <w:t> </w:t>
      </w:r>
      <w:r>
        <w:rPr>
          <w:spacing w:val="-2"/>
          <w:sz w:val="22"/>
        </w:rPr>
        <w:t>relations</w:t>
      </w:r>
    </w:p>
    <w:p>
      <w:pPr>
        <w:pStyle w:val="ListParagraph"/>
        <w:numPr>
          <w:ilvl w:val="1"/>
          <w:numId w:val="4"/>
        </w:numPr>
        <w:tabs>
          <w:tab w:pos="1505" w:val="left" w:leader="none"/>
          <w:tab w:pos="1506" w:val="left" w:leader="none"/>
        </w:tabs>
        <w:spacing w:line="252" w:lineRule="exact" w:before="0" w:after="0"/>
        <w:ind w:left="1505" w:right="0" w:hanging="282"/>
        <w:jc w:val="left"/>
        <w:rPr>
          <w:sz w:val="22"/>
        </w:rPr>
      </w:pPr>
      <w:r>
        <w:rPr>
          <w:spacing w:val="-2"/>
          <w:sz w:val="22"/>
        </w:rPr>
        <w:t>Economics</w:t>
      </w:r>
    </w:p>
    <w:p>
      <w:pPr>
        <w:pStyle w:val="ListParagraph"/>
        <w:numPr>
          <w:ilvl w:val="1"/>
          <w:numId w:val="4"/>
        </w:numPr>
        <w:tabs>
          <w:tab w:pos="1505" w:val="left" w:leader="none"/>
          <w:tab w:pos="1506" w:val="left" w:leader="none"/>
        </w:tabs>
        <w:spacing w:line="252" w:lineRule="exact" w:before="2" w:after="0"/>
        <w:ind w:left="1505" w:right="0" w:hanging="282"/>
        <w:jc w:val="left"/>
        <w:rPr>
          <w:sz w:val="22"/>
        </w:rPr>
      </w:pPr>
      <w:r>
        <w:rPr>
          <w:spacing w:val="-5"/>
          <w:sz w:val="22"/>
        </w:rPr>
        <w:t>Law</w:t>
      </w:r>
    </w:p>
    <w:p>
      <w:pPr>
        <w:pStyle w:val="ListParagraph"/>
        <w:numPr>
          <w:ilvl w:val="1"/>
          <w:numId w:val="4"/>
        </w:numPr>
        <w:tabs>
          <w:tab w:pos="1505" w:val="left" w:leader="none"/>
          <w:tab w:pos="1506" w:val="left" w:leader="none"/>
        </w:tabs>
        <w:spacing w:line="252" w:lineRule="exact" w:before="0" w:after="0"/>
        <w:ind w:left="1505" w:right="0" w:hanging="282"/>
        <w:jc w:val="left"/>
        <w:rPr>
          <w:sz w:val="22"/>
        </w:rPr>
      </w:pPr>
      <w:r>
        <w:rPr>
          <w:sz w:val="22"/>
        </w:rPr>
        <w:t>European</w:t>
      </w:r>
      <w:r>
        <w:rPr>
          <w:spacing w:val="-2"/>
          <w:sz w:val="22"/>
        </w:rPr>
        <w:t> studies.</w:t>
      </w:r>
    </w:p>
    <w:p>
      <w:pPr>
        <w:pStyle w:val="BodyText"/>
      </w:pPr>
    </w:p>
    <w:p>
      <w:pPr>
        <w:pStyle w:val="BodyText"/>
        <w:spacing w:before="1"/>
        <w:ind w:left="1080"/>
      </w:pPr>
      <w:r>
        <w:rPr>
          <w:u w:val="single"/>
        </w:rPr>
        <w:t>Professional</w:t>
      </w:r>
      <w:r>
        <w:rPr>
          <w:spacing w:val="-4"/>
          <w:u w:val="single"/>
        </w:rPr>
        <w:t> </w:t>
      </w:r>
      <w:r>
        <w:rPr>
          <w:spacing w:val="-2"/>
          <w:u w:val="single"/>
        </w:rPr>
        <w:t>experience</w:t>
      </w:r>
    </w:p>
    <w:p>
      <w:pPr>
        <w:pStyle w:val="BodyText"/>
        <w:rPr>
          <w:sz w:val="14"/>
        </w:rPr>
      </w:pPr>
    </w:p>
    <w:p>
      <w:pPr>
        <w:pStyle w:val="BodyText"/>
        <w:spacing w:before="92"/>
        <w:ind w:left="1080" w:right="168"/>
        <w:jc w:val="both"/>
      </w:pPr>
      <w:r>
        <w:rPr/>
        <w:t>Professional experience that covers good knowledge of at least one EU Member State or Associated Country research and innovation policy; good understanding of the EU Institutions and their interaction; ability to cooperate efficiently with stakeholders at European level. Excellent written and oral communication skills in terms of policy analysis and presentation.</w:t>
      </w:r>
    </w:p>
    <w:p>
      <w:pPr>
        <w:pStyle w:val="BodyText"/>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English</w:t>
      </w:r>
      <w:r>
        <w:rPr>
          <w:spacing w:val="-4"/>
        </w:rPr>
        <w:t> </w:t>
      </w:r>
      <w:r>
        <w:rPr/>
        <w:t>and</w:t>
      </w:r>
      <w:r>
        <w:rPr>
          <w:spacing w:val="-3"/>
        </w:rPr>
        <w:t> </w:t>
      </w:r>
      <w:r>
        <w:rPr/>
        <w:t>another</w:t>
      </w:r>
      <w:r>
        <w:rPr>
          <w:spacing w:val="-3"/>
        </w:rPr>
        <w:t> </w:t>
      </w:r>
      <w:r>
        <w:rPr/>
        <w:t>official</w:t>
      </w:r>
      <w:r>
        <w:rPr>
          <w:spacing w:val="-5"/>
        </w:rPr>
        <w:t> </w:t>
      </w:r>
      <w:r>
        <w:rPr/>
        <w:t>language</w:t>
      </w:r>
      <w:r>
        <w:rPr>
          <w:spacing w:val="-3"/>
        </w:rPr>
        <w:t> </w:t>
      </w:r>
      <w:r>
        <w:rPr/>
        <w:t>of</w:t>
      </w:r>
      <w:r>
        <w:rPr>
          <w:spacing w:val="-5"/>
        </w:rPr>
        <w:t> </w:t>
      </w:r>
      <w:r>
        <w:rPr/>
        <w:t>the</w:t>
      </w:r>
      <w:r>
        <w:rPr>
          <w:spacing w:val="-3"/>
        </w:rPr>
        <w:t> </w:t>
      </w:r>
      <w:r>
        <w:rPr/>
        <w:t>European</w:t>
      </w:r>
      <w:r>
        <w:rPr>
          <w:spacing w:val="-5"/>
        </w:rPr>
        <w:t> </w:t>
      </w:r>
      <w:r>
        <w:rPr>
          <w:spacing w:val="-2"/>
        </w:rPr>
        <w:t>Union.</w:t>
      </w:r>
    </w:p>
    <w:p>
      <w:pPr>
        <w:pStyle w:val="BodyText"/>
        <w:spacing w:before="3"/>
      </w:pPr>
    </w:p>
    <w:p>
      <w:pPr>
        <w:pStyle w:val="ListParagraph"/>
        <w:numPr>
          <w:ilvl w:val="0"/>
          <w:numId w:val="3"/>
        </w:numPr>
        <w:tabs>
          <w:tab w:pos="799" w:val="left" w:leader="none"/>
          <w:tab w:pos="800" w:val="left" w:leader="none"/>
        </w:tabs>
        <w:spacing w:line="240" w:lineRule="auto" w:before="1"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spacing w:after="0" w:line="240" w:lineRule="auto"/>
        <w:jc w:val="left"/>
        <w:rPr>
          <w:sz w:val="24"/>
        </w:rPr>
        <w:sectPr>
          <w:pgSz w:w="11910" w:h="16840"/>
          <w:pgMar w:header="0" w:footer="690" w:top="1040" w:bottom="880" w:left="480" w:right="740"/>
        </w:sectPr>
      </w:pPr>
    </w:p>
    <w:p>
      <w:pPr>
        <w:spacing w:line="242" w:lineRule="auto" w:before="64"/>
        <w:ind w:left="799" w:right="278"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8"/>
        <w:rPr>
          <w:b/>
          <w:sz w:val="20"/>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9"/>
        <w:jc w:val="both"/>
      </w:pPr>
      <w:r>
        <w:rPr/>
        <w:t>Candidates</w:t>
      </w:r>
      <w:r>
        <w:rPr>
          <w:spacing w:val="-3"/>
        </w:rPr>
        <w:t> </w:t>
      </w:r>
      <w:r>
        <w:rPr/>
        <w:t>will</w:t>
      </w:r>
      <w:r>
        <w:rPr>
          <w:spacing w:val="-2"/>
        </w:rPr>
        <w:t> </w:t>
      </w:r>
      <w:r>
        <w:rPr/>
        <w:t>be</w:t>
      </w:r>
      <w:r>
        <w:rPr>
          <w:spacing w:val="-2"/>
        </w:rPr>
        <w:t> </w:t>
      </w:r>
      <w:r>
        <w:rPr/>
        <w:t>informed</w:t>
      </w:r>
      <w:r>
        <w:rPr>
          <w:spacing w:val="-3"/>
        </w:rPr>
        <w:t> </w:t>
      </w:r>
      <w:r>
        <w:rPr/>
        <w:t>of</w:t>
      </w:r>
      <w:r>
        <w:rPr>
          <w:spacing w:val="-2"/>
        </w:rPr>
        <w:t> </w:t>
      </w:r>
      <w:r>
        <w:rPr/>
        <w:t>the</w:t>
      </w:r>
      <w:r>
        <w:rPr>
          <w:spacing w:val="-5"/>
        </w:rPr>
        <w:t> </w:t>
      </w:r>
      <w:r>
        <w:rPr/>
        <w:t>follow-up</w:t>
      </w:r>
      <w:r>
        <w:rPr>
          <w:spacing w:val="-3"/>
        </w:rPr>
        <w:t> </w:t>
      </w:r>
      <w:r>
        <w:rPr/>
        <w:t>of</w:t>
      </w:r>
      <w:r>
        <w:rPr>
          <w:spacing w:val="-3"/>
        </w:rPr>
        <w:t> </w:t>
      </w:r>
      <w:r>
        <w:rPr/>
        <w:t>their</w:t>
      </w:r>
      <w:r>
        <w:rPr>
          <w:spacing w:val="-4"/>
        </w:rPr>
        <w:t> </w:t>
      </w:r>
      <w:r>
        <w:rPr/>
        <w:t>application</w:t>
      </w:r>
      <w:r>
        <w:rPr>
          <w:spacing w:val="-6"/>
        </w:rPr>
        <w:t> </w:t>
      </w:r>
      <w:r>
        <w:rPr/>
        <w:t>by</w:t>
      </w:r>
      <w:r>
        <w:rPr>
          <w:spacing w:val="-6"/>
        </w:rPr>
        <w:t> </w:t>
      </w:r>
      <w:r>
        <w:rPr/>
        <w:t>the</w:t>
      </w:r>
      <w:r>
        <w:rPr>
          <w:spacing w:val="-3"/>
        </w:rPr>
        <w:t> </w:t>
      </w:r>
      <w:r>
        <w:rPr/>
        <w:t>unit</w:t>
      </w:r>
      <w:r>
        <w:rPr>
          <w:spacing w:val="-4"/>
        </w:rPr>
        <w:t> </w:t>
      </w:r>
      <w:r>
        <w:rPr>
          <w:spacing w:val="-2"/>
        </w:rPr>
        <w:t>concerned.</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pStyle w:val="BodyText"/>
        <w:spacing w:before="6"/>
        <w:rPr>
          <w:b/>
          <w:sz w:val="15"/>
        </w:rPr>
      </w:pPr>
    </w:p>
    <w:p>
      <w:pPr>
        <w:spacing w:line="240" w:lineRule="auto" w:before="92"/>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9" w:right="287"/>
        <w:jc w:val="both"/>
      </w:pPr>
      <w:r>
        <w:rPr/>
        <w:t>The SNE will remain employed and remunerated by his/her employer during the secondment. He/she will equally remain covered by the national social security system.</w:t>
      </w:r>
    </w:p>
    <w:p>
      <w:pPr>
        <w:pStyle w:val="BodyText"/>
        <w:ind w:left="799" w:right="286"/>
        <w:jc w:val="both"/>
      </w:pPr>
      <w:r>
        <w:rPr/>
        <w:t>Unless for cost-free SNE, allowances may be granted by the Commission to SNE fulfilling the conditions provided for in Art. 17 of the SNE decision.</w:t>
      </w:r>
    </w:p>
    <w:p>
      <w:pPr>
        <w:pStyle w:val="BodyText"/>
      </w:pPr>
    </w:p>
    <w:p>
      <w:pPr>
        <w:pStyle w:val="BodyText"/>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1"/>
      </w:pPr>
    </w:p>
    <w:p>
      <w:pPr>
        <w:pStyle w:val="BodyText"/>
        <w:ind w:left="799" w:right="283"/>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07"/>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6"/>
      </w:pPr>
    </w:p>
    <w:p>
      <w:pPr>
        <w:pStyle w:val="Heading1"/>
        <w:ind w:left="799" w:firstLine="0"/>
      </w:pPr>
      <w:r>
        <w:rPr>
          <w:u w:val="single"/>
        </w:rPr>
        <w:t>Contact</w:t>
      </w:r>
      <w:r>
        <w:rPr>
          <w:spacing w:val="-4"/>
          <w:u w:val="single"/>
        </w:rPr>
        <w:t> </w:t>
      </w:r>
      <w:r>
        <w:rPr>
          <w:spacing w:val="-2"/>
          <w:u w:val="single"/>
        </w:rPr>
        <w:t>information</w:t>
      </w:r>
    </w:p>
    <w:p>
      <w:pPr>
        <w:pStyle w:val="BodyText"/>
        <w:spacing w:before="10"/>
        <w:rPr>
          <w:b/>
          <w:sz w:val="21"/>
        </w:rPr>
      </w:pPr>
    </w:p>
    <w:p>
      <w:pPr>
        <w:pStyle w:val="ListParagraph"/>
        <w:numPr>
          <w:ilvl w:val="0"/>
          <w:numId w:val="5"/>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spacing w:after="0"/>
        <w:jc w:val="both"/>
        <w:sectPr>
          <w:pgSz w:w="11910" w:h="16840"/>
          <w:pgMar w:header="0" w:footer="690" w:top="1320" w:bottom="880" w:left="480" w:right="740"/>
        </w:sectPr>
      </w:pPr>
    </w:p>
    <w:p>
      <w:pPr>
        <w:pStyle w:val="Heading1"/>
        <w:numPr>
          <w:ilvl w:val="0"/>
          <w:numId w:val="5"/>
        </w:numPr>
        <w:tabs>
          <w:tab w:pos="1081" w:val="left" w:leader="none"/>
        </w:tabs>
        <w:spacing w:line="266" w:lineRule="exact" w:before="74"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spacing w:line="242" w:lineRule="auto"/>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30.330002pt;margin-top:24.069527pt;width:3.72pt;height:.48001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9744"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1505" w:hanging="281"/>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520" w:hanging="281"/>
      </w:pPr>
      <w:rPr>
        <w:rFonts w:hint="default"/>
        <w:lang w:val="en-US" w:eastAsia="en-US" w:bidi="ar-SA"/>
      </w:rPr>
    </w:lvl>
    <w:lvl w:ilvl="3">
      <w:start w:val="0"/>
      <w:numFmt w:val="bullet"/>
      <w:lvlText w:val="•"/>
      <w:lvlJc w:val="left"/>
      <w:pPr>
        <w:ind w:left="3541" w:hanging="281"/>
      </w:pPr>
      <w:rPr>
        <w:rFonts w:hint="default"/>
        <w:lang w:val="en-US" w:eastAsia="en-US" w:bidi="ar-SA"/>
      </w:rPr>
    </w:lvl>
    <w:lvl w:ilvl="4">
      <w:start w:val="0"/>
      <w:numFmt w:val="bullet"/>
      <w:lvlText w:val="•"/>
      <w:lvlJc w:val="left"/>
      <w:pPr>
        <w:ind w:left="4562" w:hanging="281"/>
      </w:pPr>
      <w:rPr>
        <w:rFonts w:hint="default"/>
        <w:lang w:val="en-US" w:eastAsia="en-US" w:bidi="ar-SA"/>
      </w:rPr>
    </w:lvl>
    <w:lvl w:ilvl="5">
      <w:start w:val="0"/>
      <w:numFmt w:val="bullet"/>
      <w:lvlText w:val="•"/>
      <w:lvlJc w:val="left"/>
      <w:pPr>
        <w:ind w:left="5582" w:hanging="281"/>
      </w:pPr>
      <w:rPr>
        <w:rFonts w:hint="default"/>
        <w:lang w:val="en-US" w:eastAsia="en-US" w:bidi="ar-SA"/>
      </w:rPr>
    </w:lvl>
    <w:lvl w:ilvl="6">
      <w:start w:val="0"/>
      <w:numFmt w:val="bullet"/>
      <w:lvlText w:val="•"/>
      <w:lvlJc w:val="left"/>
      <w:pPr>
        <w:ind w:left="6603" w:hanging="281"/>
      </w:pPr>
      <w:rPr>
        <w:rFonts w:hint="default"/>
        <w:lang w:val="en-US" w:eastAsia="en-US" w:bidi="ar-SA"/>
      </w:rPr>
    </w:lvl>
    <w:lvl w:ilvl="7">
      <w:start w:val="0"/>
      <w:numFmt w:val="bullet"/>
      <w:lvlText w:val="•"/>
      <w:lvlJc w:val="left"/>
      <w:pPr>
        <w:ind w:left="7624" w:hanging="281"/>
      </w:pPr>
      <w:rPr>
        <w:rFonts w:hint="default"/>
        <w:lang w:val="en-US" w:eastAsia="en-US" w:bidi="ar-SA"/>
      </w:rPr>
    </w:lvl>
    <w:lvl w:ilvl="8">
      <w:start w:val="0"/>
      <w:numFmt w:val="bullet"/>
      <w:lvlText w:val="•"/>
      <w:lvlJc w:val="left"/>
      <w:pPr>
        <w:ind w:left="8644" w:hanging="281"/>
      </w:pPr>
      <w:rPr>
        <w:rFonts w:hint="default"/>
        <w:lang w:val="en-US" w:eastAsia="en-US" w:bidi="ar-SA"/>
      </w:rPr>
    </w:lvl>
  </w:abstractNum>
  <w:abstractNum w:abstractNumId="1">
    <w:multiLevelType w:val="hybridMultilevel"/>
    <w:lvl w:ilvl="0">
      <w:start w:val="0"/>
      <w:numFmt w:val="bullet"/>
      <w:lvlText w:val=""/>
      <w:lvlJc w:val="left"/>
      <w:pPr>
        <w:ind w:left="501" w:hanging="39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149" w:hanging="33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118" w:hanging="336"/>
      </w:pPr>
      <w:rPr>
        <w:rFonts w:hint="default"/>
        <w:lang w:val="en-US" w:eastAsia="en-US" w:bidi="ar-SA"/>
      </w:rPr>
    </w:lvl>
    <w:lvl w:ilvl="3">
      <w:start w:val="0"/>
      <w:numFmt w:val="bullet"/>
      <w:lvlText w:val="•"/>
      <w:lvlJc w:val="left"/>
      <w:pPr>
        <w:ind w:left="3096" w:hanging="336"/>
      </w:pPr>
      <w:rPr>
        <w:rFonts w:hint="default"/>
        <w:lang w:val="en-US" w:eastAsia="en-US" w:bidi="ar-SA"/>
      </w:rPr>
    </w:lvl>
    <w:lvl w:ilvl="4">
      <w:start w:val="0"/>
      <w:numFmt w:val="bullet"/>
      <w:lvlText w:val="•"/>
      <w:lvlJc w:val="left"/>
      <w:pPr>
        <w:ind w:left="4075" w:hanging="336"/>
      </w:pPr>
      <w:rPr>
        <w:rFonts w:hint="default"/>
        <w:lang w:val="en-US" w:eastAsia="en-US" w:bidi="ar-SA"/>
      </w:rPr>
    </w:lvl>
    <w:lvl w:ilvl="5">
      <w:start w:val="0"/>
      <w:numFmt w:val="bullet"/>
      <w:lvlText w:val="•"/>
      <w:lvlJc w:val="left"/>
      <w:pPr>
        <w:ind w:left="5053" w:hanging="336"/>
      </w:pPr>
      <w:rPr>
        <w:rFonts w:hint="default"/>
        <w:lang w:val="en-US" w:eastAsia="en-US" w:bidi="ar-SA"/>
      </w:rPr>
    </w:lvl>
    <w:lvl w:ilvl="6">
      <w:start w:val="0"/>
      <w:numFmt w:val="bullet"/>
      <w:lvlText w:val="•"/>
      <w:lvlJc w:val="left"/>
      <w:pPr>
        <w:ind w:left="6031" w:hanging="336"/>
      </w:pPr>
      <w:rPr>
        <w:rFonts w:hint="default"/>
        <w:lang w:val="en-US" w:eastAsia="en-US" w:bidi="ar-SA"/>
      </w:rPr>
    </w:lvl>
    <w:lvl w:ilvl="7">
      <w:start w:val="0"/>
      <w:numFmt w:val="bullet"/>
      <w:lvlText w:val="•"/>
      <w:lvlJc w:val="left"/>
      <w:pPr>
        <w:ind w:left="7010" w:hanging="336"/>
      </w:pPr>
      <w:rPr>
        <w:rFonts w:hint="default"/>
        <w:lang w:val="en-US" w:eastAsia="en-US" w:bidi="ar-SA"/>
      </w:rPr>
    </w:lvl>
    <w:lvl w:ilvl="8">
      <w:start w:val="0"/>
      <w:numFmt w:val="bullet"/>
      <w:lvlText w:val="•"/>
      <w:lvlJc w:val="left"/>
      <w:pPr>
        <w:ind w:left="7988" w:hanging="33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2">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2280" w:hanging="281"/>
      </w:pPr>
      <w:rPr>
        <w:rFonts w:hint="default"/>
        <w:lang w:val="en-US" w:eastAsia="en-US" w:bidi="ar-SA"/>
      </w:rPr>
    </w:lvl>
    <w:lvl w:ilvl="4">
      <w:start w:val="0"/>
      <w:numFmt w:val="bullet"/>
      <w:lvlText w:val="•"/>
      <w:lvlJc w:val="left"/>
      <w:pPr>
        <w:ind w:left="3481" w:hanging="281"/>
      </w:pPr>
      <w:rPr>
        <w:rFonts w:hint="default"/>
        <w:lang w:val="en-US" w:eastAsia="en-US" w:bidi="ar-SA"/>
      </w:rPr>
    </w:lvl>
    <w:lvl w:ilvl="5">
      <w:start w:val="0"/>
      <w:numFmt w:val="bullet"/>
      <w:lvlText w:val="•"/>
      <w:lvlJc w:val="left"/>
      <w:pPr>
        <w:ind w:left="4682" w:hanging="281"/>
      </w:pPr>
      <w:rPr>
        <w:rFonts w:hint="default"/>
        <w:lang w:val="en-US" w:eastAsia="en-US" w:bidi="ar-SA"/>
      </w:rPr>
    </w:lvl>
    <w:lvl w:ilvl="6">
      <w:start w:val="0"/>
      <w:numFmt w:val="bullet"/>
      <w:lvlText w:val="•"/>
      <w:lvlJc w:val="left"/>
      <w:pPr>
        <w:ind w:left="5883" w:hanging="281"/>
      </w:pPr>
      <w:rPr>
        <w:rFonts w:hint="default"/>
        <w:lang w:val="en-US" w:eastAsia="en-US" w:bidi="ar-SA"/>
      </w:rPr>
    </w:lvl>
    <w:lvl w:ilvl="7">
      <w:start w:val="0"/>
      <w:numFmt w:val="bullet"/>
      <w:lvlText w:val="•"/>
      <w:lvlJc w:val="left"/>
      <w:pPr>
        <w:ind w:left="7084" w:hanging="281"/>
      </w:pPr>
      <w:rPr>
        <w:rFonts w:hint="default"/>
        <w:lang w:val="en-US" w:eastAsia="en-US" w:bidi="ar-SA"/>
      </w:rPr>
    </w:lvl>
    <w:lvl w:ilvl="8">
      <w:start w:val="0"/>
      <w:numFmt w:val="bullet"/>
      <w:lvlText w:val="•"/>
      <w:lvlJc w:val="left"/>
      <w:pPr>
        <w:ind w:left="8284" w:hanging="281"/>
      </w:pPr>
      <w:rPr>
        <w:rFonts w:hint="default"/>
        <w:lang w:val="en-US" w:eastAsia="en-US" w:bidi="ar-SA"/>
      </w:rPr>
    </w:lvl>
  </w:abstract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28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Fabienne.Gautier@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2023-03-15T15:32:26Z</dcterms:created>
  <dcterms:modified xsi:type="dcterms:W3CDTF">2023-03-15T15:32:26Z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