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09"/>
        <w:gridCol w:w="308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6" w:type="dxa"/>
            <w:gridSpan w:val="2"/>
          </w:tcPr>
          <w:p>
            <w:pPr>
              <w:pStyle w:val="TableParagraph"/>
              <w:spacing w:before="167"/>
              <w:rPr>
                <w:b/>
                <w:sz w:val="24"/>
              </w:rPr>
            </w:pPr>
            <w:r>
              <w:rPr>
                <w:b/>
                <w:spacing w:val="-2"/>
                <w:sz w:val="24"/>
              </w:rPr>
              <w:t>TRADE-A-</w:t>
            </w:r>
            <w:r>
              <w:rPr>
                <w:b/>
                <w:spacing w:val="-10"/>
                <w:sz w:val="24"/>
              </w:rPr>
              <w:t>3</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596" w:type="dxa"/>
            <w:gridSpan w:val="2"/>
            <w:tcBorders>
              <w:bottom w:val="nil"/>
            </w:tcBorders>
          </w:tcPr>
          <w:p>
            <w:pPr>
              <w:pStyle w:val="TableParagraph"/>
              <w:spacing w:line="237" w:lineRule="exact"/>
              <w:rPr>
                <w:b/>
                <w:sz w:val="22"/>
              </w:rPr>
            </w:pPr>
            <w:r>
              <w:rPr>
                <w:b/>
                <w:sz w:val="22"/>
              </w:rPr>
              <w:t>Edouard</w:t>
            </w:r>
            <w:r>
              <w:rPr>
                <w:b/>
                <w:spacing w:val="-2"/>
                <w:sz w:val="22"/>
              </w:rPr>
              <w:t> Bourcieu</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6" w:type="dxa"/>
            <w:gridSpan w:val="2"/>
            <w:tcBorders>
              <w:top w:val="nil"/>
              <w:bottom w:val="nil"/>
            </w:tcBorders>
          </w:tcPr>
          <w:p>
            <w:pPr>
              <w:pStyle w:val="TableParagraph"/>
              <w:spacing w:line="233" w:lineRule="exact"/>
              <w:rPr>
                <w:b/>
                <w:sz w:val="22"/>
              </w:rPr>
            </w:pPr>
            <w:hyperlink r:id="rId7">
              <w:r>
                <w:rPr>
                  <w:b/>
                  <w:color w:val="0000FF"/>
                  <w:spacing w:val="-2"/>
                  <w:sz w:val="22"/>
                  <w:u w:val="single" w:color="0000FF"/>
                </w:rPr>
                <w:t>edouard.bourcieu@ec.europa.eu</w:t>
              </w:r>
            </w:hyperlink>
          </w:p>
        </w:tc>
      </w:tr>
      <w:tr>
        <w:trPr>
          <w:trHeight w:val="251" w:hRule="atLeast"/>
        </w:trPr>
        <w:tc>
          <w:tcPr>
            <w:tcW w:w="4359" w:type="dxa"/>
            <w:tcBorders>
              <w:top w:val="nil"/>
              <w:bottom w:val="nil"/>
            </w:tcBorders>
          </w:tcPr>
          <w:p>
            <w:pPr>
              <w:pStyle w:val="TableParagraph"/>
              <w:spacing w:line="232" w:lineRule="exact"/>
              <w:rPr>
                <w:b/>
                <w:sz w:val="22"/>
              </w:rPr>
            </w:pPr>
            <w:r>
              <w:rPr>
                <w:b/>
                <w:spacing w:val="-2"/>
                <w:sz w:val="22"/>
              </w:rPr>
              <w:t>Telephone:</w:t>
            </w:r>
          </w:p>
        </w:tc>
        <w:tc>
          <w:tcPr>
            <w:tcW w:w="5596" w:type="dxa"/>
            <w:gridSpan w:val="2"/>
            <w:tcBorders>
              <w:top w:val="nil"/>
              <w:bottom w:val="nil"/>
            </w:tcBorders>
          </w:tcPr>
          <w:p>
            <w:pPr>
              <w:pStyle w:val="TableParagraph"/>
              <w:spacing w:line="232" w:lineRule="exact"/>
              <w:rPr>
                <w:b/>
                <w:sz w:val="22"/>
              </w:rPr>
            </w:pPr>
            <w:r>
              <w:rPr>
                <w:b/>
                <w:sz w:val="22"/>
              </w:rPr>
              <w:t>+32</w:t>
            </w:r>
            <w:r>
              <w:rPr>
                <w:b/>
                <w:spacing w:val="-1"/>
                <w:sz w:val="22"/>
              </w:rPr>
              <w:t> </w:t>
            </w:r>
            <w:r>
              <w:rPr>
                <w:b/>
                <w:sz w:val="22"/>
              </w:rPr>
              <w:t>2</w:t>
            </w:r>
            <w:r>
              <w:rPr>
                <w:b/>
                <w:spacing w:val="-1"/>
                <w:sz w:val="22"/>
              </w:rPr>
              <w:t> </w:t>
            </w:r>
            <w:r>
              <w:rPr>
                <w:b/>
                <w:sz w:val="22"/>
              </w:rPr>
              <w:t>29 </w:t>
            </w:r>
            <w:r>
              <w:rPr>
                <w:b/>
                <w:spacing w:val="-2"/>
                <w:sz w:val="22"/>
              </w:rPr>
              <w:t>86099</w:t>
            </w:r>
          </w:p>
        </w:tc>
      </w:tr>
      <w:tr>
        <w:trPr>
          <w:trHeight w:val="263" w:hRule="atLeast"/>
        </w:trPr>
        <w:tc>
          <w:tcPr>
            <w:tcW w:w="4359" w:type="dxa"/>
            <w:tcBorders>
              <w:top w:val="nil"/>
              <w:bottom w:val="nil"/>
            </w:tcBorders>
          </w:tcPr>
          <w:p>
            <w:pPr>
              <w:pStyle w:val="TableParagraph"/>
              <w:spacing w:line="244"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6" w:type="dxa"/>
            <w:gridSpan w:val="2"/>
            <w:tcBorders>
              <w:top w:val="nil"/>
              <w:bottom w:val="nil"/>
            </w:tcBorders>
          </w:tcPr>
          <w:p>
            <w:pPr>
              <w:pStyle w:val="TableParagraph"/>
              <w:spacing w:line="244" w:lineRule="exact"/>
              <w:rPr>
                <w:sz w:val="24"/>
              </w:rPr>
            </w:pPr>
            <w:r>
              <w:rPr>
                <w:sz w:val="24"/>
              </w:rPr>
              <w:t>1</w:t>
            </w:r>
          </w:p>
        </w:tc>
      </w:tr>
      <w:tr>
        <w:trPr>
          <w:trHeight w:val="254" w:hRule="atLeast"/>
        </w:trPr>
        <w:tc>
          <w:tcPr>
            <w:tcW w:w="4359" w:type="dxa"/>
            <w:tcBorders>
              <w:top w:val="nil"/>
              <w:bottom w:val="nil"/>
            </w:tcBorders>
          </w:tcPr>
          <w:p>
            <w:pPr>
              <w:pStyle w:val="TableParagraph"/>
              <w:spacing w:line="235"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6" w:type="dxa"/>
            <w:gridSpan w:val="2"/>
            <w:tcBorders>
              <w:top w:val="nil"/>
              <w:bottom w:val="nil"/>
            </w:tcBorders>
          </w:tcPr>
          <w:p>
            <w:pPr>
              <w:pStyle w:val="TableParagraph"/>
              <w:spacing w:line="225" w:lineRule="exact" w:before="10"/>
              <w:rPr>
                <w:b/>
                <w:sz w:val="22"/>
              </w:rPr>
            </w:pPr>
            <w:r>
              <w:rPr>
                <w:b/>
                <w:sz w:val="22"/>
              </w:rPr>
              <w:t>1</w:t>
            </w:r>
            <w:r>
              <w:rPr>
                <w:b/>
                <w:spacing w:val="-2"/>
                <w:sz w:val="22"/>
              </w:rPr>
              <w:t> </w:t>
            </w:r>
            <w:r>
              <w:rPr>
                <w:b/>
                <w:sz w:val="22"/>
              </w:rPr>
              <w:t>September</w:t>
            </w:r>
            <w:r>
              <w:rPr>
                <w:b/>
                <w:spacing w:val="-1"/>
                <w:sz w:val="22"/>
              </w:rPr>
              <w:t> </w:t>
            </w:r>
            <w:r>
              <w:rPr>
                <w:b/>
                <w:sz w:val="22"/>
              </w:rPr>
              <w:t>2023</w:t>
            </w:r>
            <w:r>
              <w:rPr>
                <w:b/>
                <w:spacing w:val="-4"/>
                <w:sz w:val="22"/>
              </w:rPr>
              <w:t> </w:t>
            </w:r>
            <w:r>
              <w:rPr>
                <w:b/>
                <w:spacing w:val="-10"/>
                <w:sz w:val="22"/>
                <w:vertAlign w:val="superscript"/>
              </w:rPr>
              <w:t>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Suggested</w:t>
            </w:r>
            <w:r>
              <w:rPr>
                <w:b/>
                <w:spacing w:val="-6"/>
                <w:sz w:val="22"/>
              </w:rPr>
              <w:t> </w:t>
            </w:r>
            <w:r>
              <w:rPr>
                <w:b/>
                <w:sz w:val="22"/>
              </w:rPr>
              <w:t>initial</w:t>
            </w:r>
            <w:r>
              <w:rPr>
                <w:b/>
                <w:spacing w:val="-4"/>
                <w:sz w:val="22"/>
              </w:rPr>
              <w:t> </w:t>
            </w:r>
            <w:r>
              <w:rPr>
                <w:b/>
                <w:spacing w:val="-2"/>
                <w:sz w:val="22"/>
              </w:rPr>
              <w:t>duration:</w:t>
            </w:r>
          </w:p>
        </w:tc>
        <w:tc>
          <w:tcPr>
            <w:tcW w:w="5596" w:type="dxa"/>
            <w:gridSpan w:val="2"/>
            <w:tcBorders>
              <w:top w:val="nil"/>
              <w:bottom w:val="nil"/>
            </w:tcBorders>
          </w:tcPr>
          <w:p>
            <w:pPr>
              <w:pStyle w:val="TableParagraph"/>
              <w:spacing w:line="226" w:lineRule="exact" w:before="7"/>
              <w:rPr>
                <w:b/>
                <w:sz w:val="22"/>
              </w:rPr>
            </w:pPr>
            <w:r>
              <w:rPr>
                <w:b/>
                <w:sz w:val="22"/>
              </w:rPr>
              <w:t>1 </w:t>
            </w:r>
            <w:r>
              <w:rPr>
                <w:b/>
                <w:spacing w:val="-2"/>
                <w:sz w:val="22"/>
              </w:rPr>
              <w:t>year</w:t>
            </w:r>
            <w:r>
              <w:rPr>
                <w:b/>
                <w:spacing w:val="-2"/>
                <w:sz w:val="22"/>
                <w:vertAlign w:val="superscript"/>
              </w:rPr>
              <w:t>1</w:t>
            </w:r>
          </w:p>
        </w:tc>
      </w:tr>
      <w:tr>
        <w:trPr>
          <w:trHeight w:val="444" w:hRule="atLeast"/>
        </w:trPr>
        <w:tc>
          <w:tcPr>
            <w:tcW w:w="4359" w:type="dxa"/>
            <w:tcBorders>
              <w:top w:val="nil"/>
              <w:bottom w:val="nil"/>
            </w:tcBorders>
          </w:tcPr>
          <w:p>
            <w:pPr>
              <w:pStyle w:val="TableParagraph"/>
              <w:spacing w:line="237" w:lineRule="exact"/>
              <w:rPr>
                <w:b/>
                <w:sz w:val="22"/>
              </w:rPr>
            </w:pPr>
            <w:r>
              <w:rPr>
                <w:b/>
                <w:sz w:val="22"/>
              </w:rPr>
              <w:t>Place</w:t>
            </w:r>
            <w:r>
              <w:rPr>
                <w:b/>
                <w:spacing w:val="-4"/>
                <w:sz w:val="22"/>
              </w:rPr>
              <w:t> </w:t>
            </w:r>
            <w:r>
              <w:rPr>
                <w:b/>
                <w:sz w:val="22"/>
              </w:rPr>
              <w:t>of</w:t>
            </w:r>
            <w:r>
              <w:rPr>
                <w:b/>
                <w:spacing w:val="2"/>
                <w:sz w:val="22"/>
              </w:rPr>
              <w:t> </w:t>
            </w:r>
            <w:r>
              <w:rPr>
                <w:b/>
                <w:spacing w:val="-2"/>
                <w:sz w:val="22"/>
              </w:rPr>
              <w:t>secondment:</w:t>
            </w:r>
          </w:p>
        </w:tc>
        <w:tc>
          <w:tcPr>
            <w:tcW w:w="5596" w:type="dxa"/>
            <w:gridSpan w:val="2"/>
            <w:tcBorders>
              <w:top w:val="nil"/>
            </w:tcBorders>
          </w:tcPr>
          <w:p>
            <w:pPr>
              <w:pStyle w:val="TableParagraph"/>
              <w:spacing w:before="6"/>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09" w:type="dxa"/>
            <w:tcBorders>
              <w:right w:val="nil"/>
            </w:tcBorders>
          </w:tcPr>
          <w:p>
            <w:pPr>
              <w:pStyle w:val="TableParagraph"/>
              <w:tabs>
                <w:tab w:pos="523"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p>
        </w:tc>
        <w:tc>
          <w:tcPr>
            <w:tcW w:w="3087" w:type="dxa"/>
            <w:tcBorders>
              <w:left w:val="nil"/>
            </w:tcBorders>
          </w:tcPr>
          <w:p>
            <w:pPr>
              <w:pStyle w:val="TableParagraph"/>
              <w:numPr>
                <w:ilvl w:val="0"/>
                <w:numId w:val="1"/>
              </w:numPr>
              <w:tabs>
                <w:tab w:pos="918" w:val="left" w:leader="none"/>
                <w:tab w:pos="919" w:val="left" w:leader="none"/>
              </w:tabs>
              <w:spacing w:line="240" w:lineRule="auto" w:before="145" w:after="0"/>
              <w:ind w:left="919" w:right="0" w:hanging="473"/>
              <w:jc w:val="left"/>
              <w:rPr>
                <w:b/>
                <w:sz w:val="22"/>
              </w:rPr>
            </w:pPr>
            <w:r>
              <w:rPr>
                <w:b/>
                <w:spacing w:val="-2"/>
                <w:sz w:val="22"/>
              </w:rPr>
              <w:t>Cost-</w:t>
            </w:r>
            <w:r>
              <w:rPr>
                <w:b/>
                <w:spacing w:val="-4"/>
                <w:sz w:val="22"/>
              </w:rPr>
              <w:t>free</w:t>
            </w:r>
          </w:p>
        </w:tc>
      </w:tr>
      <w:tr>
        <w:trPr>
          <w:trHeight w:val="2113" w:hRule="atLeast"/>
        </w:trPr>
        <w:tc>
          <w:tcPr>
            <w:tcW w:w="9955"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tabs>
                <w:tab w:pos="544" w:val="left" w:leader="none"/>
              </w:tabs>
              <w:rPr>
                <w:b/>
                <w:sz w:val="24"/>
              </w:rPr>
            </w:pPr>
            <w:r>
              <w:rPr>
                <w:rFonts w:ascii="Wingdings 2" w:hAnsi="Wingdings 2"/>
                <w:b/>
                <w:spacing w:val="-10"/>
                <w:sz w:val="22"/>
              </w:rPr>
              <w:t></w:t>
            </w:r>
            <w:r>
              <w:rPr>
                <w:sz w:val="22"/>
              </w:rPr>
              <w:tab/>
            </w:r>
            <w:r>
              <w:rPr>
                <w:b/>
                <w:sz w:val="24"/>
              </w:rPr>
              <w:t>the</w:t>
            </w:r>
            <w:r>
              <w:rPr>
                <w:b/>
                <w:spacing w:val="-12"/>
                <w:sz w:val="24"/>
              </w:rPr>
              <w:t> </w:t>
            </w:r>
            <w:r>
              <w:rPr>
                <w:b/>
                <w:sz w:val="24"/>
              </w:rPr>
              <w:t>following</w:t>
            </w:r>
            <w:r>
              <w:rPr>
                <w:b/>
                <w:spacing w:val="-10"/>
                <w:sz w:val="24"/>
              </w:rPr>
              <w:t> </w:t>
            </w:r>
            <w:r>
              <w:rPr>
                <w:b/>
                <w:sz w:val="24"/>
              </w:rPr>
              <w:t>intergovernmental</w:t>
            </w:r>
            <w:r>
              <w:rPr>
                <w:b/>
                <w:spacing w:val="-8"/>
                <w:sz w:val="24"/>
              </w:rPr>
              <w:t> </w:t>
            </w:r>
            <w:r>
              <w:rPr>
                <w:b/>
                <w:sz w:val="24"/>
              </w:rPr>
              <w:t>organisations:</w:t>
            </w:r>
            <w:r>
              <w:rPr>
                <w:b/>
                <w:spacing w:val="-6"/>
                <w:sz w:val="24"/>
              </w:rPr>
              <w:t> </w:t>
            </w:r>
            <w:r>
              <w:rPr>
                <w:b/>
                <w:sz w:val="24"/>
              </w:rPr>
              <w:t>WTO,</w:t>
            </w:r>
            <w:r>
              <w:rPr>
                <w:b/>
                <w:spacing w:val="-7"/>
                <w:sz w:val="24"/>
              </w:rPr>
              <w:t> </w:t>
            </w:r>
            <w:r>
              <w:rPr>
                <w:b/>
                <w:sz w:val="24"/>
              </w:rPr>
              <w:t>World</w:t>
            </w:r>
            <w:r>
              <w:rPr>
                <w:b/>
                <w:spacing w:val="-8"/>
                <w:sz w:val="24"/>
              </w:rPr>
              <w:t> </w:t>
            </w:r>
            <w:r>
              <w:rPr>
                <w:b/>
                <w:sz w:val="24"/>
              </w:rPr>
              <w:t>Bank,</w:t>
            </w:r>
            <w:r>
              <w:rPr>
                <w:b/>
                <w:spacing w:val="-8"/>
                <w:sz w:val="24"/>
              </w:rPr>
              <w:t> </w:t>
            </w:r>
            <w:r>
              <w:rPr>
                <w:b/>
                <w:sz w:val="24"/>
              </w:rPr>
              <w:t>IMF,</w:t>
            </w:r>
            <w:r>
              <w:rPr>
                <w:b/>
                <w:spacing w:val="-8"/>
                <w:sz w:val="24"/>
              </w:rPr>
              <w:t> </w:t>
            </w:r>
            <w:r>
              <w:rPr>
                <w:b/>
                <w:sz w:val="24"/>
              </w:rPr>
              <w:t>United</w:t>
            </w:r>
            <w:r>
              <w:rPr>
                <w:b/>
                <w:spacing w:val="-6"/>
                <w:sz w:val="24"/>
              </w:rPr>
              <w:t> </w:t>
            </w:r>
            <w:r>
              <w:rPr>
                <w:b/>
                <w:spacing w:val="-2"/>
                <w:sz w:val="24"/>
              </w:rPr>
              <w:t>Nations</w:t>
            </w:r>
          </w:p>
        </w:tc>
      </w:tr>
    </w:tbl>
    <w:p>
      <w:pPr>
        <w:pStyle w:val="BodyText"/>
        <w:spacing w:before="4"/>
        <w:rPr>
          <w:b/>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2"/>
        <w:ind w:left="799" w:right="108" w:hanging="3"/>
        <w:jc w:val="both"/>
      </w:pPr>
      <w:r>
        <w:rPr/>
        <w:t>The European Commission's Directorate-General for Trade develops, implements and enforces the EU's trade and investment policy with the objective of asserting the interests of the European Union and its Member States as well as of European citizens, consumers, small, medium and large enterprises.</w:t>
      </w:r>
    </w:p>
    <w:p>
      <w:pPr>
        <w:pStyle w:val="BodyText"/>
        <w:spacing w:before="10"/>
        <w:rPr>
          <w:sz w:val="21"/>
        </w:rPr>
      </w:pPr>
    </w:p>
    <w:p>
      <w:pPr>
        <w:pStyle w:val="BodyText"/>
        <w:ind w:left="799" w:right="104" w:hanging="3"/>
        <w:jc w:val="both"/>
      </w:pPr>
      <w:r>
        <w:rPr/>
        <w:t>Trade and investment policy also helps to achieve broader EU objectives on supporting sustainable development, combatting climate change, and strengthening security as well as the EU's position in the world. It does this by acting unilaterally, bilaterally and multilaterally, and stands ready to react swiftly to anti- competitive and trade distorting behaviours through assertive enforcement actions.</w:t>
      </w:r>
    </w:p>
    <w:p>
      <w:pPr>
        <w:pStyle w:val="BodyText"/>
      </w:pPr>
    </w:p>
    <w:p>
      <w:pPr>
        <w:pStyle w:val="BodyText"/>
        <w:ind w:left="799" w:right="111" w:hanging="3"/>
        <w:jc w:val="both"/>
      </w:pPr>
      <w:r>
        <w:rPr/>
        <w:t>The Chief Economist, Trade Analysis and Evaluation Unit contributes to this task by providing policy advice and economic analysis to trade policy makers and negotiators in the DG. To fulfil our role in DG TRADE, we combine in-house policy-focused analytical work, often based on quantitative models, with outsourcing of tasks to researchers and academics. Further information on the work of the Unit can be found </w:t>
      </w:r>
      <w:hyperlink r:id="rId8">
        <w:r>
          <w:rPr>
            <w:color w:val="0000FF"/>
            <w:u w:val="single" w:color="0000FF"/>
          </w:rPr>
          <w:t>here</w:t>
        </w:r>
      </w:hyperlink>
      <w:r>
        <w:rPr/>
        <w:t>.</w:t>
      </w:r>
    </w:p>
    <w:p>
      <w:pPr>
        <w:pStyle w:val="BodyText"/>
        <w:spacing w:before="1"/>
        <w:rPr>
          <w:sz w:val="14"/>
        </w:rPr>
      </w:pPr>
    </w:p>
    <w:p>
      <w:pPr>
        <w:pStyle w:val="BodyText"/>
        <w:spacing w:before="91"/>
        <w:ind w:left="799" w:right="104" w:hanging="3"/>
        <w:jc w:val="both"/>
      </w:pPr>
      <w:r>
        <w:rPr/>
        <w:t>The current post is for an economist with good analytical, policy and communication skills who would, inter alia, (i) provide analytical input to studies carried out internally and externally and (ii) contribute to the economic analysis of the link between internal market policies and EU trade policies. The jobholder would</w:t>
      </w:r>
      <w:r>
        <w:rPr>
          <w:spacing w:val="40"/>
        </w:rPr>
        <w:t> </w:t>
      </w:r>
      <w:r>
        <w:rPr/>
        <w:t>also work to further improve outreach and relations with various stakeholders (other DGs, Member States, European Parliament, etc.).</w:t>
      </w:r>
    </w:p>
    <w:p>
      <w:pPr>
        <w:pStyle w:val="BodyText"/>
        <w:spacing w:before="7"/>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1"/>
          <w:numId w:val="3"/>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rPr>
          <w:b/>
          <w:sz w:val="20"/>
        </w:rPr>
      </w:pPr>
    </w:p>
    <w:p>
      <w:pPr>
        <w:pStyle w:val="BodyText"/>
        <w:spacing w:before="8"/>
        <w:rPr>
          <w:b/>
          <w:sz w:val="28"/>
        </w:rPr>
      </w:pPr>
      <w:r>
        <w:rPr/>
        <w:pict>
          <v:rect style="position:absolute;margin-left:42.599998pt;margin-top:17.714161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spacing w:before="68"/>
        <w:ind w:left="799" w:right="110"/>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2"/>
          <w:numId w:val="3"/>
        </w:numPr>
        <w:tabs>
          <w:tab w:pos="1081" w:val="left" w:leader="none"/>
        </w:tabs>
        <w:spacing w:line="240" w:lineRule="auto" w:before="0" w:after="0"/>
        <w:ind w:left="1080" w:right="105" w:hanging="281"/>
        <w:jc w:val="both"/>
        <w:rPr>
          <w:sz w:val="22"/>
        </w:rPr>
      </w:pPr>
      <w:r>
        <w:rPr>
          <w:sz w:val="22"/>
          <w:u w:val="single"/>
        </w:rPr>
        <w:t>Professional experience</w:t>
      </w:r>
      <w:r>
        <w:rPr>
          <w:sz w:val="22"/>
        </w:rPr>
        <w:t>: at least three years of professional experience in administrative, economic, scientific, technical, advisory or supervisory functions which are equivalent to those of function group AD;</w:t>
      </w:r>
    </w:p>
    <w:p>
      <w:pPr>
        <w:pStyle w:val="BodyText"/>
        <w:spacing w:before="11"/>
        <w:rPr>
          <w:sz w:val="21"/>
        </w:rPr>
      </w:pPr>
    </w:p>
    <w:p>
      <w:pPr>
        <w:pStyle w:val="ListParagraph"/>
        <w:numPr>
          <w:ilvl w:val="2"/>
          <w:numId w:val="3"/>
        </w:numPr>
        <w:tabs>
          <w:tab w:pos="1081" w:val="left" w:leader="none"/>
        </w:tabs>
        <w:spacing w:line="240" w:lineRule="auto" w:before="0" w:after="0"/>
        <w:ind w:left="1080" w:right="119"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2"/>
          <w:numId w:val="3"/>
        </w:numPr>
        <w:tabs>
          <w:tab w:pos="1081" w:val="left" w:leader="none"/>
        </w:tabs>
        <w:spacing w:line="240" w:lineRule="auto" w:before="0" w:after="0"/>
        <w:ind w:left="1080" w:right="114"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40"/>
          <w:sz w:val="22"/>
        </w:rPr>
        <w:t> </w:t>
      </w:r>
      <w:r>
        <w:rPr>
          <w:spacing w:val="-2"/>
          <w:sz w:val="22"/>
        </w:rPr>
        <w:t>duties.</w:t>
      </w:r>
    </w:p>
    <w:p>
      <w:pPr>
        <w:pStyle w:val="BodyText"/>
        <w:spacing w:before="6"/>
        <w:rPr>
          <w:sz w:val="24"/>
        </w:rPr>
      </w:pPr>
    </w:p>
    <w:p>
      <w:pPr>
        <w:pStyle w:val="Heading1"/>
        <w:numPr>
          <w:ilvl w:val="1"/>
          <w:numId w:val="3"/>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7"/>
        <w:rPr>
          <w:b/>
          <w:sz w:val="15"/>
        </w:rPr>
      </w:pPr>
    </w:p>
    <w:p>
      <w:pPr>
        <w:pStyle w:val="BodyText"/>
        <w:spacing w:line="252" w:lineRule="exact" w:before="91"/>
        <w:ind w:left="1080"/>
      </w:pPr>
      <w:r>
        <w:rPr>
          <w:spacing w:val="-2"/>
          <w:u w:val="single"/>
        </w:rPr>
        <w:t>Diploma</w:t>
      </w:r>
    </w:p>
    <w:p>
      <w:pPr>
        <w:pStyle w:val="ListParagraph"/>
        <w:numPr>
          <w:ilvl w:val="0"/>
          <w:numId w:val="4"/>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0"/>
          <w:numId w:val="4"/>
        </w:numPr>
        <w:tabs>
          <w:tab w:pos="1206" w:val="left" w:leader="none"/>
        </w:tabs>
        <w:spacing w:line="480" w:lineRule="auto" w:before="2" w:after="0"/>
        <w:ind w:left="1190" w:right="3333" w:hanging="111"/>
        <w:jc w:val="left"/>
        <w:rPr>
          <w:sz w:val="22"/>
        </w:rPr>
      </w:pPr>
      <w:r>
        <w:rPr>
          <w:sz w:val="22"/>
        </w:rPr>
        <w:t>professional</w:t>
      </w:r>
      <w:r>
        <w:rPr>
          <w:spacing w:val="-2"/>
          <w:sz w:val="22"/>
        </w:rPr>
        <w:t> </w:t>
      </w:r>
      <w:r>
        <w:rPr>
          <w:sz w:val="22"/>
        </w:rPr>
        <w:t>training</w:t>
      </w:r>
      <w:r>
        <w:rPr>
          <w:spacing w:val="-4"/>
          <w:sz w:val="22"/>
        </w:rPr>
        <w:t> </w:t>
      </w:r>
      <w:r>
        <w:rPr>
          <w:sz w:val="22"/>
        </w:rPr>
        <w:t>or</w:t>
      </w:r>
      <w:r>
        <w:rPr>
          <w:spacing w:val="-1"/>
          <w:sz w:val="22"/>
        </w:rPr>
        <w:t> </w:t>
      </w:r>
      <w:r>
        <w:rPr>
          <w:sz w:val="22"/>
        </w:rPr>
        <w:t>professional</w:t>
      </w:r>
      <w:r>
        <w:rPr>
          <w:spacing w:val="-3"/>
          <w:sz w:val="22"/>
        </w:rPr>
        <w:t> </w:t>
      </w:r>
      <w:r>
        <w:rPr>
          <w:sz w:val="22"/>
        </w:rPr>
        <w:t>experience</w:t>
      </w:r>
      <w:r>
        <w:rPr>
          <w:spacing w:val="-3"/>
          <w:sz w:val="22"/>
        </w:rPr>
        <w:t> </w:t>
      </w:r>
      <w:r>
        <w:rPr>
          <w:sz w:val="22"/>
        </w:rPr>
        <w:t>of</w:t>
      </w:r>
      <w:r>
        <w:rPr>
          <w:spacing w:val="-3"/>
          <w:sz w:val="22"/>
        </w:rPr>
        <w:t> </w:t>
      </w:r>
      <w:r>
        <w:rPr>
          <w:sz w:val="22"/>
        </w:rPr>
        <w:t>an</w:t>
      </w:r>
      <w:r>
        <w:rPr>
          <w:spacing w:val="-3"/>
          <w:sz w:val="22"/>
        </w:rPr>
        <w:t> </w:t>
      </w:r>
      <w:r>
        <w:rPr>
          <w:sz w:val="22"/>
        </w:rPr>
        <w:t>equivalent</w:t>
      </w:r>
      <w:r>
        <w:rPr>
          <w:spacing w:val="-3"/>
          <w:sz w:val="22"/>
        </w:rPr>
        <w:t> </w:t>
      </w:r>
      <w:r>
        <w:rPr>
          <w:sz w:val="22"/>
        </w:rPr>
        <w:t>level in the field(s) : economics.</w:t>
      </w:r>
    </w:p>
    <w:p>
      <w:pPr>
        <w:pStyle w:val="BodyText"/>
        <w:spacing w:line="251" w:lineRule="exact"/>
        <w:ind w:left="1080"/>
      </w:pPr>
      <w:r>
        <w:rPr>
          <w:u w:val="single"/>
        </w:rPr>
        <w:t>Professional</w:t>
      </w:r>
      <w:r>
        <w:rPr>
          <w:spacing w:val="-4"/>
          <w:u w:val="single"/>
        </w:rPr>
        <w:t> </w:t>
      </w:r>
      <w:r>
        <w:rPr>
          <w:spacing w:val="-2"/>
          <w:u w:val="single"/>
        </w:rPr>
        <w:t>experience</w:t>
      </w:r>
    </w:p>
    <w:p>
      <w:pPr>
        <w:pStyle w:val="BodyText"/>
        <w:rPr>
          <w:sz w:val="14"/>
        </w:rPr>
      </w:pPr>
    </w:p>
    <w:p>
      <w:pPr>
        <w:pStyle w:val="ListParagraph"/>
        <w:numPr>
          <w:ilvl w:val="0"/>
          <w:numId w:val="4"/>
        </w:numPr>
        <w:tabs>
          <w:tab w:pos="1365" w:val="left" w:leader="none"/>
          <w:tab w:pos="1367" w:val="left" w:leader="none"/>
        </w:tabs>
        <w:spacing w:line="240" w:lineRule="auto" w:before="92" w:after="0"/>
        <w:ind w:left="1366" w:right="170" w:hanging="296"/>
        <w:jc w:val="left"/>
        <w:rPr>
          <w:sz w:val="22"/>
        </w:rPr>
      </w:pPr>
      <w:r>
        <w:rPr>
          <w:sz w:val="22"/>
        </w:rPr>
        <w:t>A</w:t>
      </w:r>
      <w:r>
        <w:rPr>
          <w:spacing w:val="40"/>
          <w:sz w:val="22"/>
        </w:rPr>
        <w:t> </w:t>
      </w:r>
      <w:r>
        <w:rPr>
          <w:sz w:val="22"/>
        </w:rPr>
        <w:t>good</w:t>
      </w:r>
      <w:r>
        <w:rPr>
          <w:spacing w:val="40"/>
          <w:sz w:val="22"/>
        </w:rPr>
        <w:t> </w:t>
      </w:r>
      <w:r>
        <w:rPr>
          <w:sz w:val="22"/>
        </w:rPr>
        <w:t>background</w:t>
      </w:r>
      <w:r>
        <w:rPr>
          <w:spacing w:val="40"/>
          <w:sz w:val="22"/>
        </w:rPr>
        <w:t> </w:t>
      </w:r>
      <w:r>
        <w:rPr>
          <w:sz w:val="22"/>
        </w:rPr>
        <w:t>in</w:t>
      </w:r>
      <w:r>
        <w:rPr>
          <w:spacing w:val="40"/>
          <w:sz w:val="22"/>
        </w:rPr>
        <w:t> </w:t>
      </w:r>
      <w:r>
        <w:rPr>
          <w:sz w:val="22"/>
        </w:rPr>
        <w:t>economics</w:t>
      </w:r>
      <w:r>
        <w:rPr>
          <w:spacing w:val="40"/>
          <w:sz w:val="22"/>
        </w:rPr>
        <w:t> </w:t>
      </w:r>
      <w:r>
        <w:rPr>
          <w:sz w:val="22"/>
        </w:rPr>
        <w:t>and</w:t>
      </w:r>
      <w:r>
        <w:rPr>
          <w:spacing w:val="40"/>
          <w:sz w:val="22"/>
        </w:rPr>
        <w:t> </w:t>
      </w:r>
      <w:r>
        <w:rPr>
          <w:sz w:val="22"/>
        </w:rPr>
        <w:t>policy</w:t>
      </w:r>
      <w:r>
        <w:rPr>
          <w:spacing w:val="40"/>
          <w:sz w:val="22"/>
        </w:rPr>
        <w:t> </w:t>
      </w:r>
      <w:r>
        <w:rPr>
          <w:sz w:val="22"/>
        </w:rPr>
        <w:t>research,</w:t>
      </w:r>
      <w:r>
        <w:rPr>
          <w:spacing w:val="40"/>
          <w:sz w:val="22"/>
        </w:rPr>
        <w:t> </w:t>
      </w:r>
      <w:r>
        <w:rPr>
          <w:sz w:val="22"/>
        </w:rPr>
        <w:t>ideally</w:t>
      </w:r>
      <w:r>
        <w:rPr>
          <w:spacing w:val="40"/>
          <w:sz w:val="22"/>
        </w:rPr>
        <w:t> </w:t>
      </w:r>
      <w:r>
        <w:rPr>
          <w:sz w:val="22"/>
        </w:rPr>
        <w:t>with</w:t>
      </w:r>
      <w:r>
        <w:rPr>
          <w:spacing w:val="40"/>
          <w:sz w:val="22"/>
        </w:rPr>
        <w:t> </w:t>
      </w:r>
      <w:r>
        <w:rPr>
          <w:sz w:val="22"/>
        </w:rPr>
        <w:t>experience</w:t>
      </w:r>
      <w:r>
        <w:rPr>
          <w:spacing w:val="40"/>
          <w:sz w:val="22"/>
        </w:rPr>
        <w:t> </w:t>
      </w:r>
      <w:r>
        <w:rPr>
          <w:sz w:val="22"/>
        </w:rPr>
        <w:t>in</w:t>
      </w:r>
      <w:r>
        <w:rPr>
          <w:spacing w:val="40"/>
          <w:sz w:val="22"/>
        </w:rPr>
        <w:t> </w:t>
      </w:r>
      <w:r>
        <w:rPr>
          <w:sz w:val="22"/>
        </w:rPr>
        <w:t>academia</w:t>
      </w:r>
      <w:r>
        <w:rPr>
          <w:spacing w:val="40"/>
          <w:sz w:val="22"/>
        </w:rPr>
        <w:t> </w:t>
      </w:r>
      <w:r>
        <w:rPr>
          <w:sz w:val="22"/>
        </w:rPr>
        <w:t>or</w:t>
      </w:r>
      <w:r>
        <w:rPr>
          <w:spacing w:val="40"/>
          <w:sz w:val="22"/>
        </w:rPr>
        <w:t> </w:t>
      </w:r>
      <w:r>
        <w:rPr>
          <w:sz w:val="22"/>
        </w:rPr>
        <w:t>an international organisation;</w:t>
      </w:r>
    </w:p>
    <w:p>
      <w:pPr>
        <w:pStyle w:val="ListParagraph"/>
        <w:numPr>
          <w:ilvl w:val="0"/>
          <w:numId w:val="4"/>
        </w:numPr>
        <w:tabs>
          <w:tab w:pos="1365" w:val="left" w:leader="none"/>
          <w:tab w:pos="1367" w:val="left" w:leader="none"/>
        </w:tabs>
        <w:spacing w:line="252" w:lineRule="exact" w:before="0" w:after="0"/>
        <w:ind w:left="1366" w:right="0" w:hanging="297"/>
        <w:jc w:val="left"/>
        <w:rPr>
          <w:sz w:val="22"/>
        </w:rPr>
      </w:pPr>
      <w:r>
        <w:rPr>
          <w:sz w:val="22"/>
        </w:rPr>
        <w:t>Familiarity</w:t>
      </w:r>
      <w:r>
        <w:rPr>
          <w:spacing w:val="-10"/>
          <w:sz w:val="22"/>
        </w:rPr>
        <w:t> </w:t>
      </w:r>
      <w:r>
        <w:rPr>
          <w:sz w:val="22"/>
        </w:rPr>
        <w:t>with</w:t>
      </w:r>
      <w:r>
        <w:rPr>
          <w:spacing w:val="-4"/>
          <w:sz w:val="22"/>
        </w:rPr>
        <w:t> </w:t>
      </w:r>
      <w:r>
        <w:rPr>
          <w:sz w:val="22"/>
        </w:rPr>
        <w:t>quantitative</w:t>
      </w:r>
      <w:r>
        <w:rPr>
          <w:spacing w:val="-5"/>
          <w:sz w:val="22"/>
        </w:rPr>
        <w:t> </w:t>
      </w:r>
      <w:r>
        <w:rPr>
          <w:sz w:val="22"/>
        </w:rPr>
        <w:t>economic</w:t>
      </w:r>
      <w:r>
        <w:rPr>
          <w:spacing w:val="-4"/>
          <w:sz w:val="22"/>
        </w:rPr>
        <w:t> </w:t>
      </w:r>
      <w:r>
        <w:rPr>
          <w:sz w:val="22"/>
        </w:rPr>
        <w:t>analyses,</w:t>
      </w:r>
      <w:r>
        <w:rPr>
          <w:spacing w:val="-4"/>
          <w:sz w:val="22"/>
        </w:rPr>
        <w:t> </w:t>
      </w:r>
      <w:r>
        <w:rPr>
          <w:sz w:val="22"/>
        </w:rPr>
        <w:t>in</w:t>
      </w:r>
      <w:r>
        <w:rPr>
          <w:spacing w:val="-8"/>
          <w:sz w:val="22"/>
        </w:rPr>
        <w:t> </w:t>
      </w:r>
      <w:r>
        <w:rPr>
          <w:sz w:val="22"/>
        </w:rPr>
        <w:t>particular</w:t>
      </w:r>
      <w:r>
        <w:rPr>
          <w:spacing w:val="-4"/>
          <w:sz w:val="22"/>
        </w:rPr>
        <w:t> </w:t>
      </w:r>
      <w:r>
        <w:rPr>
          <w:sz w:val="22"/>
        </w:rPr>
        <w:t>in</w:t>
      </w:r>
      <w:r>
        <w:rPr>
          <w:spacing w:val="-5"/>
          <w:sz w:val="22"/>
        </w:rPr>
        <w:t> </w:t>
      </w:r>
      <w:r>
        <w:rPr>
          <w:sz w:val="22"/>
        </w:rPr>
        <w:t>an</w:t>
      </w:r>
      <w:r>
        <w:rPr>
          <w:spacing w:val="-6"/>
          <w:sz w:val="22"/>
        </w:rPr>
        <w:t> </w:t>
      </w:r>
      <w:r>
        <w:rPr>
          <w:sz w:val="22"/>
        </w:rPr>
        <w:t>international</w:t>
      </w:r>
      <w:r>
        <w:rPr>
          <w:spacing w:val="-6"/>
          <w:sz w:val="22"/>
        </w:rPr>
        <w:t> </w:t>
      </w:r>
      <w:r>
        <w:rPr>
          <w:sz w:val="22"/>
        </w:rPr>
        <w:t>trade</w:t>
      </w:r>
      <w:r>
        <w:rPr>
          <w:spacing w:val="-4"/>
          <w:sz w:val="22"/>
        </w:rPr>
        <w:t> </w:t>
      </w:r>
      <w:r>
        <w:rPr>
          <w:spacing w:val="-2"/>
          <w:sz w:val="22"/>
        </w:rPr>
        <w:t>context.</w:t>
      </w:r>
    </w:p>
    <w:p>
      <w:pPr>
        <w:pStyle w:val="ListParagraph"/>
        <w:numPr>
          <w:ilvl w:val="0"/>
          <w:numId w:val="4"/>
        </w:numPr>
        <w:tabs>
          <w:tab w:pos="1365" w:val="left" w:leader="none"/>
          <w:tab w:pos="1367" w:val="left" w:leader="none"/>
        </w:tabs>
        <w:spacing w:line="252" w:lineRule="exact" w:before="0" w:after="0"/>
        <w:ind w:left="1366" w:right="0" w:hanging="297"/>
        <w:jc w:val="left"/>
        <w:rPr>
          <w:sz w:val="22"/>
        </w:rPr>
      </w:pPr>
      <w:r>
        <w:rPr>
          <w:sz w:val="22"/>
        </w:rPr>
        <w:t>Excellent</w:t>
      </w:r>
      <w:r>
        <w:rPr>
          <w:spacing w:val="-4"/>
          <w:sz w:val="22"/>
        </w:rPr>
        <w:t> </w:t>
      </w:r>
      <w:r>
        <w:rPr>
          <w:sz w:val="22"/>
        </w:rPr>
        <w:t>oral</w:t>
      </w:r>
      <w:r>
        <w:rPr>
          <w:spacing w:val="-6"/>
          <w:sz w:val="22"/>
        </w:rPr>
        <w:t> </w:t>
      </w:r>
      <w:r>
        <w:rPr>
          <w:sz w:val="22"/>
        </w:rPr>
        <w:t>and</w:t>
      </w:r>
      <w:r>
        <w:rPr>
          <w:spacing w:val="-5"/>
          <w:sz w:val="22"/>
        </w:rPr>
        <w:t> </w:t>
      </w:r>
      <w:r>
        <w:rPr>
          <w:sz w:val="22"/>
        </w:rPr>
        <w:t>written</w:t>
      </w:r>
      <w:r>
        <w:rPr>
          <w:spacing w:val="-4"/>
          <w:sz w:val="22"/>
        </w:rPr>
        <w:t> </w:t>
      </w:r>
      <w:r>
        <w:rPr>
          <w:sz w:val="22"/>
        </w:rPr>
        <w:t>communication</w:t>
      </w:r>
      <w:r>
        <w:rPr>
          <w:spacing w:val="-7"/>
          <w:sz w:val="22"/>
        </w:rPr>
        <w:t> </w:t>
      </w:r>
      <w:r>
        <w:rPr>
          <w:spacing w:val="-2"/>
          <w:sz w:val="22"/>
        </w:rPr>
        <w:t>skills</w:t>
      </w:r>
    </w:p>
    <w:p>
      <w:pPr>
        <w:pStyle w:val="ListParagraph"/>
        <w:numPr>
          <w:ilvl w:val="0"/>
          <w:numId w:val="4"/>
        </w:numPr>
        <w:tabs>
          <w:tab w:pos="1365" w:val="left" w:leader="none"/>
          <w:tab w:pos="1367" w:val="left" w:leader="none"/>
        </w:tabs>
        <w:spacing w:line="240" w:lineRule="auto" w:before="2" w:after="0"/>
        <w:ind w:left="1366" w:right="171" w:hanging="296"/>
        <w:jc w:val="left"/>
        <w:rPr>
          <w:sz w:val="22"/>
        </w:rPr>
      </w:pPr>
      <w:r>
        <w:rPr>
          <w:sz w:val="22"/>
        </w:rPr>
        <w:t>Proven</w:t>
      </w:r>
      <w:r>
        <w:rPr>
          <w:spacing w:val="19"/>
          <w:sz w:val="22"/>
        </w:rPr>
        <w:t> </w:t>
      </w:r>
      <w:r>
        <w:rPr>
          <w:sz w:val="22"/>
        </w:rPr>
        <w:t>experience</w:t>
      </w:r>
      <w:r>
        <w:rPr>
          <w:spacing w:val="19"/>
          <w:sz w:val="22"/>
        </w:rPr>
        <w:t> </w:t>
      </w:r>
      <w:r>
        <w:rPr>
          <w:sz w:val="22"/>
        </w:rPr>
        <w:t>of</w:t>
      </w:r>
      <w:r>
        <w:rPr>
          <w:spacing w:val="18"/>
          <w:sz w:val="22"/>
        </w:rPr>
        <w:t> </w:t>
      </w:r>
      <w:r>
        <w:rPr>
          <w:sz w:val="22"/>
        </w:rPr>
        <w:t>EU</w:t>
      </w:r>
      <w:r>
        <w:rPr>
          <w:spacing w:val="18"/>
          <w:sz w:val="22"/>
        </w:rPr>
        <w:t> </w:t>
      </w:r>
      <w:r>
        <w:rPr>
          <w:sz w:val="22"/>
        </w:rPr>
        <w:t>trade</w:t>
      </w:r>
      <w:r>
        <w:rPr>
          <w:spacing w:val="17"/>
          <w:sz w:val="22"/>
        </w:rPr>
        <w:t> </w:t>
      </w:r>
      <w:r>
        <w:rPr>
          <w:sz w:val="22"/>
        </w:rPr>
        <w:t>policy,</w:t>
      </w:r>
      <w:r>
        <w:rPr>
          <w:spacing w:val="19"/>
          <w:sz w:val="22"/>
        </w:rPr>
        <w:t> </w:t>
      </w:r>
      <w:r>
        <w:rPr>
          <w:sz w:val="22"/>
        </w:rPr>
        <w:t>as</w:t>
      </w:r>
      <w:r>
        <w:rPr>
          <w:spacing w:val="18"/>
          <w:sz w:val="22"/>
        </w:rPr>
        <w:t> </w:t>
      </w:r>
      <w:r>
        <w:rPr>
          <w:sz w:val="22"/>
        </w:rPr>
        <w:t>well</w:t>
      </w:r>
      <w:r>
        <w:rPr>
          <w:spacing w:val="20"/>
          <w:sz w:val="22"/>
        </w:rPr>
        <w:t> </w:t>
      </w:r>
      <w:r>
        <w:rPr>
          <w:sz w:val="22"/>
        </w:rPr>
        <w:t>as</w:t>
      </w:r>
      <w:r>
        <w:rPr>
          <w:spacing w:val="20"/>
          <w:sz w:val="22"/>
        </w:rPr>
        <w:t> </w:t>
      </w:r>
      <w:r>
        <w:rPr>
          <w:sz w:val="22"/>
        </w:rPr>
        <w:t>a</w:t>
      </w:r>
      <w:r>
        <w:rPr>
          <w:spacing w:val="19"/>
          <w:sz w:val="22"/>
        </w:rPr>
        <w:t> </w:t>
      </w:r>
      <w:r>
        <w:rPr>
          <w:sz w:val="22"/>
        </w:rPr>
        <w:t>wider</w:t>
      </w:r>
      <w:r>
        <w:rPr>
          <w:spacing w:val="18"/>
          <w:sz w:val="22"/>
        </w:rPr>
        <w:t> </w:t>
      </w:r>
      <w:r>
        <w:rPr>
          <w:sz w:val="22"/>
        </w:rPr>
        <w:t>awareness</w:t>
      </w:r>
      <w:r>
        <w:rPr>
          <w:spacing w:val="20"/>
          <w:sz w:val="22"/>
        </w:rPr>
        <w:t> </w:t>
      </w:r>
      <w:r>
        <w:rPr>
          <w:sz w:val="22"/>
        </w:rPr>
        <w:t>of</w:t>
      </w:r>
      <w:r>
        <w:rPr>
          <w:spacing w:val="17"/>
          <w:sz w:val="22"/>
        </w:rPr>
        <w:t> </w:t>
      </w:r>
      <w:r>
        <w:rPr>
          <w:sz w:val="22"/>
        </w:rPr>
        <w:t>the</w:t>
      </w:r>
      <w:r>
        <w:rPr>
          <w:spacing w:val="19"/>
          <w:sz w:val="22"/>
        </w:rPr>
        <w:t> </w:t>
      </w:r>
      <w:r>
        <w:rPr>
          <w:sz w:val="22"/>
        </w:rPr>
        <w:t>EU economic</w:t>
      </w:r>
      <w:r>
        <w:rPr>
          <w:spacing w:val="19"/>
          <w:sz w:val="22"/>
        </w:rPr>
        <w:t> </w:t>
      </w:r>
      <w:r>
        <w:rPr>
          <w:sz w:val="22"/>
        </w:rPr>
        <w:t>policies,</w:t>
      </w:r>
      <w:r>
        <w:rPr>
          <w:spacing w:val="17"/>
          <w:sz w:val="22"/>
        </w:rPr>
        <w:t> </w:t>
      </w:r>
      <w:r>
        <w:rPr>
          <w:sz w:val="22"/>
        </w:rPr>
        <w:t>in particular those related to the Single Market, and/or international relations;</w:t>
      </w:r>
    </w:p>
    <w:p>
      <w:pPr>
        <w:pStyle w:val="ListParagraph"/>
        <w:numPr>
          <w:ilvl w:val="0"/>
          <w:numId w:val="4"/>
        </w:numPr>
        <w:tabs>
          <w:tab w:pos="1365" w:val="left" w:leader="none"/>
          <w:tab w:pos="1367" w:val="left" w:leader="none"/>
        </w:tabs>
        <w:spacing w:line="240" w:lineRule="auto" w:before="1" w:after="0"/>
        <w:ind w:left="1366" w:right="167" w:hanging="296"/>
        <w:jc w:val="left"/>
        <w:rPr>
          <w:sz w:val="22"/>
        </w:rPr>
      </w:pPr>
      <w:r>
        <w:rPr>
          <w:sz w:val="22"/>
        </w:rPr>
        <w:t>Good strategic insights, ability to steer and coordinate policy initiatives, experience in providing policy advice to senior policy makers;</w:t>
      </w:r>
    </w:p>
    <w:p>
      <w:pPr>
        <w:pStyle w:val="ListParagraph"/>
        <w:numPr>
          <w:ilvl w:val="0"/>
          <w:numId w:val="4"/>
        </w:numPr>
        <w:tabs>
          <w:tab w:pos="1365" w:val="left" w:leader="none"/>
          <w:tab w:pos="1367" w:val="left" w:leader="none"/>
        </w:tabs>
        <w:spacing w:line="240" w:lineRule="auto" w:before="0" w:after="0"/>
        <w:ind w:left="1366" w:right="173" w:hanging="296"/>
        <w:jc w:val="left"/>
        <w:rPr>
          <w:sz w:val="22"/>
        </w:rPr>
      </w:pPr>
      <w:r>
        <w:rPr>
          <w:sz w:val="22"/>
        </w:rPr>
        <w:t>Experience</w:t>
      </w:r>
      <w:r>
        <w:rPr>
          <w:spacing w:val="40"/>
          <w:sz w:val="22"/>
        </w:rPr>
        <w:t> </w:t>
      </w:r>
      <w:r>
        <w:rPr>
          <w:sz w:val="22"/>
        </w:rPr>
        <w:t>in</w:t>
      </w:r>
      <w:r>
        <w:rPr>
          <w:spacing w:val="40"/>
          <w:sz w:val="22"/>
        </w:rPr>
        <w:t> </w:t>
      </w:r>
      <w:r>
        <w:rPr>
          <w:sz w:val="22"/>
        </w:rPr>
        <w:t>preparing</w:t>
      </w:r>
      <w:r>
        <w:rPr>
          <w:spacing w:val="40"/>
          <w:sz w:val="22"/>
        </w:rPr>
        <w:t> </w:t>
      </w:r>
      <w:r>
        <w:rPr>
          <w:sz w:val="22"/>
        </w:rPr>
        <w:t>briefings,</w:t>
      </w:r>
      <w:r>
        <w:rPr>
          <w:spacing w:val="40"/>
          <w:sz w:val="22"/>
        </w:rPr>
        <w:t> </w:t>
      </w:r>
      <w:r>
        <w:rPr>
          <w:sz w:val="22"/>
        </w:rPr>
        <w:t>notes</w:t>
      </w:r>
      <w:r>
        <w:rPr>
          <w:spacing w:val="40"/>
          <w:sz w:val="22"/>
        </w:rPr>
        <w:t> </w:t>
      </w:r>
      <w:r>
        <w:rPr>
          <w:sz w:val="22"/>
        </w:rPr>
        <w:t>and</w:t>
      </w:r>
      <w:r>
        <w:rPr>
          <w:spacing w:val="40"/>
          <w:sz w:val="22"/>
        </w:rPr>
        <w:t> </w:t>
      </w:r>
      <w:r>
        <w:rPr>
          <w:sz w:val="22"/>
        </w:rPr>
        <w:t>speaking</w:t>
      </w:r>
      <w:r>
        <w:rPr>
          <w:spacing w:val="40"/>
          <w:sz w:val="22"/>
        </w:rPr>
        <w:t> </w:t>
      </w:r>
      <w:r>
        <w:rPr>
          <w:sz w:val="22"/>
        </w:rPr>
        <w:t>points,</w:t>
      </w:r>
      <w:r>
        <w:rPr>
          <w:spacing w:val="40"/>
          <w:sz w:val="22"/>
        </w:rPr>
        <w:t> </w:t>
      </w:r>
      <w:r>
        <w:rPr>
          <w:sz w:val="22"/>
        </w:rPr>
        <w:t>often</w:t>
      </w:r>
      <w:r>
        <w:rPr>
          <w:spacing w:val="40"/>
          <w:sz w:val="22"/>
        </w:rPr>
        <w:t> </w:t>
      </w:r>
      <w:r>
        <w:rPr>
          <w:sz w:val="22"/>
        </w:rPr>
        <w:t>at</w:t>
      </w:r>
      <w:r>
        <w:rPr>
          <w:spacing w:val="40"/>
          <w:sz w:val="22"/>
        </w:rPr>
        <w:t> </w:t>
      </w:r>
      <w:r>
        <w:rPr>
          <w:sz w:val="22"/>
        </w:rPr>
        <w:t>short</w:t>
      </w:r>
      <w:r>
        <w:rPr>
          <w:spacing w:val="40"/>
          <w:sz w:val="22"/>
        </w:rPr>
        <w:t> </w:t>
      </w:r>
      <w:r>
        <w:rPr>
          <w:sz w:val="22"/>
        </w:rPr>
        <w:t>notice</w:t>
      </w:r>
      <w:r>
        <w:rPr>
          <w:spacing w:val="40"/>
          <w:sz w:val="22"/>
        </w:rPr>
        <w:t> </w:t>
      </w:r>
      <w:r>
        <w:rPr>
          <w:sz w:val="22"/>
        </w:rPr>
        <w:t>and</w:t>
      </w:r>
      <w:r>
        <w:rPr>
          <w:spacing w:val="40"/>
          <w:sz w:val="22"/>
        </w:rPr>
        <w:t> </w:t>
      </w:r>
      <w:r>
        <w:rPr>
          <w:sz w:val="22"/>
        </w:rPr>
        <w:t>with</w:t>
      </w:r>
      <w:r>
        <w:rPr>
          <w:spacing w:val="40"/>
          <w:sz w:val="22"/>
        </w:rPr>
        <w:t> </w:t>
      </w:r>
      <w:r>
        <w:rPr>
          <w:sz w:val="22"/>
        </w:rPr>
        <w:t>tight deadlines, accurately and succinctly in correct English;</w:t>
      </w:r>
    </w:p>
    <w:p>
      <w:pPr>
        <w:pStyle w:val="ListParagraph"/>
        <w:numPr>
          <w:ilvl w:val="0"/>
          <w:numId w:val="4"/>
        </w:numPr>
        <w:tabs>
          <w:tab w:pos="1365" w:val="left" w:leader="none"/>
          <w:tab w:pos="1367" w:val="left" w:leader="none"/>
        </w:tabs>
        <w:spacing w:line="480" w:lineRule="auto" w:before="0" w:after="0"/>
        <w:ind w:left="1080" w:right="1991" w:hanging="10"/>
        <w:jc w:val="left"/>
        <w:rPr>
          <w:sz w:val="22"/>
        </w:rPr>
      </w:pPr>
      <w:r>
        <w:rPr>
          <w:sz w:val="22"/>
        </w:rPr>
        <w:t>A</w:t>
      </w:r>
      <w:r>
        <w:rPr>
          <w:spacing w:val="-4"/>
          <w:sz w:val="22"/>
        </w:rPr>
        <w:t> </w:t>
      </w:r>
      <w:r>
        <w:rPr>
          <w:sz w:val="22"/>
        </w:rPr>
        <w:t>good</w:t>
      </w:r>
      <w:r>
        <w:rPr>
          <w:spacing w:val="-3"/>
          <w:sz w:val="22"/>
        </w:rPr>
        <w:t> </w:t>
      </w:r>
      <w:r>
        <w:rPr>
          <w:sz w:val="22"/>
        </w:rPr>
        <w:t>sense</w:t>
      </w:r>
      <w:r>
        <w:rPr>
          <w:spacing w:val="-3"/>
          <w:sz w:val="22"/>
        </w:rPr>
        <w:t> </w:t>
      </w:r>
      <w:r>
        <w:rPr>
          <w:sz w:val="22"/>
        </w:rPr>
        <w:t>of</w:t>
      </w:r>
      <w:r>
        <w:rPr>
          <w:spacing w:val="-3"/>
          <w:sz w:val="22"/>
        </w:rPr>
        <w:t> </w:t>
      </w:r>
      <w:r>
        <w:rPr>
          <w:sz w:val="22"/>
        </w:rPr>
        <w:t>initiative,</w:t>
      </w:r>
      <w:r>
        <w:rPr>
          <w:spacing w:val="-5"/>
          <w:sz w:val="22"/>
        </w:rPr>
        <w:t> </w:t>
      </w:r>
      <w:r>
        <w:rPr>
          <w:sz w:val="22"/>
        </w:rPr>
        <w:t>judgement,</w:t>
      </w:r>
      <w:r>
        <w:rPr>
          <w:spacing w:val="-3"/>
          <w:sz w:val="22"/>
        </w:rPr>
        <w:t> </w:t>
      </w:r>
      <w:r>
        <w:rPr>
          <w:sz w:val="22"/>
        </w:rPr>
        <w:t>responsibility</w:t>
      </w:r>
      <w:r>
        <w:rPr>
          <w:spacing w:val="-6"/>
          <w:sz w:val="22"/>
        </w:rPr>
        <w:t> </w:t>
      </w:r>
      <w:r>
        <w:rPr>
          <w:sz w:val="22"/>
        </w:rPr>
        <w:t>and</w:t>
      </w:r>
      <w:r>
        <w:rPr>
          <w:spacing w:val="-3"/>
          <w:sz w:val="22"/>
        </w:rPr>
        <w:t> </w:t>
      </w:r>
      <w:r>
        <w:rPr>
          <w:sz w:val="22"/>
        </w:rPr>
        <w:t>good</w:t>
      </w:r>
      <w:r>
        <w:rPr>
          <w:spacing w:val="-3"/>
          <w:sz w:val="22"/>
        </w:rPr>
        <w:t> </w:t>
      </w:r>
      <w:r>
        <w:rPr>
          <w:sz w:val="22"/>
        </w:rPr>
        <w:t>inter-personal</w:t>
      </w:r>
      <w:r>
        <w:rPr>
          <w:spacing w:val="-2"/>
          <w:sz w:val="22"/>
        </w:rPr>
        <w:t> </w:t>
      </w:r>
      <w:r>
        <w:rPr>
          <w:sz w:val="22"/>
        </w:rPr>
        <w:t>skills. </w:t>
      </w:r>
      <w:r>
        <w:rPr>
          <w:sz w:val="22"/>
          <w:u w:val="single"/>
        </w:rPr>
        <w:t>Language(s) necessary for the performance of duties</w:t>
      </w:r>
    </w:p>
    <w:p>
      <w:pPr>
        <w:pStyle w:val="BodyText"/>
        <w:ind w:left="1080"/>
      </w:pPr>
      <w:r>
        <w:rPr/>
        <w:t>Excellent</w:t>
      </w:r>
      <w:r>
        <w:rPr>
          <w:spacing w:val="30"/>
        </w:rPr>
        <w:t> </w:t>
      </w:r>
      <w:r>
        <w:rPr/>
        <w:t>spoken</w:t>
      </w:r>
      <w:r>
        <w:rPr>
          <w:spacing w:val="29"/>
        </w:rPr>
        <w:t> </w:t>
      </w:r>
      <w:r>
        <w:rPr/>
        <w:t>and</w:t>
      </w:r>
      <w:r>
        <w:rPr>
          <w:spacing w:val="29"/>
        </w:rPr>
        <w:t> </w:t>
      </w:r>
      <w:r>
        <w:rPr/>
        <w:t>written</w:t>
      </w:r>
      <w:r>
        <w:rPr>
          <w:spacing w:val="29"/>
        </w:rPr>
        <w:t> </w:t>
      </w:r>
      <w:r>
        <w:rPr/>
        <w:t>English</w:t>
      </w:r>
      <w:r>
        <w:rPr>
          <w:spacing w:val="29"/>
        </w:rPr>
        <w:t> </w:t>
      </w:r>
      <w:r>
        <w:rPr/>
        <w:t>is</w:t>
      </w:r>
      <w:r>
        <w:rPr>
          <w:spacing w:val="29"/>
        </w:rPr>
        <w:t> </w:t>
      </w:r>
      <w:r>
        <w:rPr/>
        <w:t>required.</w:t>
      </w:r>
      <w:r>
        <w:rPr>
          <w:spacing w:val="29"/>
        </w:rPr>
        <w:t> </w:t>
      </w:r>
      <w:r>
        <w:rPr/>
        <w:t>Capacity</w:t>
      </w:r>
      <w:r>
        <w:rPr>
          <w:spacing w:val="26"/>
        </w:rPr>
        <w:t> </w:t>
      </w:r>
      <w:r>
        <w:rPr/>
        <w:t>to</w:t>
      </w:r>
      <w:r>
        <w:rPr>
          <w:spacing w:val="29"/>
        </w:rPr>
        <w:t> </w:t>
      </w:r>
      <w:r>
        <w:rPr/>
        <w:t>communicate</w:t>
      </w:r>
      <w:r>
        <w:rPr>
          <w:spacing w:val="29"/>
        </w:rPr>
        <w:t> </w:t>
      </w:r>
      <w:r>
        <w:rPr/>
        <w:t>effectively</w:t>
      </w:r>
      <w:r>
        <w:rPr>
          <w:spacing w:val="26"/>
        </w:rPr>
        <w:t> </w:t>
      </w:r>
      <w:r>
        <w:rPr/>
        <w:t>in</w:t>
      </w:r>
      <w:r>
        <w:rPr>
          <w:spacing w:val="29"/>
        </w:rPr>
        <w:t> </w:t>
      </w:r>
      <w:r>
        <w:rPr/>
        <w:t>French</w:t>
      </w:r>
      <w:r>
        <w:rPr>
          <w:spacing w:val="27"/>
        </w:rPr>
        <w:t> </w:t>
      </w:r>
      <w:r>
        <w:rPr/>
        <w:t>is</w:t>
      </w:r>
      <w:r>
        <w:rPr>
          <w:spacing w:val="29"/>
        </w:rPr>
        <w:t> </w:t>
      </w:r>
      <w:r>
        <w:rPr/>
        <w:t>an </w:t>
      </w:r>
      <w:r>
        <w:rPr>
          <w:spacing w:val="-2"/>
        </w:rPr>
        <w:t>asset.</w:t>
      </w:r>
    </w:p>
    <w:p>
      <w:pPr>
        <w:pStyle w:val="BodyText"/>
        <w:spacing w:before="4"/>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9">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9" w:right="269"/>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ind w:left="799"/>
        <w:jc w:val="both"/>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spacing w:after="0"/>
        <w:jc w:val="both"/>
        <w:sectPr>
          <w:pgSz w:w="11910" w:h="16840"/>
          <w:pgMar w:header="0" w:footer="690" w:top="1040" w:bottom="880" w:left="480" w:right="740"/>
        </w:sectPr>
      </w:pPr>
    </w:p>
    <w:p>
      <w:pPr>
        <w:pStyle w:val="ListParagraph"/>
        <w:numPr>
          <w:ilvl w:val="0"/>
          <w:numId w:val="3"/>
        </w:numPr>
        <w:tabs>
          <w:tab w:pos="799" w:val="left" w:leader="none"/>
          <w:tab w:pos="800" w:val="left" w:leader="none"/>
        </w:tabs>
        <w:spacing w:line="240" w:lineRule="auto" w:before="73"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spacing w:before="2"/>
        <w:ind w:left="799" w:right="286"/>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9" w:right="290"/>
        <w:jc w:val="both"/>
      </w:pPr>
      <w:r>
        <w:rPr/>
        <w:t>During the secondment, SNE are subject to confidentiality, loyalty and absence of conflict of interest obligations, as provided for in Art. 6 and 7 of the SNE Decision.</w:t>
      </w:r>
    </w:p>
    <w:p>
      <w:pPr>
        <w:pStyle w:val="BodyText"/>
        <w:spacing w:before="1"/>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1"/>
        </w:rPr>
        <w:t> </w:t>
      </w:r>
      <w:r>
        <w:rPr/>
        <w:t>or</w:t>
      </w:r>
      <w:r>
        <w:rPr>
          <w:spacing w:val="-5"/>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9"/>
        <w:rPr>
          <w:sz w:val="21"/>
        </w:rPr>
      </w:pPr>
    </w:p>
    <w:p>
      <w:pPr>
        <w:pStyle w:val="BodyText"/>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spacing w:before="3"/>
        <w:ind w:left="799" w:right="109"/>
        <w:jc w:val="both"/>
      </w:pPr>
      <w:r>
        <w:rPr/>
        <w:t>The selected candidate has the obligation to launch the vetting procedure before getting the secondment </w:t>
      </w:r>
      <w:r>
        <w:rPr>
          <w:spacing w:val="-2"/>
        </w:rPr>
        <w:t>confirmation.</w:t>
      </w:r>
    </w:p>
    <w:p>
      <w:pPr>
        <w:pStyle w:val="BodyText"/>
        <w:spacing w:before="3"/>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1"/>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9" w:right="288"/>
        <w:jc w:val="both"/>
      </w:pPr>
      <w:r>
        <w:rPr/>
        <w:t>Data is kept by the competent services for 10 years after the secondment (2 years for not selected or not seconded experts).</w:t>
      </w:r>
    </w:p>
    <w:p>
      <w:pPr>
        <w:pStyle w:val="BodyText"/>
        <w:spacing w:before="1"/>
        <w:ind w:left="799" w:right="284"/>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78"/>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4"/>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5"/>
        </w:numPr>
        <w:tabs>
          <w:tab w:pos="1081" w:val="left" w:leader="none"/>
        </w:tabs>
        <w:spacing w:line="266" w:lineRule="exact" w:before="1"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8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10">
        <w:r>
          <w:rPr>
            <w:color w:val="0000FF"/>
            <w:u w:val="single" w:color="0000FF"/>
          </w:rPr>
          <w:t>HR-MAIL-</w:t>
        </w:r>
      </w:hyperlink>
      <w:r>
        <w:rPr>
          <w:color w:val="0000FF"/>
          <w:spacing w:val="40"/>
        </w:rPr>
        <w:t> </w:t>
      </w:r>
      <w:hyperlink r:id="rId10">
        <w:r>
          <w:rPr>
            <w:color w:val="0000FF"/>
            <w:spacing w:val="-2"/>
            <w:u w:val="single" w:color="0000FF"/>
          </w:rPr>
          <w:t>B4@ec.europa.eu</w:t>
        </w:r>
        <w:r>
          <w:rPr>
            <w:spacing w:val="-2"/>
          </w:rPr>
          <w:t>.</w:t>
        </w:r>
      </w:hyperlink>
    </w:p>
    <w:p>
      <w:pPr>
        <w:pStyle w:val="BodyText"/>
        <w:spacing w:before="3"/>
      </w:pPr>
    </w:p>
    <w:p>
      <w:pPr>
        <w:pStyle w:val="Heading1"/>
        <w:numPr>
          <w:ilvl w:val="0"/>
          <w:numId w:val="5"/>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ind w:left="1080" w:right="280"/>
        <w:jc w:val="both"/>
      </w:pPr>
      <w:r>
        <w:rPr/>
        <w:t>You may contact the Data Protection Officer (</w:t>
      </w:r>
      <w:hyperlink r:id="rId11">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2"/>
      </w:pPr>
    </w:p>
    <w:p>
      <w:pPr>
        <w:pStyle w:val="Heading1"/>
        <w:numPr>
          <w:ilvl w:val="0"/>
          <w:numId w:val="5"/>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4"/>
        <w:jc w:val="both"/>
      </w:pPr>
      <w:r>
        <w:rPr/>
        <w:pict>
          <v:rect style="position:absolute;margin-left:230.330002pt;margin-top:24.189486pt;width:3.72pt;height:.48004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2">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8"/>
        </w:rPr>
        <w:t> </w:t>
      </w:r>
      <w:r>
        <w:rPr/>
        <w:t>the</w:t>
      </w:r>
      <w:r>
        <w:rPr>
          <w:spacing w:val="-5"/>
        </w:rPr>
        <w:t> </w:t>
      </w:r>
      <w:r>
        <w:rPr/>
        <w:t>attention</w:t>
      </w:r>
      <w:r>
        <w:rPr>
          <w:spacing w:val="-3"/>
        </w:rPr>
        <w:t> </w:t>
      </w:r>
      <w:r>
        <w:rPr/>
        <w:t>of</w:t>
      </w:r>
      <w:r>
        <w:rPr>
          <w:spacing w:val="-5"/>
        </w:rPr>
        <w:t> </w:t>
      </w:r>
      <w:r>
        <w:rPr/>
        <w:t>candidates</w:t>
      </w:r>
      <w:r>
        <w:rPr>
          <w:spacing w:val="-2"/>
        </w:rPr>
        <w:t> </w:t>
      </w:r>
      <w:r>
        <w:rPr/>
        <w:t>from</w:t>
      </w:r>
      <w:r>
        <w:rPr>
          <w:spacing w:val="-7"/>
        </w:rPr>
        <w:t> </w:t>
      </w:r>
      <w:r>
        <w:rPr/>
        <w:t>third</w:t>
      </w:r>
      <w:r>
        <w:rPr>
          <w:spacing w:val="-6"/>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3"/>
        </w:rPr>
        <w:t> </w:t>
      </w:r>
      <w:r>
        <w:rPr/>
        <w:t>used</w:t>
      </w:r>
      <w:r>
        <w:rPr>
          <w:spacing w:val="-5"/>
        </w:rPr>
        <w:t> </w:t>
      </w:r>
      <w:r>
        <w:rPr/>
        <w:t>for</w:t>
      </w:r>
      <w:r>
        <w:rPr>
          <w:spacing w:val="-3"/>
        </w:rPr>
        <w:t> </w:t>
      </w:r>
      <w:r>
        <w:rPr/>
        <w:t>necessary</w:t>
      </w:r>
      <w:r>
        <w:rPr>
          <w:spacing w:val="-5"/>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35648" type="#_x0000_t202" id="docshape1" filled="false" stroked="false">
          <v:textbox inset="0,0,0,0">
            <w:txbxContent>
              <w:p>
                <w:pPr>
                  <w:spacing w:before="14"/>
                  <w:ind w:left="20" w:right="0" w:firstLine="0"/>
                  <w:jc w:val="left"/>
                  <w:rPr>
                    <w:sz w:val="16"/>
                  </w:rPr>
                </w:pPr>
                <w:r>
                  <w:rPr>
                    <w:sz w:val="16"/>
                  </w:rPr>
                  <w:t>Version</w:t>
                </w:r>
                <w:r>
                  <w:rPr>
                    <w:spacing w:val="-8"/>
                    <w:sz w:val="16"/>
                  </w:rPr>
                  <w:t> </w:t>
                </w:r>
                <w:r>
                  <w:rPr>
                    <w:sz w:val="16"/>
                  </w:rPr>
                  <w:t>10-</w:t>
                </w:r>
                <w:r>
                  <w:rPr>
                    <w:spacing w:val="-4"/>
                    <w:sz w:val="16"/>
                  </w:rPr>
                  <w:t>2022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0"/>
      <w:numFmt w:val="bullet"/>
      <w:lvlText w:val="-"/>
      <w:lvlJc w:val="left"/>
      <w:pPr>
        <w:ind w:left="1190" w:hanging="125"/>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148" w:hanging="125"/>
      </w:pPr>
      <w:rPr>
        <w:rFonts w:hint="default"/>
        <w:lang w:val="en-US" w:eastAsia="en-US" w:bidi="ar-SA"/>
      </w:rPr>
    </w:lvl>
    <w:lvl w:ilvl="2">
      <w:start w:val="0"/>
      <w:numFmt w:val="bullet"/>
      <w:lvlText w:val="•"/>
      <w:lvlJc w:val="left"/>
      <w:pPr>
        <w:ind w:left="3097" w:hanging="125"/>
      </w:pPr>
      <w:rPr>
        <w:rFonts w:hint="default"/>
        <w:lang w:val="en-US" w:eastAsia="en-US" w:bidi="ar-SA"/>
      </w:rPr>
    </w:lvl>
    <w:lvl w:ilvl="3">
      <w:start w:val="0"/>
      <w:numFmt w:val="bullet"/>
      <w:lvlText w:val="•"/>
      <w:lvlJc w:val="left"/>
      <w:pPr>
        <w:ind w:left="4045" w:hanging="125"/>
      </w:pPr>
      <w:rPr>
        <w:rFonts w:hint="default"/>
        <w:lang w:val="en-US" w:eastAsia="en-US" w:bidi="ar-SA"/>
      </w:rPr>
    </w:lvl>
    <w:lvl w:ilvl="4">
      <w:start w:val="0"/>
      <w:numFmt w:val="bullet"/>
      <w:lvlText w:val="•"/>
      <w:lvlJc w:val="left"/>
      <w:pPr>
        <w:ind w:left="4994" w:hanging="125"/>
      </w:pPr>
      <w:rPr>
        <w:rFonts w:hint="default"/>
        <w:lang w:val="en-US" w:eastAsia="en-US" w:bidi="ar-SA"/>
      </w:rPr>
    </w:lvl>
    <w:lvl w:ilvl="5">
      <w:start w:val="0"/>
      <w:numFmt w:val="bullet"/>
      <w:lvlText w:val="•"/>
      <w:lvlJc w:val="left"/>
      <w:pPr>
        <w:ind w:left="5943" w:hanging="125"/>
      </w:pPr>
      <w:rPr>
        <w:rFonts w:hint="default"/>
        <w:lang w:val="en-US" w:eastAsia="en-US" w:bidi="ar-SA"/>
      </w:rPr>
    </w:lvl>
    <w:lvl w:ilvl="6">
      <w:start w:val="0"/>
      <w:numFmt w:val="bullet"/>
      <w:lvlText w:val="•"/>
      <w:lvlJc w:val="left"/>
      <w:pPr>
        <w:ind w:left="6891" w:hanging="125"/>
      </w:pPr>
      <w:rPr>
        <w:rFonts w:hint="default"/>
        <w:lang w:val="en-US" w:eastAsia="en-US" w:bidi="ar-SA"/>
      </w:rPr>
    </w:lvl>
    <w:lvl w:ilvl="7">
      <w:start w:val="0"/>
      <w:numFmt w:val="bullet"/>
      <w:lvlText w:val="•"/>
      <w:lvlJc w:val="left"/>
      <w:pPr>
        <w:ind w:left="7840" w:hanging="125"/>
      </w:pPr>
      <w:rPr>
        <w:rFonts w:hint="default"/>
        <w:lang w:val="en-US" w:eastAsia="en-US" w:bidi="ar-SA"/>
      </w:rPr>
    </w:lvl>
    <w:lvl w:ilvl="8">
      <w:start w:val="0"/>
      <w:numFmt w:val="bullet"/>
      <w:lvlText w:val="•"/>
      <w:lvlJc w:val="left"/>
      <w:pPr>
        <w:ind w:left="8789"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0">
    <w:multiLevelType w:val="hybridMultilevel"/>
    <w:lvl w:ilvl="0">
      <w:start w:val="0"/>
      <w:numFmt w:val="bullet"/>
      <w:lvlText w:val=""/>
      <w:lvlJc w:val="left"/>
      <w:pPr>
        <w:ind w:left="919" w:hanging="473"/>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136" w:hanging="473"/>
      </w:pPr>
      <w:rPr>
        <w:rFonts w:hint="default"/>
        <w:lang w:val="en-US" w:eastAsia="en-US" w:bidi="ar-SA"/>
      </w:rPr>
    </w:lvl>
    <w:lvl w:ilvl="2">
      <w:start w:val="0"/>
      <w:numFmt w:val="bullet"/>
      <w:lvlText w:val="•"/>
      <w:lvlJc w:val="left"/>
      <w:pPr>
        <w:ind w:left="1352" w:hanging="473"/>
      </w:pPr>
      <w:rPr>
        <w:rFonts w:hint="default"/>
        <w:lang w:val="en-US" w:eastAsia="en-US" w:bidi="ar-SA"/>
      </w:rPr>
    </w:lvl>
    <w:lvl w:ilvl="3">
      <w:start w:val="0"/>
      <w:numFmt w:val="bullet"/>
      <w:lvlText w:val="•"/>
      <w:lvlJc w:val="left"/>
      <w:pPr>
        <w:ind w:left="1568" w:hanging="473"/>
      </w:pPr>
      <w:rPr>
        <w:rFonts w:hint="default"/>
        <w:lang w:val="en-US" w:eastAsia="en-US" w:bidi="ar-SA"/>
      </w:rPr>
    </w:lvl>
    <w:lvl w:ilvl="4">
      <w:start w:val="0"/>
      <w:numFmt w:val="bullet"/>
      <w:lvlText w:val="•"/>
      <w:lvlJc w:val="left"/>
      <w:pPr>
        <w:ind w:left="1784" w:hanging="473"/>
      </w:pPr>
      <w:rPr>
        <w:rFonts w:hint="default"/>
        <w:lang w:val="en-US" w:eastAsia="en-US" w:bidi="ar-SA"/>
      </w:rPr>
    </w:lvl>
    <w:lvl w:ilvl="5">
      <w:start w:val="0"/>
      <w:numFmt w:val="bullet"/>
      <w:lvlText w:val="•"/>
      <w:lvlJc w:val="left"/>
      <w:pPr>
        <w:ind w:left="2001" w:hanging="473"/>
      </w:pPr>
      <w:rPr>
        <w:rFonts w:hint="default"/>
        <w:lang w:val="en-US" w:eastAsia="en-US" w:bidi="ar-SA"/>
      </w:rPr>
    </w:lvl>
    <w:lvl w:ilvl="6">
      <w:start w:val="0"/>
      <w:numFmt w:val="bullet"/>
      <w:lvlText w:val="•"/>
      <w:lvlJc w:val="left"/>
      <w:pPr>
        <w:ind w:left="2217" w:hanging="473"/>
      </w:pPr>
      <w:rPr>
        <w:rFonts w:hint="default"/>
        <w:lang w:val="en-US" w:eastAsia="en-US" w:bidi="ar-SA"/>
      </w:rPr>
    </w:lvl>
    <w:lvl w:ilvl="7">
      <w:start w:val="0"/>
      <w:numFmt w:val="bullet"/>
      <w:lvlText w:val="•"/>
      <w:lvlJc w:val="left"/>
      <w:pPr>
        <w:ind w:left="2433" w:hanging="473"/>
      </w:pPr>
      <w:rPr>
        <w:rFonts w:hint="default"/>
        <w:lang w:val="en-US" w:eastAsia="en-US" w:bidi="ar-SA"/>
      </w:rPr>
    </w:lvl>
    <w:lvl w:ilvl="8">
      <w:start w:val="0"/>
      <w:numFmt w:val="bullet"/>
      <w:lvlText w:val="•"/>
      <w:lvlJc w:val="left"/>
      <w:pPr>
        <w:ind w:left="2649" w:hanging="473"/>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2">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3">
      <w:start w:val="0"/>
      <w:numFmt w:val="bullet"/>
      <w:lvlText w:val="•"/>
      <w:lvlJc w:val="left"/>
      <w:pPr>
        <w:ind w:left="2280" w:hanging="281"/>
      </w:pPr>
      <w:rPr>
        <w:rFonts w:hint="default"/>
        <w:lang w:val="en-US" w:eastAsia="en-US" w:bidi="ar-SA"/>
      </w:rPr>
    </w:lvl>
    <w:lvl w:ilvl="4">
      <w:start w:val="0"/>
      <w:numFmt w:val="bullet"/>
      <w:lvlText w:val="•"/>
      <w:lvlJc w:val="left"/>
      <w:pPr>
        <w:ind w:left="3481" w:hanging="281"/>
      </w:pPr>
      <w:rPr>
        <w:rFonts w:hint="default"/>
        <w:lang w:val="en-US" w:eastAsia="en-US" w:bidi="ar-SA"/>
      </w:rPr>
    </w:lvl>
    <w:lvl w:ilvl="5">
      <w:start w:val="0"/>
      <w:numFmt w:val="bullet"/>
      <w:lvlText w:val="•"/>
      <w:lvlJc w:val="left"/>
      <w:pPr>
        <w:ind w:left="4682" w:hanging="281"/>
      </w:pPr>
      <w:rPr>
        <w:rFonts w:hint="default"/>
        <w:lang w:val="en-US" w:eastAsia="en-US" w:bidi="ar-SA"/>
      </w:rPr>
    </w:lvl>
    <w:lvl w:ilvl="6">
      <w:start w:val="0"/>
      <w:numFmt w:val="bullet"/>
      <w:lvlText w:val="•"/>
      <w:lvlJc w:val="left"/>
      <w:pPr>
        <w:ind w:left="5883" w:hanging="281"/>
      </w:pPr>
      <w:rPr>
        <w:rFonts w:hint="default"/>
        <w:lang w:val="en-US" w:eastAsia="en-US" w:bidi="ar-SA"/>
      </w:rPr>
    </w:lvl>
    <w:lvl w:ilvl="7">
      <w:start w:val="0"/>
      <w:numFmt w:val="bullet"/>
      <w:lvlText w:val="•"/>
      <w:lvlJc w:val="left"/>
      <w:pPr>
        <w:ind w:left="7084" w:hanging="281"/>
      </w:pPr>
      <w:rPr>
        <w:rFonts w:hint="default"/>
        <w:lang w:val="en-US" w:eastAsia="en-US" w:bidi="ar-SA"/>
      </w:rPr>
    </w:lvl>
    <w:lvl w:ilvl="8">
      <w:start w:val="0"/>
      <w:numFmt w:val="bullet"/>
      <w:lvlText w:val="•"/>
      <w:lvlJc w:val="left"/>
      <w:pPr>
        <w:ind w:left="8284" w:hanging="281"/>
      </w:pPr>
      <w:rPr>
        <w:rFonts w:hint="default"/>
        <w:lang w:val="en-US" w:eastAsia="en-US" w:bidi="ar-SA"/>
      </w:rPr>
    </w:lvl>
  </w:abstract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edouard.bourcieu@ec.europa.eu" TargetMode="External"/><Relationship Id="rId8" Type="http://schemas.openxmlformats.org/officeDocument/2006/relationships/hyperlink" Target="https://ec.europa.eu/trade/policy/policy-making/analysis/" TargetMode="External"/><Relationship Id="rId9" Type="http://schemas.openxmlformats.org/officeDocument/2006/relationships/hyperlink" Target="http://europass.cedefop.europa.eu/en/documents/curriculum-vitae" TargetMode="External"/><Relationship Id="rId10" Type="http://schemas.openxmlformats.org/officeDocument/2006/relationships/hyperlink" Target="mailto:HR-MAIL-B4@ec.europa.eu" TargetMode="External"/><Relationship Id="rId11" Type="http://schemas.openxmlformats.org/officeDocument/2006/relationships/hyperlink" Target="mailto:DATA-PROTECTION-OFFICER@ec.europa.eu" TargetMode="External"/><Relationship Id="rId12" Type="http://schemas.openxmlformats.org/officeDocument/2006/relationships/hyperlink" Target="mailto:edps@edps.europa.e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2023-03-15T15:32:47Z</dcterms:created>
  <dcterms:modified xsi:type="dcterms:W3CDTF">2023-03-15T15:32:47Z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LastSaved">
    <vt:filetime>2023-03-15T00:00:00Z</vt:filetime>
  </property>
</Properties>
</file>