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5597"/>
      </w:tblGrid>
      <w:tr>
        <w:trPr>
          <w:trHeight w:val="610" w:hRule="atLeast"/>
        </w:trPr>
        <w:tc>
          <w:tcPr>
            <w:tcW w:w="4360" w:type="dxa"/>
          </w:tcPr>
          <w:p>
            <w:pPr>
              <w:pStyle w:val="TableParagraph"/>
              <w:spacing w:line="275" w:lineRule="exact"/>
              <w:rPr>
                <w:b/>
                <w:sz w:val="24"/>
              </w:rPr>
            </w:pPr>
            <w:r>
              <w:rPr>
                <w:b/>
                <w:sz w:val="24"/>
              </w:rPr>
              <w:t>Post</w:t>
            </w:r>
            <w:r>
              <w:rPr>
                <w:b/>
                <w:spacing w:val="-3"/>
                <w:sz w:val="24"/>
              </w:rPr>
              <w:t> </w:t>
            </w:r>
            <w:r>
              <w:rPr>
                <w:b/>
                <w:spacing w:val="-2"/>
                <w:sz w:val="24"/>
              </w:rPr>
              <w:t>identification:</w:t>
            </w:r>
          </w:p>
          <w:p>
            <w:pPr>
              <w:pStyle w:val="TableParagraph"/>
              <w:spacing w:line="275" w:lineRule="exact"/>
              <w:rPr>
                <w:sz w:val="24"/>
              </w:rPr>
            </w:pPr>
            <w:r>
              <w:rPr>
                <w:spacing w:val="-2"/>
                <w:sz w:val="24"/>
              </w:rPr>
              <w:t>(DG-DIR-</w:t>
            </w:r>
            <w:r>
              <w:rPr>
                <w:spacing w:val="-4"/>
                <w:sz w:val="24"/>
              </w:rPr>
              <w:t>UNIT)</w:t>
            </w:r>
          </w:p>
        </w:tc>
        <w:tc>
          <w:tcPr>
            <w:tcW w:w="5597" w:type="dxa"/>
          </w:tcPr>
          <w:p>
            <w:pPr>
              <w:pStyle w:val="TableParagraph"/>
              <w:spacing w:before="27"/>
              <w:rPr>
                <w:sz w:val="24"/>
              </w:rPr>
            </w:pPr>
            <w:r>
              <w:rPr>
                <w:sz w:val="24"/>
              </w:rPr>
              <w:t>Service</w:t>
            </w:r>
            <w:r>
              <w:rPr>
                <w:spacing w:val="-6"/>
                <w:sz w:val="24"/>
              </w:rPr>
              <w:t> </w:t>
            </w:r>
            <w:r>
              <w:rPr>
                <w:sz w:val="24"/>
              </w:rPr>
              <w:t>for</w:t>
            </w:r>
            <w:r>
              <w:rPr>
                <w:spacing w:val="-7"/>
                <w:sz w:val="24"/>
              </w:rPr>
              <w:t> </w:t>
            </w:r>
            <w:r>
              <w:rPr>
                <w:sz w:val="24"/>
              </w:rPr>
              <w:t>Foreign</w:t>
            </w:r>
            <w:r>
              <w:rPr>
                <w:spacing w:val="-6"/>
                <w:sz w:val="24"/>
              </w:rPr>
              <w:t> </w:t>
            </w:r>
            <w:r>
              <w:rPr>
                <w:sz w:val="24"/>
              </w:rPr>
              <w:t>Policy</w:t>
            </w:r>
            <w:r>
              <w:rPr>
                <w:spacing w:val="-6"/>
                <w:sz w:val="24"/>
              </w:rPr>
              <w:t> </w:t>
            </w:r>
            <w:r>
              <w:rPr>
                <w:sz w:val="24"/>
              </w:rPr>
              <w:t>Instruments</w:t>
            </w:r>
            <w:r>
              <w:rPr>
                <w:spacing w:val="-6"/>
                <w:sz w:val="24"/>
              </w:rPr>
              <w:t> </w:t>
            </w:r>
            <w:r>
              <w:rPr>
                <w:sz w:val="24"/>
              </w:rPr>
              <w:t>–</w:t>
            </w:r>
            <w:r>
              <w:rPr>
                <w:spacing w:val="-6"/>
                <w:sz w:val="24"/>
              </w:rPr>
              <w:t> </w:t>
            </w:r>
            <w:r>
              <w:rPr>
                <w:sz w:val="24"/>
              </w:rPr>
              <w:t>Europe,</w:t>
            </w:r>
            <w:r>
              <w:rPr>
                <w:spacing w:val="-6"/>
                <w:sz w:val="24"/>
              </w:rPr>
              <w:t> </w:t>
            </w:r>
            <w:r>
              <w:rPr>
                <w:sz w:val="24"/>
              </w:rPr>
              <w:t>Asia, Americas (FPI.3)</w:t>
            </w:r>
          </w:p>
        </w:tc>
      </w:tr>
      <w:tr>
        <w:trPr>
          <w:trHeight w:val="1977" w:hRule="atLeast"/>
        </w:trPr>
        <w:tc>
          <w:tcPr>
            <w:tcW w:w="4360" w:type="dxa"/>
            <w:vMerge w:val="restart"/>
          </w:tcPr>
          <w:p>
            <w:pPr>
              <w:pStyle w:val="TableParagraph"/>
              <w:spacing w:line="252"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6"/>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4"/>
                <w:sz w:val="22"/>
              </w:rPr>
              <w:t> </w:t>
            </w:r>
            <w:r>
              <w:rPr>
                <w:b/>
                <w:sz w:val="22"/>
              </w:rPr>
              <w:t>duration: Place of secondment:</w:t>
            </w:r>
          </w:p>
        </w:tc>
        <w:tc>
          <w:tcPr>
            <w:tcW w:w="5597" w:type="dxa"/>
          </w:tcPr>
          <w:p>
            <w:pPr>
              <w:pStyle w:val="TableParagraph"/>
              <w:ind w:right="620"/>
              <w:rPr>
                <w:sz w:val="24"/>
              </w:rPr>
            </w:pPr>
            <w:r>
              <w:rPr>
                <w:sz w:val="24"/>
              </w:rPr>
              <w:t>Stefan Schleuning </w:t>
            </w:r>
            <w:hyperlink r:id="rId7">
              <w:r>
                <w:rPr>
                  <w:spacing w:val="-2"/>
                  <w:sz w:val="24"/>
                </w:rPr>
                <w:t>Stefan.Schleuning@ec.europa.eu</w:t>
              </w:r>
            </w:hyperlink>
          </w:p>
          <w:p>
            <w:pPr>
              <w:pStyle w:val="TableParagraph"/>
              <w:spacing w:before="10"/>
              <w:ind w:left="0"/>
              <w:rPr>
                <w:b/>
                <w:sz w:val="23"/>
              </w:rPr>
            </w:pPr>
          </w:p>
          <w:p>
            <w:pPr>
              <w:pStyle w:val="TableParagraph"/>
              <w:rPr>
                <w:sz w:val="24"/>
              </w:rPr>
            </w:pPr>
            <w:r>
              <w:rPr>
                <w:sz w:val="24"/>
              </w:rPr>
              <w:t>1</w:t>
            </w:r>
          </w:p>
          <w:p>
            <w:pPr>
              <w:pStyle w:val="TableParagraph"/>
              <w:spacing w:before="1"/>
              <w:rPr>
                <w:b/>
                <w:sz w:val="22"/>
              </w:rPr>
            </w:pPr>
            <w:r>
              <w:rPr>
                <w:b/>
                <w:sz w:val="22"/>
              </w:rPr>
              <w:t>3</w:t>
            </w:r>
            <w:r>
              <w:rPr>
                <w:b/>
                <w:sz w:val="22"/>
                <w:vertAlign w:val="superscript"/>
              </w:rPr>
              <w:t>rd</w:t>
            </w:r>
            <w:r>
              <w:rPr>
                <w:b/>
                <w:spacing w:val="-6"/>
                <w:sz w:val="22"/>
                <w:vertAlign w:val="baseline"/>
              </w:rPr>
              <w:t> </w:t>
            </w:r>
            <w:r>
              <w:rPr>
                <w:b/>
                <w:sz w:val="22"/>
                <w:vertAlign w:val="baseline"/>
              </w:rPr>
              <w:t>quarter</w:t>
            </w:r>
            <w:r>
              <w:rPr>
                <w:b/>
                <w:spacing w:val="-6"/>
                <w:sz w:val="22"/>
                <w:vertAlign w:val="baseline"/>
              </w:rPr>
              <w:t> </w:t>
            </w:r>
            <w:r>
              <w:rPr>
                <w:b/>
                <w:sz w:val="22"/>
                <w:vertAlign w:val="baseline"/>
              </w:rPr>
              <w:t>2023</w:t>
            </w:r>
            <w:r>
              <w:rPr>
                <w:b/>
                <w:spacing w:val="-6"/>
                <w:sz w:val="22"/>
                <w:vertAlign w:val="baseline"/>
              </w:rPr>
              <w:t> </w:t>
            </w:r>
            <w:r>
              <w:rPr>
                <w:b/>
                <w:spacing w:val="-10"/>
                <w:sz w:val="22"/>
                <w:vertAlign w:val="superscript"/>
              </w:rPr>
              <w:t>1</w:t>
            </w:r>
          </w:p>
          <w:p>
            <w:pPr>
              <w:pStyle w:val="TableParagraph"/>
              <w:rPr>
                <w:b/>
                <w:sz w:val="22"/>
              </w:rPr>
            </w:pPr>
            <w:r>
              <w:rPr>
                <w:b/>
                <w:sz w:val="22"/>
              </w:rPr>
              <w:t>1</w:t>
            </w:r>
            <w:r>
              <w:rPr>
                <w:b/>
                <w:spacing w:val="-2"/>
                <w:sz w:val="22"/>
              </w:rPr>
              <w:t> year(s</w:t>
            </w:r>
            <w:r>
              <w:rPr>
                <w:b/>
                <w:spacing w:val="-2"/>
                <w:sz w:val="22"/>
                <w:vertAlign w:val="superscript"/>
              </w:rPr>
              <w:t>)1</w:t>
            </w:r>
          </w:p>
          <w:p>
            <w:pPr>
              <w:pStyle w:val="TableParagraph"/>
              <w:rPr>
                <w:b/>
                <w:sz w:val="22"/>
              </w:rPr>
            </w:pPr>
            <w:r>
              <w:rPr>
                <w:rFonts w:ascii="Wingdings 2" w:hAnsi="Wingdings 2"/>
                <w:sz w:val="22"/>
              </w:rPr>
              <w:t></w:t>
            </w:r>
            <w:r>
              <w:rPr>
                <w:spacing w:val="45"/>
                <w:sz w:val="22"/>
              </w:rPr>
              <w:t> </w:t>
            </w:r>
            <w:r>
              <w:rPr>
                <w:b/>
                <w:sz w:val="22"/>
              </w:rPr>
              <w:t>Brussels</w:t>
            </w:r>
            <w:r>
              <w:rPr>
                <w:b/>
                <w:spacing w:val="47"/>
                <w:sz w:val="22"/>
              </w:rPr>
              <w:t> </w:t>
            </w:r>
            <w:r>
              <w:rPr>
                <w:rFonts w:ascii="Wingdings 2" w:hAnsi="Wingdings 2"/>
                <w:sz w:val="22"/>
              </w:rPr>
              <w:t></w:t>
            </w:r>
            <w:r>
              <w:rPr>
                <w:spacing w:val="-4"/>
                <w:sz w:val="22"/>
              </w:rPr>
              <w:t> </w:t>
            </w:r>
            <w:r>
              <w:rPr>
                <w:b/>
                <w:sz w:val="22"/>
              </w:rPr>
              <w:t>Luxemburg</w:t>
            </w:r>
            <w:r>
              <w:rPr>
                <w:b/>
                <w:spacing w:val="45"/>
                <w:sz w:val="22"/>
              </w:rPr>
              <w:t> </w:t>
            </w:r>
            <w:r>
              <w:rPr>
                <w:rFonts w:ascii="Wingdings 2" w:hAnsi="Wingdings 2"/>
                <w:sz w:val="22"/>
              </w:rPr>
              <w:t></w:t>
            </w:r>
            <w:r>
              <w:rPr>
                <w:spacing w:val="-5"/>
                <w:sz w:val="22"/>
              </w:rPr>
              <w:t> </w:t>
            </w:r>
            <w:r>
              <w:rPr>
                <w:b/>
                <w:sz w:val="22"/>
              </w:rPr>
              <w:t>Other:</w:t>
            </w:r>
            <w:r>
              <w:rPr>
                <w:b/>
                <w:spacing w:val="-4"/>
                <w:sz w:val="22"/>
              </w:rPr>
              <w:t> </w:t>
            </w:r>
            <w:r>
              <w:rPr>
                <w:b/>
                <w:spacing w:val="-2"/>
                <w:sz w:val="22"/>
              </w:rPr>
              <w:t>……………..</w:t>
            </w:r>
          </w:p>
        </w:tc>
      </w:tr>
      <w:tr>
        <w:trPr>
          <w:trHeight w:val="545" w:hRule="atLeast"/>
        </w:trPr>
        <w:tc>
          <w:tcPr>
            <w:tcW w:w="4360" w:type="dxa"/>
            <w:vMerge/>
            <w:tcBorders>
              <w:top w:val="nil"/>
            </w:tcBorders>
          </w:tcPr>
          <w:p>
            <w:pPr>
              <w:rPr>
                <w:sz w:val="2"/>
                <w:szCs w:val="2"/>
              </w:rPr>
            </w:pPr>
          </w:p>
        </w:tc>
        <w:tc>
          <w:tcPr>
            <w:tcW w:w="5597" w:type="dxa"/>
          </w:tcPr>
          <w:p>
            <w:pPr>
              <w:pStyle w:val="TableParagraph"/>
              <w:numPr>
                <w:ilvl w:val="0"/>
                <w:numId w:val="1"/>
              </w:numPr>
              <w:tabs>
                <w:tab w:pos="523" w:val="left" w:leader="none"/>
                <w:tab w:pos="524" w:val="left" w:leader="none"/>
                <w:tab w:pos="2948" w:val="left" w:leader="none"/>
                <w:tab w:pos="3420" w:val="left" w:leader="none"/>
              </w:tabs>
              <w:spacing w:line="240" w:lineRule="auto" w:before="146" w:after="0"/>
              <w:ind w:left="523" w:right="0" w:hanging="417"/>
              <w:jc w:val="left"/>
              <w:rPr>
                <w:b/>
                <w:sz w:val="22"/>
              </w:rPr>
            </w:pPr>
            <w:r>
              <w:rPr>
                <w:b/>
                <w:sz w:val="22"/>
              </w:rPr>
              <w:t>With</w:t>
            </w:r>
            <w:r>
              <w:rPr>
                <w:b/>
                <w:spacing w:val="-5"/>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1" w:hRule="atLeast"/>
        </w:trPr>
        <w:tc>
          <w:tcPr>
            <w:tcW w:w="9957" w:type="dxa"/>
            <w:gridSpan w:val="2"/>
          </w:tcPr>
          <w:p>
            <w:pPr>
              <w:pStyle w:val="TableParagraph"/>
              <w:spacing w:before="112"/>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1"/>
                <w:sz w:val="24"/>
              </w:rPr>
              <w:t> </w:t>
            </w:r>
            <w:r>
              <w:rPr>
                <w:b/>
                <w:sz w:val="24"/>
              </w:rPr>
              <w:t>EFTA</w:t>
            </w:r>
            <w:r>
              <w:rPr>
                <w:b/>
                <w:spacing w:val="-3"/>
                <w:sz w:val="24"/>
              </w:rPr>
              <w:t> </w:t>
            </w:r>
            <w:r>
              <w:rPr>
                <w:b/>
                <w:sz w:val="24"/>
              </w:rPr>
              <w:t>countries</w:t>
            </w:r>
            <w:r>
              <w:rPr>
                <w:b/>
                <w:spacing w:val="-3"/>
                <w:sz w:val="24"/>
              </w:rPr>
              <w:t> </w:t>
            </w:r>
            <w:r>
              <w:rPr>
                <w:b/>
                <w:spacing w:val="-10"/>
                <w:sz w:val="24"/>
              </w:rPr>
              <w:t>:</w:t>
            </w:r>
          </w:p>
          <w:p>
            <w:pPr>
              <w:pStyle w:val="TableParagraph"/>
              <w:numPr>
                <w:ilvl w:val="0"/>
                <w:numId w:val="2"/>
              </w:numPr>
              <w:tabs>
                <w:tab w:pos="383" w:val="left" w:leader="none"/>
              </w:tabs>
              <w:spacing w:line="240" w:lineRule="auto" w:before="0" w:after="0"/>
              <w:ind w:left="382" w:right="0" w:hanging="276"/>
              <w:jc w:val="left"/>
              <w:rPr>
                <w:b/>
                <w:sz w:val="24"/>
              </w:rPr>
            </w:pPr>
            <w:r>
              <w:rPr>
                <w:b/>
                <w:sz w:val="24"/>
              </w:rPr>
              <w:t>Iceland</w:t>
            </w:r>
            <w:r>
              <w:rPr>
                <w:b/>
                <w:spacing w:val="55"/>
                <w:sz w:val="24"/>
              </w:rPr>
              <w:t> </w:t>
            </w:r>
            <w:r>
              <w:rPr>
                <w:rFonts w:ascii="Wingdings 2" w:hAnsi="Wingdings 2"/>
                <w:b/>
                <w:sz w:val="24"/>
              </w:rPr>
              <w:t></w:t>
            </w:r>
            <w:r>
              <w:rPr>
                <w:spacing w:val="-2"/>
                <w:sz w:val="24"/>
              </w:rPr>
              <w:t> </w:t>
            </w:r>
            <w:r>
              <w:rPr>
                <w:b/>
                <w:sz w:val="24"/>
              </w:rPr>
              <w:t>Liechtenstein</w:t>
            </w:r>
            <w:r>
              <w:rPr>
                <w:b/>
                <w:spacing w:val="55"/>
                <w:sz w:val="24"/>
              </w:rPr>
              <w:t> </w:t>
            </w:r>
            <w:r>
              <w:rPr>
                <w:rFonts w:ascii="Wingdings 2" w:hAnsi="Wingdings 2"/>
                <w:b/>
                <w:sz w:val="24"/>
              </w:rPr>
              <w:t></w:t>
            </w:r>
            <w:r>
              <w:rPr>
                <w:spacing w:val="-2"/>
                <w:sz w:val="24"/>
              </w:rPr>
              <w:t> </w:t>
            </w:r>
            <w:r>
              <w:rPr>
                <w:b/>
                <w:sz w:val="24"/>
              </w:rPr>
              <w:t>Norway</w:t>
            </w:r>
            <w:r>
              <w:rPr>
                <w:b/>
                <w:spacing w:val="57"/>
                <w:sz w:val="24"/>
              </w:rPr>
              <w:t> </w:t>
            </w:r>
            <w:r>
              <w:rPr>
                <w:b/>
                <w:sz w:val="24"/>
              </w:rPr>
              <w:t>x</w:t>
            </w:r>
            <w:r>
              <w:rPr>
                <w:rFonts w:ascii="Wingdings 2" w:hAnsi="Wingdings 2"/>
                <w:b/>
                <w:sz w:val="24"/>
              </w:rPr>
              <w:t></w:t>
            </w:r>
            <w:r>
              <w:rPr>
                <w:spacing w:val="-2"/>
                <w:sz w:val="24"/>
              </w:rPr>
              <w:t> </w:t>
            </w:r>
            <w:r>
              <w:rPr>
                <w:b/>
                <w:spacing w:val="-2"/>
                <w:sz w:val="24"/>
              </w:rPr>
              <w:t>Switzerland</w:t>
            </w:r>
          </w:p>
          <w:p>
            <w:pPr>
              <w:pStyle w:val="TableParagraph"/>
              <w:numPr>
                <w:ilvl w:val="0"/>
                <w:numId w:val="2"/>
              </w:numPr>
              <w:tabs>
                <w:tab w:pos="383" w:val="left" w:leader="none"/>
              </w:tabs>
              <w:spacing w:line="240" w:lineRule="auto" w:before="0" w:after="0"/>
              <w:ind w:left="382" w:right="0" w:hanging="276"/>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3"/>
                <w:sz w:val="24"/>
              </w:rPr>
              <w:t> </w:t>
            </w:r>
            <w:r>
              <w:rPr>
                <w:b/>
                <w:sz w:val="24"/>
              </w:rPr>
              <w:t>intergovernmental</w:t>
            </w:r>
            <w:r>
              <w:rPr>
                <w:b/>
                <w:spacing w:val="-3"/>
                <w:sz w:val="24"/>
              </w:rPr>
              <w:t> </w:t>
            </w:r>
            <w:r>
              <w:rPr>
                <w:b/>
                <w:spacing w:val="-2"/>
                <w:sz w:val="24"/>
              </w:rPr>
              <w:t>organisations:</w:t>
            </w:r>
          </w:p>
        </w:tc>
      </w:tr>
    </w:tbl>
    <w:p>
      <w:pPr>
        <w:pStyle w:val="BodyText"/>
        <w:spacing w:before="1"/>
        <w:rPr>
          <w:b/>
          <w:sz w:val="24"/>
        </w:rPr>
      </w:pPr>
    </w:p>
    <w:p>
      <w:pPr>
        <w:pStyle w:val="ListParagraph"/>
        <w:numPr>
          <w:ilvl w:val="0"/>
          <w:numId w:val="3"/>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2"/>
          <w:sz w:val="24"/>
          <w:u w:val="single"/>
        </w:rPr>
        <w:t> </w:t>
      </w:r>
      <w:r>
        <w:rPr>
          <w:b/>
          <w:sz w:val="24"/>
          <w:u w:val="single"/>
        </w:rPr>
        <w:t>of</w:t>
      </w:r>
      <w:r>
        <w:rPr>
          <w:b/>
          <w:spacing w:val="-1"/>
          <w:sz w:val="24"/>
          <w:u w:val="single"/>
        </w:rPr>
        <w:t> </w:t>
      </w:r>
      <w:r>
        <w:rPr>
          <w:b/>
          <w:sz w:val="24"/>
          <w:u w:val="single"/>
        </w:rPr>
        <w:t>the</w:t>
      </w:r>
      <w:r>
        <w:rPr>
          <w:b/>
          <w:spacing w:val="-1"/>
          <w:sz w:val="24"/>
          <w:u w:val="single"/>
        </w:rPr>
        <w:t> </w:t>
      </w:r>
      <w:r>
        <w:rPr>
          <w:b/>
          <w:spacing w:val="-4"/>
          <w:sz w:val="24"/>
          <w:u w:val="single"/>
        </w:rPr>
        <w:t>tasks</w:t>
      </w:r>
    </w:p>
    <w:p>
      <w:pPr>
        <w:pStyle w:val="BodyText"/>
        <w:rPr>
          <w:b/>
          <w:sz w:val="16"/>
        </w:rPr>
      </w:pPr>
    </w:p>
    <w:p>
      <w:pPr>
        <w:spacing w:before="90"/>
        <w:ind w:left="1401" w:right="64" w:firstLine="0"/>
        <w:jc w:val="left"/>
        <w:rPr>
          <w:sz w:val="24"/>
        </w:rPr>
      </w:pPr>
      <w:r>
        <w:rPr>
          <w:sz w:val="24"/>
        </w:rPr>
        <w:t>The overall purpose of this post is to contribute to coordination and policy and operational developments</w:t>
      </w:r>
      <w:r>
        <w:rPr>
          <w:spacing w:val="-2"/>
          <w:sz w:val="24"/>
        </w:rPr>
        <w:t> </w:t>
      </w:r>
      <w:r>
        <w:rPr>
          <w:sz w:val="24"/>
        </w:rPr>
        <w:t>in</w:t>
      </w:r>
      <w:r>
        <w:rPr>
          <w:spacing w:val="-2"/>
          <w:sz w:val="24"/>
        </w:rPr>
        <w:t> </w:t>
      </w:r>
      <w:r>
        <w:rPr>
          <w:sz w:val="24"/>
        </w:rPr>
        <w:t>the</w:t>
      </w:r>
      <w:r>
        <w:rPr>
          <w:spacing w:val="-2"/>
          <w:sz w:val="24"/>
        </w:rPr>
        <w:t> </w:t>
      </w:r>
      <w:r>
        <w:rPr>
          <w:sz w:val="24"/>
        </w:rPr>
        <w:t>area</w:t>
      </w:r>
      <w:r>
        <w:rPr>
          <w:spacing w:val="-3"/>
          <w:sz w:val="24"/>
        </w:rPr>
        <w:t> </w:t>
      </w:r>
      <w:r>
        <w:rPr>
          <w:sz w:val="24"/>
        </w:rPr>
        <w:t>of</w:t>
      </w:r>
      <w:r>
        <w:rPr>
          <w:spacing w:val="-3"/>
          <w:sz w:val="24"/>
        </w:rPr>
        <w:t> </w:t>
      </w:r>
      <w:r>
        <w:rPr>
          <w:b/>
          <w:sz w:val="24"/>
        </w:rPr>
        <w:t>Mine</w:t>
      </w:r>
      <w:r>
        <w:rPr>
          <w:b/>
          <w:spacing w:val="-2"/>
          <w:sz w:val="24"/>
        </w:rPr>
        <w:t> </w:t>
      </w:r>
      <w:r>
        <w:rPr>
          <w:b/>
          <w:sz w:val="24"/>
        </w:rPr>
        <w:t>Action</w:t>
      </w:r>
      <w:r>
        <w:rPr>
          <w:b/>
          <w:spacing w:val="-3"/>
          <w:sz w:val="24"/>
        </w:rPr>
        <w:t> </w:t>
      </w:r>
      <w:r>
        <w:rPr>
          <w:b/>
          <w:sz w:val="24"/>
        </w:rPr>
        <w:t>in</w:t>
      </w:r>
      <w:r>
        <w:rPr>
          <w:b/>
          <w:spacing w:val="-3"/>
          <w:sz w:val="24"/>
        </w:rPr>
        <w:t> </w:t>
      </w:r>
      <w:r>
        <w:rPr>
          <w:b/>
          <w:sz w:val="24"/>
        </w:rPr>
        <w:t>Ukraine.</w:t>
      </w:r>
      <w:r>
        <w:rPr>
          <w:b/>
          <w:spacing w:val="-2"/>
          <w:sz w:val="24"/>
        </w:rPr>
        <w:t> </w:t>
      </w:r>
      <w:r>
        <w:rPr>
          <w:sz w:val="24"/>
        </w:rPr>
        <w:t>This</w:t>
      </w:r>
      <w:r>
        <w:rPr>
          <w:spacing w:val="-2"/>
          <w:sz w:val="24"/>
        </w:rPr>
        <w:t> </w:t>
      </w:r>
      <w:r>
        <w:rPr>
          <w:sz w:val="24"/>
        </w:rPr>
        <w:t>specifically</w:t>
      </w:r>
      <w:r>
        <w:rPr>
          <w:spacing w:val="-2"/>
          <w:sz w:val="24"/>
        </w:rPr>
        <w:t> </w:t>
      </w:r>
      <w:r>
        <w:rPr>
          <w:sz w:val="24"/>
        </w:rPr>
        <w:t>regards</w:t>
      </w:r>
      <w:r>
        <w:rPr>
          <w:spacing w:val="-2"/>
          <w:sz w:val="24"/>
        </w:rPr>
        <w:t> </w:t>
      </w:r>
      <w:r>
        <w:rPr>
          <w:sz w:val="24"/>
        </w:rPr>
        <w:t>the</w:t>
      </w:r>
      <w:r>
        <w:rPr>
          <w:spacing w:val="-2"/>
          <w:sz w:val="24"/>
        </w:rPr>
        <w:t> </w:t>
      </w:r>
      <w:r>
        <w:rPr>
          <w:sz w:val="24"/>
        </w:rPr>
        <w:t>role</w:t>
      </w:r>
      <w:r>
        <w:rPr>
          <w:spacing w:val="-2"/>
          <w:sz w:val="24"/>
        </w:rPr>
        <w:t> </w:t>
      </w:r>
      <w:r>
        <w:rPr>
          <w:sz w:val="24"/>
        </w:rPr>
        <w:t>of</w:t>
      </w:r>
      <w:r>
        <w:rPr>
          <w:spacing w:val="-3"/>
          <w:sz w:val="24"/>
        </w:rPr>
        <w:t> </w:t>
      </w:r>
      <w:r>
        <w:rPr>
          <w:sz w:val="24"/>
        </w:rPr>
        <w:t>the EU’s Service for Foreign Policy Instruments to lead EU-internal coordination processes on Mine Action in Ukraine, as well as to contribute to and help further strengthen coordination amongst EU Member States and the G7+ group so as to enhance the EU’s and its Member States’ overall footprint in the Mine Action sector in Ukraine.</w:t>
      </w:r>
    </w:p>
    <w:p>
      <w:pPr>
        <w:pStyle w:val="BodyText"/>
        <w:rPr>
          <w:sz w:val="24"/>
        </w:rPr>
      </w:pPr>
    </w:p>
    <w:p>
      <w:pPr>
        <w:spacing w:before="0"/>
        <w:ind w:left="1401" w:right="109" w:firstLine="0"/>
        <w:jc w:val="both"/>
        <w:rPr>
          <w:sz w:val="24"/>
        </w:rPr>
      </w:pPr>
      <w:r>
        <w:rPr>
          <w:sz w:val="24"/>
        </w:rPr>
        <w:t>The Seconded National Expert (SNE) will act in the role of International Relations Officer to help monitor the mine action sector in Ukraine, as well as to organise, prepare, and ensure appropriate</w:t>
      </w:r>
      <w:r>
        <w:rPr>
          <w:spacing w:val="-4"/>
          <w:sz w:val="24"/>
        </w:rPr>
        <w:t> </w:t>
      </w:r>
      <w:r>
        <w:rPr>
          <w:sz w:val="24"/>
        </w:rPr>
        <w:t>representation</w:t>
      </w:r>
      <w:r>
        <w:rPr>
          <w:spacing w:val="-3"/>
          <w:sz w:val="24"/>
        </w:rPr>
        <w:t> </w:t>
      </w:r>
      <w:r>
        <w:rPr>
          <w:sz w:val="24"/>
        </w:rPr>
        <w:t>of</w:t>
      </w:r>
      <w:r>
        <w:rPr>
          <w:spacing w:val="-4"/>
          <w:sz w:val="24"/>
        </w:rPr>
        <w:t> </w:t>
      </w:r>
      <w:r>
        <w:rPr>
          <w:sz w:val="24"/>
        </w:rPr>
        <w:t>the</w:t>
      </w:r>
      <w:r>
        <w:rPr>
          <w:spacing w:val="-3"/>
          <w:sz w:val="24"/>
        </w:rPr>
        <w:t> </w:t>
      </w:r>
      <w:r>
        <w:rPr>
          <w:sz w:val="24"/>
        </w:rPr>
        <w:t>EU</w:t>
      </w:r>
      <w:r>
        <w:rPr>
          <w:spacing w:val="-4"/>
          <w:sz w:val="24"/>
        </w:rPr>
        <w:t> </w:t>
      </w:r>
      <w:r>
        <w:rPr>
          <w:sz w:val="24"/>
        </w:rPr>
        <w:t>in</w:t>
      </w:r>
      <w:r>
        <w:rPr>
          <w:spacing w:val="-3"/>
          <w:sz w:val="24"/>
        </w:rPr>
        <w:t> </w:t>
      </w:r>
      <w:r>
        <w:rPr>
          <w:sz w:val="24"/>
        </w:rPr>
        <w:t>relevant</w:t>
      </w:r>
      <w:r>
        <w:rPr>
          <w:spacing w:val="-3"/>
          <w:sz w:val="24"/>
        </w:rPr>
        <w:t> </w:t>
      </w:r>
      <w:r>
        <w:rPr>
          <w:sz w:val="24"/>
        </w:rPr>
        <w:t>coordination</w:t>
      </w:r>
      <w:r>
        <w:rPr>
          <w:spacing w:val="-2"/>
          <w:sz w:val="24"/>
        </w:rPr>
        <w:t> </w:t>
      </w:r>
      <w:r>
        <w:rPr>
          <w:sz w:val="24"/>
        </w:rPr>
        <w:t>meetings.</w:t>
      </w:r>
      <w:r>
        <w:rPr>
          <w:spacing w:val="-4"/>
          <w:sz w:val="24"/>
        </w:rPr>
        <w:t> </w:t>
      </w:r>
      <w:r>
        <w:rPr>
          <w:sz w:val="24"/>
        </w:rPr>
        <w:t>In</w:t>
      </w:r>
      <w:r>
        <w:rPr>
          <w:spacing w:val="-3"/>
          <w:sz w:val="24"/>
        </w:rPr>
        <w:t> </w:t>
      </w:r>
      <w:r>
        <w:rPr>
          <w:sz w:val="24"/>
        </w:rPr>
        <w:t>addition</w:t>
      </w:r>
      <w:r>
        <w:rPr>
          <w:spacing w:val="-3"/>
          <w:sz w:val="24"/>
        </w:rPr>
        <w:t> </w:t>
      </w:r>
      <w:r>
        <w:rPr>
          <w:sz w:val="24"/>
        </w:rPr>
        <w:t>the</w:t>
      </w:r>
      <w:r>
        <w:rPr>
          <w:spacing w:val="-3"/>
          <w:sz w:val="24"/>
        </w:rPr>
        <w:t> </w:t>
      </w:r>
      <w:r>
        <w:rPr>
          <w:sz w:val="24"/>
        </w:rPr>
        <w:t>role</w:t>
      </w:r>
      <w:r>
        <w:rPr>
          <w:spacing w:val="-3"/>
          <w:sz w:val="24"/>
        </w:rPr>
        <w:t> </w:t>
      </w:r>
      <w:r>
        <w:rPr>
          <w:sz w:val="24"/>
        </w:rPr>
        <w:t>will require the identification, formulation and supervision of activities under the Rapid Response Pillar of the Neighbourhood, Development and International Cooperation Instrument (NDICI)</w:t>
      </w:r>
      <w:r>
        <w:rPr>
          <w:spacing w:val="40"/>
          <w:sz w:val="24"/>
        </w:rPr>
        <w:t> </w:t>
      </w:r>
      <w:r>
        <w:rPr>
          <w:sz w:val="24"/>
        </w:rPr>
        <w:t>– Global Europe.</w:t>
      </w:r>
    </w:p>
    <w:p>
      <w:pPr>
        <w:pStyle w:val="BodyText"/>
        <w:rPr>
          <w:sz w:val="24"/>
        </w:rPr>
      </w:pPr>
    </w:p>
    <w:p>
      <w:pPr>
        <w:spacing w:before="0"/>
        <w:ind w:left="1401" w:right="108" w:firstLine="0"/>
        <w:jc w:val="both"/>
        <w:rPr>
          <w:sz w:val="24"/>
        </w:rPr>
      </w:pPr>
      <w:r>
        <w:rPr>
          <w:sz w:val="24"/>
        </w:rPr>
        <w:t>The Seconded National Expert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pPr>
        <w:pStyle w:val="BodyText"/>
        <w:rPr>
          <w:sz w:val="20"/>
        </w:rPr>
      </w:pPr>
    </w:p>
    <w:p>
      <w:pPr>
        <w:pStyle w:val="BodyText"/>
        <w:rPr>
          <w:sz w:val="20"/>
        </w:rPr>
      </w:pPr>
    </w:p>
    <w:p>
      <w:pPr>
        <w:pStyle w:val="BodyText"/>
        <w:spacing w:before="7"/>
        <w:rPr>
          <w:sz w:val="14"/>
        </w:rPr>
      </w:pPr>
      <w:r>
        <w:rPr/>
        <w:pict>
          <v:rect style="position:absolute;margin-left:42.540001pt;margin-top:9.610687pt;width:144pt;height:.6pt;mso-position-horizontal-relative:page;mso-position-vertical-relative:paragraph;z-index:-15728640;mso-wrap-distance-left:0;mso-wrap-distance-right:0" id="docshape2" filled="true" fillcolor="#000000" stroked="false">
            <v:fill type="solid"/>
            <w10:wrap type="topAndBottom"/>
          </v:rect>
        </w:pict>
      </w:r>
    </w:p>
    <w:p>
      <w:pPr>
        <w:spacing w:before="102"/>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4"/>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5"/>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1"/>
          <w:numId w:val="3"/>
        </w:numPr>
        <w:tabs>
          <w:tab w:pos="1090" w:val="left" w:leader="none"/>
          <w:tab w:pos="1091" w:val="left" w:leader="none"/>
        </w:tabs>
        <w:spacing w:line="240" w:lineRule="auto" w:before="73" w:after="0"/>
        <w:ind w:left="1090" w:right="502" w:hanging="360"/>
        <w:jc w:val="left"/>
        <w:rPr>
          <w:sz w:val="24"/>
        </w:rPr>
      </w:pPr>
      <w:r>
        <w:rPr>
          <w:sz w:val="24"/>
        </w:rPr>
        <w:t>Contribute</w:t>
      </w:r>
      <w:r>
        <w:rPr>
          <w:spacing w:val="-2"/>
          <w:sz w:val="24"/>
        </w:rPr>
        <w:t> </w:t>
      </w:r>
      <w:r>
        <w:rPr>
          <w:sz w:val="24"/>
        </w:rPr>
        <w:t>to</w:t>
      </w:r>
      <w:r>
        <w:rPr>
          <w:spacing w:val="-2"/>
          <w:sz w:val="24"/>
        </w:rPr>
        <w:t> </w:t>
      </w:r>
      <w:r>
        <w:rPr>
          <w:sz w:val="24"/>
        </w:rPr>
        <w:t>the</w:t>
      </w:r>
      <w:r>
        <w:rPr>
          <w:spacing w:val="-2"/>
          <w:sz w:val="24"/>
        </w:rPr>
        <w:t> </w:t>
      </w:r>
      <w:r>
        <w:rPr>
          <w:sz w:val="24"/>
        </w:rPr>
        <w:t>shaping</w:t>
      </w:r>
      <w:r>
        <w:rPr>
          <w:spacing w:val="-2"/>
          <w:sz w:val="24"/>
        </w:rPr>
        <w:t> </w:t>
      </w:r>
      <w:r>
        <w:rPr>
          <w:sz w:val="24"/>
        </w:rPr>
        <w:t>of</w:t>
      </w:r>
      <w:r>
        <w:rPr>
          <w:spacing w:val="-3"/>
          <w:sz w:val="24"/>
        </w:rPr>
        <w:t> </w:t>
      </w:r>
      <w:r>
        <w:rPr>
          <w:sz w:val="24"/>
        </w:rPr>
        <w:t>the</w:t>
      </w:r>
      <w:r>
        <w:rPr>
          <w:spacing w:val="-2"/>
          <w:sz w:val="24"/>
        </w:rPr>
        <w:t> </w:t>
      </w:r>
      <w:r>
        <w:rPr>
          <w:sz w:val="24"/>
        </w:rPr>
        <w:t>overall</w:t>
      </w:r>
      <w:r>
        <w:rPr>
          <w:spacing w:val="-2"/>
          <w:sz w:val="24"/>
        </w:rPr>
        <w:t> </w:t>
      </w:r>
      <w:r>
        <w:rPr>
          <w:sz w:val="24"/>
        </w:rPr>
        <w:t>EU</w:t>
      </w:r>
      <w:r>
        <w:rPr>
          <w:spacing w:val="-3"/>
          <w:sz w:val="24"/>
        </w:rPr>
        <w:t> </w:t>
      </w:r>
      <w:r>
        <w:rPr>
          <w:sz w:val="24"/>
        </w:rPr>
        <w:t>response</w:t>
      </w:r>
      <w:r>
        <w:rPr>
          <w:spacing w:val="-2"/>
          <w:sz w:val="24"/>
        </w:rPr>
        <w:t> </w:t>
      </w:r>
      <w:r>
        <w:rPr>
          <w:sz w:val="24"/>
        </w:rPr>
        <w:t>in</w:t>
      </w:r>
      <w:r>
        <w:rPr>
          <w:spacing w:val="-2"/>
          <w:sz w:val="24"/>
        </w:rPr>
        <w:t> </w:t>
      </w:r>
      <w:r>
        <w:rPr>
          <w:sz w:val="24"/>
        </w:rPr>
        <w:t>the</w:t>
      </w:r>
      <w:r>
        <w:rPr>
          <w:spacing w:val="-2"/>
          <w:sz w:val="24"/>
        </w:rPr>
        <w:t> </w:t>
      </w:r>
      <w:r>
        <w:rPr>
          <w:sz w:val="24"/>
        </w:rPr>
        <w:t>Mine</w:t>
      </w:r>
      <w:r>
        <w:rPr>
          <w:spacing w:val="-2"/>
          <w:sz w:val="24"/>
        </w:rPr>
        <w:t> </w:t>
      </w:r>
      <w:r>
        <w:rPr>
          <w:sz w:val="24"/>
        </w:rPr>
        <w:t>Action</w:t>
      </w:r>
      <w:r>
        <w:rPr>
          <w:spacing w:val="-2"/>
          <w:sz w:val="24"/>
        </w:rPr>
        <w:t> </w:t>
      </w:r>
      <w:r>
        <w:rPr>
          <w:sz w:val="24"/>
        </w:rPr>
        <w:t>Sector</w:t>
      </w:r>
      <w:r>
        <w:rPr>
          <w:spacing w:val="-3"/>
          <w:sz w:val="24"/>
        </w:rPr>
        <w:t> </w:t>
      </w:r>
      <w:r>
        <w:rPr>
          <w:sz w:val="24"/>
        </w:rPr>
        <w:t>in</w:t>
      </w:r>
      <w:r>
        <w:rPr>
          <w:spacing w:val="-2"/>
          <w:sz w:val="24"/>
        </w:rPr>
        <w:t> </w:t>
      </w:r>
      <w:r>
        <w:rPr>
          <w:sz w:val="24"/>
        </w:rPr>
        <w:t>Ukraine</w:t>
      </w:r>
      <w:r>
        <w:rPr>
          <w:spacing w:val="-2"/>
          <w:sz w:val="24"/>
        </w:rPr>
        <w:t> </w:t>
      </w:r>
      <w:r>
        <w:rPr>
          <w:sz w:val="24"/>
        </w:rPr>
        <w:t>and linking this up to early recovery in line with need and opportunity.</w:t>
      </w:r>
    </w:p>
    <w:p>
      <w:pPr>
        <w:pStyle w:val="ListParagraph"/>
        <w:numPr>
          <w:ilvl w:val="1"/>
          <w:numId w:val="3"/>
        </w:numPr>
        <w:tabs>
          <w:tab w:pos="1090" w:val="left" w:leader="none"/>
          <w:tab w:pos="1091" w:val="left" w:leader="none"/>
        </w:tabs>
        <w:spacing w:line="240" w:lineRule="auto" w:before="0" w:after="0"/>
        <w:ind w:left="1090" w:right="154" w:hanging="360"/>
        <w:jc w:val="left"/>
        <w:rPr>
          <w:sz w:val="24"/>
        </w:rPr>
      </w:pPr>
      <w:r>
        <w:rPr>
          <w:sz w:val="24"/>
        </w:rPr>
        <w:t>Under the supervision of an administrator, coordinate relations regarding Mine Action and early recovery</w:t>
      </w:r>
      <w:r>
        <w:rPr>
          <w:spacing w:val="-3"/>
          <w:sz w:val="24"/>
        </w:rPr>
        <w:t> </w:t>
      </w:r>
      <w:r>
        <w:rPr>
          <w:sz w:val="24"/>
        </w:rPr>
        <w:t>in</w:t>
      </w:r>
      <w:r>
        <w:rPr>
          <w:spacing w:val="-4"/>
          <w:sz w:val="24"/>
        </w:rPr>
        <w:t> </w:t>
      </w:r>
      <w:r>
        <w:rPr>
          <w:sz w:val="24"/>
        </w:rPr>
        <w:t>Ukraine</w:t>
      </w:r>
      <w:r>
        <w:rPr>
          <w:spacing w:val="-2"/>
          <w:sz w:val="24"/>
        </w:rPr>
        <w:t> </w:t>
      </w:r>
      <w:r>
        <w:rPr>
          <w:sz w:val="24"/>
        </w:rPr>
        <w:t>amongst</w:t>
      </w:r>
      <w:r>
        <w:rPr>
          <w:spacing w:val="-2"/>
          <w:sz w:val="24"/>
        </w:rPr>
        <w:t> </w:t>
      </w:r>
      <w:r>
        <w:rPr>
          <w:sz w:val="24"/>
        </w:rPr>
        <w:t>EU</w:t>
      </w:r>
      <w:r>
        <w:rPr>
          <w:spacing w:val="-3"/>
          <w:sz w:val="24"/>
        </w:rPr>
        <w:t> </w:t>
      </w:r>
      <w:r>
        <w:rPr>
          <w:sz w:val="24"/>
        </w:rPr>
        <w:t>services,</w:t>
      </w:r>
      <w:r>
        <w:rPr>
          <w:spacing w:val="-2"/>
          <w:sz w:val="24"/>
        </w:rPr>
        <w:t> </w:t>
      </w:r>
      <w:r>
        <w:rPr>
          <w:sz w:val="24"/>
        </w:rPr>
        <w:t>with</w:t>
      </w:r>
      <w:r>
        <w:rPr>
          <w:spacing w:val="-4"/>
          <w:sz w:val="24"/>
        </w:rPr>
        <w:t> </w:t>
      </w:r>
      <w:r>
        <w:rPr>
          <w:sz w:val="24"/>
        </w:rPr>
        <w:t>EU</w:t>
      </w:r>
      <w:r>
        <w:rPr>
          <w:spacing w:val="-3"/>
          <w:sz w:val="24"/>
        </w:rPr>
        <w:t> </w:t>
      </w:r>
      <w:r>
        <w:rPr>
          <w:sz w:val="24"/>
        </w:rPr>
        <w:t>Member</w:t>
      </w:r>
      <w:r>
        <w:rPr>
          <w:spacing w:val="-2"/>
          <w:sz w:val="24"/>
        </w:rPr>
        <w:t> </w:t>
      </w:r>
      <w:r>
        <w:rPr>
          <w:sz w:val="24"/>
        </w:rPr>
        <w:t>States,</w:t>
      </w:r>
      <w:r>
        <w:rPr>
          <w:spacing w:val="-2"/>
          <w:sz w:val="24"/>
        </w:rPr>
        <w:t> </w:t>
      </w:r>
      <w:r>
        <w:rPr>
          <w:sz w:val="24"/>
        </w:rPr>
        <w:t>with</w:t>
      </w:r>
      <w:r>
        <w:rPr>
          <w:spacing w:val="-4"/>
          <w:sz w:val="24"/>
        </w:rPr>
        <w:t> </w:t>
      </w:r>
      <w:r>
        <w:rPr>
          <w:sz w:val="24"/>
        </w:rPr>
        <w:t>the</w:t>
      </w:r>
      <w:r>
        <w:rPr>
          <w:spacing w:val="-2"/>
          <w:sz w:val="24"/>
        </w:rPr>
        <w:t> </w:t>
      </w:r>
      <w:r>
        <w:rPr>
          <w:sz w:val="24"/>
        </w:rPr>
        <w:t>G7+</w:t>
      </w:r>
      <w:r>
        <w:rPr>
          <w:spacing w:val="-2"/>
          <w:sz w:val="24"/>
        </w:rPr>
        <w:t> </w:t>
      </w:r>
      <w:r>
        <w:rPr>
          <w:sz w:val="24"/>
        </w:rPr>
        <w:t>group</w:t>
      </w:r>
      <w:r>
        <w:rPr>
          <w:spacing w:val="-2"/>
          <w:sz w:val="24"/>
        </w:rPr>
        <w:t> </w:t>
      </w:r>
      <w:r>
        <w:rPr>
          <w:sz w:val="24"/>
        </w:rPr>
        <w:t>as</w:t>
      </w:r>
      <w:r>
        <w:rPr>
          <w:spacing w:val="-2"/>
          <w:sz w:val="24"/>
        </w:rPr>
        <w:t> </w:t>
      </w:r>
      <w:r>
        <w:rPr>
          <w:sz w:val="24"/>
        </w:rPr>
        <w:t>well</w:t>
      </w:r>
      <w:r>
        <w:rPr>
          <w:spacing w:val="-2"/>
          <w:sz w:val="24"/>
        </w:rPr>
        <w:t> </w:t>
      </w:r>
      <w:r>
        <w:rPr>
          <w:sz w:val="24"/>
        </w:rPr>
        <w:t>as with international, regional, sub-regional and local partners and civil society organisations, and provide relevant information.</w:t>
      </w:r>
    </w:p>
    <w:p>
      <w:pPr>
        <w:pStyle w:val="ListParagraph"/>
        <w:numPr>
          <w:ilvl w:val="1"/>
          <w:numId w:val="3"/>
        </w:numPr>
        <w:tabs>
          <w:tab w:pos="1090" w:val="left" w:leader="none"/>
          <w:tab w:pos="1091" w:val="left" w:leader="none"/>
        </w:tabs>
        <w:spacing w:line="240" w:lineRule="auto" w:before="0" w:after="0"/>
        <w:ind w:left="1090" w:right="445" w:hanging="360"/>
        <w:jc w:val="left"/>
        <w:rPr>
          <w:sz w:val="24"/>
        </w:rPr>
      </w:pPr>
      <w:r>
        <w:rPr>
          <w:sz w:val="24"/>
        </w:rPr>
        <w:t>Identify and consult actions relevant for mine action and early recovery in Ukraine under the Rapid</w:t>
      </w:r>
      <w:r>
        <w:rPr>
          <w:spacing w:val="-2"/>
          <w:sz w:val="24"/>
        </w:rPr>
        <w:t> </w:t>
      </w:r>
      <w:r>
        <w:rPr>
          <w:sz w:val="24"/>
        </w:rPr>
        <w:t>Response</w:t>
      </w:r>
      <w:r>
        <w:rPr>
          <w:spacing w:val="-2"/>
          <w:sz w:val="24"/>
        </w:rPr>
        <w:t> </w:t>
      </w:r>
      <w:r>
        <w:rPr>
          <w:sz w:val="24"/>
        </w:rPr>
        <w:t>Pillar</w:t>
      </w:r>
      <w:r>
        <w:rPr>
          <w:spacing w:val="-2"/>
          <w:sz w:val="24"/>
        </w:rPr>
        <w:t> </w:t>
      </w:r>
      <w:r>
        <w:rPr>
          <w:sz w:val="24"/>
        </w:rPr>
        <w:t>of</w:t>
      </w:r>
      <w:r>
        <w:rPr>
          <w:spacing w:val="-3"/>
          <w:sz w:val="24"/>
        </w:rPr>
        <w:t> </w:t>
      </w:r>
      <w:r>
        <w:rPr>
          <w:sz w:val="24"/>
        </w:rPr>
        <w:t>NDICI</w:t>
      </w:r>
      <w:r>
        <w:rPr>
          <w:spacing w:val="-2"/>
          <w:sz w:val="24"/>
        </w:rPr>
        <w:t> </w:t>
      </w:r>
      <w:r>
        <w:rPr>
          <w:sz w:val="24"/>
        </w:rPr>
        <w:t>-</w:t>
      </w:r>
      <w:r>
        <w:rPr>
          <w:spacing w:val="-2"/>
          <w:sz w:val="24"/>
        </w:rPr>
        <w:t> </w:t>
      </w:r>
      <w:r>
        <w:rPr>
          <w:sz w:val="24"/>
        </w:rPr>
        <w:t>Global</w:t>
      </w:r>
      <w:r>
        <w:rPr>
          <w:spacing w:val="-2"/>
          <w:sz w:val="24"/>
        </w:rPr>
        <w:t> </w:t>
      </w:r>
      <w:r>
        <w:rPr>
          <w:sz w:val="24"/>
        </w:rPr>
        <w:t>Europe,</w:t>
      </w:r>
      <w:r>
        <w:rPr>
          <w:spacing w:val="-2"/>
          <w:sz w:val="24"/>
        </w:rPr>
        <w:t> </w:t>
      </w:r>
      <w:r>
        <w:rPr>
          <w:sz w:val="24"/>
        </w:rPr>
        <w:t>that</w:t>
      </w:r>
      <w:r>
        <w:rPr>
          <w:spacing w:val="-2"/>
          <w:sz w:val="24"/>
        </w:rPr>
        <w:t> </w:t>
      </w:r>
      <w:r>
        <w:rPr>
          <w:sz w:val="24"/>
        </w:rPr>
        <w:t>fulfil</w:t>
      </w:r>
      <w:r>
        <w:rPr>
          <w:spacing w:val="-3"/>
          <w:sz w:val="24"/>
        </w:rPr>
        <w:t> </w:t>
      </w:r>
      <w:r>
        <w:rPr>
          <w:sz w:val="24"/>
        </w:rPr>
        <w:t>the</w:t>
      </w:r>
      <w:r>
        <w:rPr>
          <w:spacing w:val="-2"/>
          <w:sz w:val="24"/>
        </w:rPr>
        <w:t> </w:t>
      </w:r>
      <w:r>
        <w:rPr>
          <w:sz w:val="24"/>
        </w:rPr>
        <w:t>criteria</w:t>
      </w:r>
      <w:r>
        <w:rPr>
          <w:spacing w:val="-2"/>
          <w:sz w:val="24"/>
        </w:rPr>
        <w:t> </w:t>
      </w:r>
      <w:r>
        <w:rPr>
          <w:sz w:val="24"/>
        </w:rPr>
        <w:t>of</w:t>
      </w:r>
      <w:r>
        <w:rPr>
          <w:spacing w:val="-3"/>
          <w:sz w:val="24"/>
        </w:rPr>
        <w:t> </w:t>
      </w:r>
      <w:r>
        <w:rPr>
          <w:sz w:val="24"/>
        </w:rPr>
        <w:t>political</w:t>
      </w:r>
      <w:r>
        <w:rPr>
          <w:spacing w:val="-2"/>
          <w:sz w:val="24"/>
        </w:rPr>
        <w:t> </w:t>
      </w:r>
      <w:r>
        <w:rPr>
          <w:sz w:val="24"/>
        </w:rPr>
        <w:t>desirability, legal eligibility, and practical and procedural feasibility.</w:t>
      </w:r>
    </w:p>
    <w:p>
      <w:pPr>
        <w:pStyle w:val="ListParagraph"/>
        <w:numPr>
          <w:ilvl w:val="1"/>
          <w:numId w:val="3"/>
        </w:numPr>
        <w:tabs>
          <w:tab w:pos="1090" w:val="left" w:leader="none"/>
          <w:tab w:pos="1091" w:val="left" w:leader="none"/>
        </w:tabs>
        <w:spacing w:line="240" w:lineRule="auto" w:before="0" w:after="0"/>
        <w:ind w:left="1090" w:right="902" w:hanging="360"/>
        <w:jc w:val="left"/>
        <w:rPr>
          <w:sz w:val="24"/>
        </w:rPr>
      </w:pPr>
      <w:r>
        <w:rPr>
          <w:sz w:val="24"/>
        </w:rPr>
        <w:t>Contribute</w:t>
      </w:r>
      <w:r>
        <w:rPr>
          <w:spacing w:val="-3"/>
          <w:sz w:val="24"/>
        </w:rPr>
        <w:t> </w:t>
      </w:r>
      <w:r>
        <w:rPr>
          <w:sz w:val="24"/>
        </w:rPr>
        <w:t>to</w:t>
      </w:r>
      <w:r>
        <w:rPr>
          <w:spacing w:val="-3"/>
          <w:sz w:val="24"/>
        </w:rPr>
        <w:t> </w:t>
      </w:r>
      <w:r>
        <w:rPr>
          <w:sz w:val="24"/>
        </w:rPr>
        <w:t>the</w:t>
      </w:r>
      <w:r>
        <w:rPr>
          <w:spacing w:val="-3"/>
          <w:sz w:val="24"/>
        </w:rPr>
        <w:t> </w:t>
      </w:r>
      <w:r>
        <w:rPr>
          <w:sz w:val="24"/>
        </w:rPr>
        <w:t>effective</w:t>
      </w:r>
      <w:r>
        <w:rPr>
          <w:spacing w:val="-3"/>
          <w:sz w:val="24"/>
        </w:rPr>
        <w:t> </w:t>
      </w:r>
      <w:r>
        <w:rPr>
          <w:sz w:val="24"/>
        </w:rPr>
        <w:t>identification,</w:t>
      </w:r>
      <w:r>
        <w:rPr>
          <w:spacing w:val="-3"/>
          <w:sz w:val="24"/>
        </w:rPr>
        <w:t> </w:t>
      </w:r>
      <w:r>
        <w:rPr>
          <w:sz w:val="24"/>
        </w:rPr>
        <w:t>formulation</w:t>
      </w:r>
      <w:r>
        <w:rPr>
          <w:spacing w:val="-3"/>
          <w:sz w:val="24"/>
        </w:rPr>
        <w:t> </w:t>
      </w:r>
      <w:r>
        <w:rPr>
          <w:sz w:val="24"/>
        </w:rPr>
        <w:t>and</w:t>
      </w:r>
      <w:r>
        <w:rPr>
          <w:spacing w:val="-5"/>
          <w:sz w:val="24"/>
        </w:rPr>
        <w:t> </w:t>
      </w:r>
      <w:r>
        <w:rPr>
          <w:sz w:val="24"/>
        </w:rPr>
        <w:t>implementation</w:t>
      </w:r>
      <w:r>
        <w:rPr>
          <w:spacing w:val="-3"/>
          <w:sz w:val="24"/>
        </w:rPr>
        <w:t> </w:t>
      </w:r>
      <w:r>
        <w:rPr>
          <w:sz w:val="24"/>
        </w:rPr>
        <w:t>of</w:t>
      </w:r>
      <w:r>
        <w:rPr>
          <w:spacing w:val="-4"/>
          <w:sz w:val="24"/>
        </w:rPr>
        <w:t> </w:t>
      </w:r>
      <w:r>
        <w:rPr>
          <w:sz w:val="24"/>
        </w:rPr>
        <w:t>actions</w:t>
      </w:r>
      <w:r>
        <w:rPr>
          <w:spacing w:val="-4"/>
          <w:sz w:val="24"/>
        </w:rPr>
        <w:t> </w:t>
      </w:r>
      <w:r>
        <w:rPr>
          <w:sz w:val="24"/>
        </w:rPr>
        <w:t>in</w:t>
      </w:r>
      <w:r>
        <w:rPr>
          <w:spacing w:val="-3"/>
          <w:sz w:val="24"/>
        </w:rPr>
        <w:t> </w:t>
      </w:r>
      <w:r>
        <w:rPr>
          <w:sz w:val="24"/>
        </w:rPr>
        <w:t>the geographical and thematic area covered.</w:t>
      </w:r>
    </w:p>
    <w:p>
      <w:pPr>
        <w:pStyle w:val="ListParagraph"/>
        <w:numPr>
          <w:ilvl w:val="1"/>
          <w:numId w:val="3"/>
        </w:numPr>
        <w:tabs>
          <w:tab w:pos="1090" w:val="left" w:leader="none"/>
          <w:tab w:pos="1091" w:val="left" w:leader="none"/>
        </w:tabs>
        <w:spacing w:line="240" w:lineRule="auto" w:before="0" w:after="0"/>
        <w:ind w:left="1090" w:right="278" w:hanging="360"/>
        <w:jc w:val="left"/>
        <w:rPr>
          <w:sz w:val="24"/>
        </w:rPr>
      </w:pPr>
      <w:r>
        <w:rPr>
          <w:sz w:val="24"/>
        </w:rPr>
        <w:t>Under</w:t>
      </w:r>
      <w:r>
        <w:rPr>
          <w:spacing w:val="-3"/>
          <w:sz w:val="24"/>
        </w:rPr>
        <w:t> </w:t>
      </w:r>
      <w:r>
        <w:rPr>
          <w:sz w:val="24"/>
        </w:rPr>
        <w:t>the</w:t>
      </w:r>
      <w:r>
        <w:rPr>
          <w:spacing w:val="-3"/>
          <w:sz w:val="24"/>
        </w:rPr>
        <w:t> </w:t>
      </w:r>
      <w:r>
        <w:rPr>
          <w:sz w:val="24"/>
        </w:rPr>
        <w:t>supervision</w:t>
      </w:r>
      <w:r>
        <w:rPr>
          <w:spacing w:val="-3"/>
          <w:sz w:val="24"/>
        </w:rPr>
        <w:t> </w:t>
      </w:r>
      <w:r>
        <w:rPr>
          <w:sz w:val="24"/>
        </w:rPr>
        <w:t>of</w:t>
      </w:r>
      <w:r>
        <w:rPr>
          <w:spacing w:val="-4"/>
          <w:sz w:val="24"/>
        </w:rPr>
        <w:t> </w:t>
      </w:r>
      <w:r>
        <w:rPr>
          <w:sz w:val="24"/>
        </w:rPr>
        <w:t>an</w:t>
      </w:r>
      <w:r>
        <w:rPr>
          <w:spacing w:val="-3"/>
          <w:sz w:val="24"/>
        </w:rPr>
        <w:t> </w:t>
      </w:r>
      <w:r>
        <w:rPr>
          <w:sz w:val="24"/>
        </w:rPr>
        <w:t>administrator,</w:t>
      </w:r>
      <w:r>
        <w:rPr>
          <w:spacing w:val="-3"/>
          <w:sz w:val="24"/>
        </w:rPr>
        <w:t> </w:t>
      </w:r>
      <w:r>
        <w:rPr>
          <w:sz w:val="24"/>
        </w:rPr>
        <w:t>prepare</w:t>
      </w:r>
      <w:r>
        <w:rPr>
          <w:spacing w:val="-4"/>
          <w:sz w:val="24"/>
        </w:rPr>
        <w:t> </w:t>
      </w:r>
      <w:r>
        <w:rPr>
          <w:sz w:val="24"/>
        </w:rPr>
        <w:t>financing</w:t>
      </w:r>
      <w:r>
        <w:rPr>
          <w:spacing w:val="-3"/>
          <w:sz w:val="24"/>
        </w:rPr>
        <w:t> </w:t>
      </w:r>
      <w:r>
        <w:rPr>
          <w:sz w:val="24"/>
        </w:rPr>
        <w:t>decisions</w:t>
      </w:r>
      <w:r>
        <w:rPr>
          <w:spacing w:val="-3"/>
          <w:sz w:val="24"/>
        </w:rPr>
        <w:t> </w:t>
      </w:r>
      <w:r>
        <w:rPr>
          <w:sz w:val="24"/>
        </w:rPr>
        <w:t>and</w:t>
      </w:r>
      <w:r>
        <w:rPr>
          <w:spacing w:val="-5"/>
          <w:sz w:val="24"/>
        </w:rPr>
        <w:t> </w:t>
      </w:r>
      <w:r>
        <w:rPr>
          <w:sz w:val="24"/>
        </w:rPr>
        <w:t>associated</w:t>
      </w:r>
      <w:r>
        <w:rPr>
          <w:spacing w:val="-3"/>
          <w:sz w:val="24"/>
        </w:rPr>
        <w:t> </w:t>
      </w:r>
      <w:r>
        <w:rPr>
          <w:sz w:val="24"/>
        </w:rPr>
        <w:t>documents for timely adoption.</w:t>
      </w:r>
    </w:p>
    <w:p>
      <w:pPr>
        <w:pStyle w:val="BodyText"/>
        <w:spacing w:before="6"/>
        <w:rPr>
          <w:sz w:val="24"/>
        </w:rPr>
      </w:pPr>
    </w:p>
    <w:p>
      <w:pPr>
        <w:pStyle w:val="ListParagraph"/>
        <w:numPr>
          <w:ilvl w:val="0"/>
          <w:numId w:val="3"/>
        </w:numPr>
        <w:tabs>
          <w:tab w:pos="796" w:val="left" w:leader="none"/>
          <w:tab w:pos="797" w:val="left" w:leader="none"/>
        </w:tabs>
        <w:spacing w:line="240" w:lineRule="auto" w:before="1" w:after="0"/>
        <w:ind w:left="796" w:right="0" w:hanging="427"/>
        <w:jc w:val="left"/>
        <w:rPr>
          <w:b/>
          <w:sz w:val="24"/>
        </w:rPr>
      </w:pPr>
      <w:r>
        <w:rPr>
          <w:b/>
          <w:sz w:val="24"/>
          <w:u w:val="single"/>
        </w:rPr>
        <w:t>Main</w:t>
      </w:r>
      <w:r>
        <w:rPr>
          <w:b/>
          <w:spacing w:val="-1"/>
          <w:sz w:val="24"/>
          <w:u w:val="single"/>
        </w:rPr>
        <w:t> </w:t>
      </w:r>
      <w:r>
        <w:rPr>
          <w:b/>
          <w:spacing w:val="-2"/>
          <w:sz w:val="24"/>
          <w:u w:val="single"/>
        </w:rPr>
        <w:t>qualifications</w:t>
      </w:r>
    </w:p>
    <w:p>
      <w:pPr>
        <w:pStyle w:val="BodyText"/>
        <w:spacing w:before="1"/>
        <w:rPr>
          <w:b/>
          <w:sz w:val="16"/>
        </w:rPr>
      </w:pPr>
    </w:p>
    <w:p>
      <w:pPr>
        <w:pStyle w:val="Heading1"/>
        <w:numPr>
          <w:ilvl w:val="0"/>
          <w:numId w:val="4"/>
        </w:numPr>
        <w:tabs>
          <w:tab w:pos="1036" w:val="left" w:leader="none"/>
        </w:tabs>
        <w:spacing w:line="240" w:lineRule="auto" w:before="90" w:after="0"/>
        <w:ind w:left="1035" w:right="0" w:hanging="240"/>
        <w:jc w:val="left"/>
      </w:pPr>
      <w:r>
        <w:rPr/>
        <w:t>Eligibility</w:t>
      </w:r>
      <w:r>
        <w:rPr>
          <w:spacing w:val="-12"/>
        </w:rPr>
        <w:t> </w:t>
      </w:r>
      <w:r>
        <w:rPr>
          <w:spacing w:val="-2"/>
        </w:rPr>
        <w:t>criteria</w:t>
      </w:r>
    </w:p>
    <w:p>
      <w:pPr>
        <w:pStyle w:val="BodyText"/>
        <w:spacing w:before="10"/>
        <w:rPr>
          <w:b/>
          <w:sz w:val="21"/>
        </w:rPr>
      </w:pPr>
    </w:p>
    <w:p>
      <w:pPr>
        <w:pStyle w:val="BodyText"/>
        <w:ind w:left="796" w:right="106"/>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pPr>
    </w:p>
    <w:p>
      <w:pPr>
        <w:pStyle w:val="ListParagraph"/>
        <w:numPr>
          <w:ilvl w:val="0"/>
          <w:numId w:val="5"/>
        </w:numPr>
        <w:tabs>
          <w:tab w:pos="1081" w:val="left" w:leader="none"/>
        </w:tabs>
        <w:spacing w:line="240" w:lineRule="auto" w:before="1" w:after="0"/>
        <w:ind w:left="1080" w:right="107"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0"/>
        <w:rPr>
          <w:sz w:val="21"/>
        </w:rPr>
      </w:pPr>
    </w:p>
    <w:p>
      <w:pPr>
        <w:pStyle w:val="ListParagraph"/>
        <w:numPr>
          <w:ilvl w:val="0"/>
          <w:numId w:val="5"/>
        </w:numPr>
        <w:tabs>
          <w:tab w:pos="1081" w:val="left" w:leader="none"/>
        </w:tabs>
        <w:spacing w:line="240" w:lineRule="auto" w:before="0"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pPr>
    </w:p>
    <w:p>
      <w:pPr>
        <w:pStyle w:val="ListParagraph"/>
        <w:numPr>
          <w:ilvl w:val="0"/>
          <w:numId w:val="5"/>
        </w:numPr>
        <w:tabs>
          <w:tab w:pos="1081" w:val="left" w:leader="none"/>
        </w:tabs>
        <w:spacing w:line="240" w:lineRule="auto" w:before="0"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2"/>
        <w:rPr>
          <w:sz w:val="24"/>
        </w:rPr>
      </w:pPr>
    </w:p>
    <w:p>
      <w:pPr>
        <w:pStyle w:val="Heading1"/>
        <w:numPr>
          <w:ilvl w:val="0"/>
          <w:numId w:val="4"/>
        </w:numPr>
        <w:tabs>
          <w:tab w:pos="1079" w:val="left" w:leader="none"/>
        </w:tabs>
        <w:spacing w:line="240" w:lineRule="auto" w:before="0" w:after="0"/>
        <w:ind w:left="1078" w:right="0" w:hanging="283"/>
        <w:jc w:val="left"/>
      </w:pPr>
      <w:r>
        <w:rPr>
          <w:u w:val="single"/>
        </w:rPr>
        <w:t>Selection</w:t>
      </w:r>
      <w:r>
        <w:rPr>
          <w:spacing w:val="-12"/>
          <w:u w:val="single"/>
        </w:rPr>
        <w:t> </w:t>
      </w:r>
      <w:r>
        <w:rPr>
          <w:spacing w:val="-2"/>
          <w:u w:val="single"/>
        </w:rPr>
        <w:t>criteria</w:t>
      </w:r>
    </w:p>
    <w:p>
      <w:pPr>
        <w:pStyle w:val="BodyText"/>
        <w:rPr>
          <w:b/>
          <w:sz w:val="16"/>
        </w:rPr>
      </w:pPr>
    </w:p>
    <w:p>
      <w:pPr>
        <w:pStyle w:val="BodyText"/>
        <w:spacing w:before="90"/>
        <w:ind w:left="1080"/>
      </w:pPr>
      <w:r>
        <w:rPr>
          <w:spacing w:val="-2"/>
          <w:u w:val="single"/>
        </w:rPr>
        <w:t>Diploma</w:t>
      </w:r>
    </w:p>
    <w:p>
      <w:pPr>
        <w:pStyle w:val="ListParagraph"/>
        <w:numPr>
          <w:ilvl w:val="1"/>
          <w:numId w:val="4"/>
        </w:numPr>
        <w:tabs>
          <w:tab w:pos="1209" w:val="left" w:leader="none"/>
        </w:tabs>
        <w:spacing w:line="240" w:lineRule="auto" w:before="0" w:after="0"/>
        <w:ind w:left="1208" w:right="0" w:hanging="129"/>
        <w:jc w:val="left"/>
        <w:rPr>
          <w:sz w:val="22"/>
        </w:rPr>
      </w:pPr>
      <w:r>
        <w:rPr>
          <w:sz w:val="22"/>
        </w:rPr>
        <w:t>university</w:t>
      </w:r>
      <w:r>
        <w:rPr>
          <w:spacing w:val="-11"/>
          <w:sz w:val="22"/>
        </w:rPr>
        <w:t> </w:t>
      </w:r>
      <w:r>
        <w:rPr>
          <w:sz w:val="22"/>
        </w:rPr>
        <w:t>degree</w:t>
      </w:r>
      <w:r>
        <w:rPr>
          <w:spacing w:val="-11"/>
          <w:sz w:val="22"/>
        </w:rPr>
        <w:t> </w:t>
      </w:r>
      <w:r>
        <w:rPr>
          <w:spacing w:val="-5"/>
          <w:sz w:val="22"/>
        </w:rPr>
        <w:t>or</w:t>
      </w:r>
    </w:p>
    <w:p>
      <w:pPr>
        <w:pStyle w:val="ListParagraph"/>
        <w:numPr>
          <w:ilvl w:val="1"/>
          <w:numId w:val="4"/>
        </w:numPr>
        <w:tabs>
          <w:tab w:pos="1209" w:val="left" w:leader="none"/>
        </w:tabs>
        <w:spacing w:line="240" w:lineRule="auto" w:before="1" w:after="0"/>
        <w:ind w:left="1208" w:right="0" w:hanging="130"/>
        <w:jc w:val="left"/>
        <w:rPr>
          <w:sz w:val="22"/>
        </w:rPr>
      </w:pPr>
      <w:r>
        <w:rPr>
          <w:sz w:val="22"/>
        </w:rPr>
        <w:t>professional</w:t>
      </w:r>
      <w:r>
        <w:rPr>
          <w:spacing w:val="-9"/>
          <w:sz w:val="22"/>
        </w:rPr>
        <w:t> </w:t>
      </w:r>
      <w:r>
        <w:rPr>
          <w:sz w:val="22"/>
        </w:rPr>
        <w:t>training</w:t>
      </w:r>
      <w:r>
        <w:rPr>
          <w:spacing w:val="-9"/>
          <w:sz w:val="22"/>
        </w:rPr>
        <w:t> </w:t>
      </w:r>
      <w:r>
        <w:rPr>
          <w:sz w:val="22"/>
        </w:rPr>
        <w:t>or</w:t>
      </w:r>
      <w:r>
        <w:rPr>
          <w:spacing w:val="-10"/>
          <w:sz w:val="22"/>
        </w:rPr>
        <w:t> </w:t>
      </w:r>
      <w:r>
        <w:rPr>
          <w:sz w:val="22"/>
        </w:rPr>
        <w:t>professional</w:t>
      </w:r>
      <w:r>
        <w:rPr>
          <w:spacing w:val="-9"/>
          <w:sz w:val="22"/>
        </w:rPr>
        <w:t> </w:t>
      </w:r>
      <w:r>
        <w:rPr>
          <w:sz w:val="22"/>
        </w:rPr>
        <w:t>experience</w:t>
      </w:r>
      <w:r>
        <w:rPr>
          <w:spacing w:val="-10"/>
          <w:sz w:val="22"/>
        </w:rPr>
        <w:t> </w:t>
      </w:r>
      <w:r>
        <w:rPr>
          <w:sz w:val="22"/>
        </w:rPr>
        <w:t>of</w:t>
      </w:r>
      <w:r>
        <w:rPr>
          <w:spacing w:val="-8"/>
          <w:sz w:val="22"/>
        </w:rPr>
        <w:t> </w:t>
      </w:r>
      <w:r>
        <w:rPr>
          <w:sz w:val="22"/>
        </w:rPr>
        <w:t>an</w:t>
      </w:r>
      <w:r>
        <w:rPr>
          <w:spacing w:val="-9"/>
          <w:sz w:val="22"/>
        </w:rPr>
        <w:t> </w:t>
      </w:r>
      <w:r>
        <w:rPr>
          <w:sz w:val="22"/>
        </w:rPr>
        <w:t>equivalent</w:t>
      </w:r>
      <w:r>
        <w:rPr>
          <w:spacing w:val="-9"/>
          <w:sz w:val="22"/>
        </w:rPr>
        <w:t> </w:t>
      </w:r>
      <w:r>
        <w:rPr>
          <w:spacing w:val="-2"/>
          <w:sz w:val="22"/>
        </w:rPr>
        <w:t>level</w:t>
      </w:r>
    </w:p>
    <w:p>
      <w:pPr>
        <w:pStyle w:val="BodyText"/>
      </w:pPr>
    </w:p>
    <w:p>
      <w:pPr>
        <w:pStyle w:val="BodyText"/>
        <w:ind w:left="1190"/>
      </w:pPr>
      <w:r>
        <w:rPr/>
        <w:t>in</w:t>
      </w:r>
      <w:r>
        <w:rPr>
          <w:spacing w:val="-5"/>
        </w:rPr>
        <w:t> </w:t>
      </w:r>
      <w:r>
        <w:rPr/>
        <w:t>the</w:t>
      </w:r>
      <w:r>
        <w:rPr>
          <w:spacing w:val="-6"/>
        </w:rPr>
        <w:t> </w:t>
      </w:r>
      <w:r>
        <w:rPr/>
        <w:t>field(s)</w:t>
      </w:r>
      <w:r>
        <w:rPr>
          <w:spacing w:val="-4"/>
        </w:rPr>
        <w:t> </w:t>
      </w:r>
      <w:r>
        <w:rPr>
          <w:spacing w:val="-10"/>
        </w:rPr>
        <w:t>:</w:t>
      </w:r>
    </w:p>
    <w:p>
      <w:pPr>
        <w:pStyle w:val="BodyText"/>
        <w:spacing w:line="480" w:lineRule="auto"/>
        <w:ind w:left="1080" w:right="1529"/>
      </w:pPr>
      <w:r>
        <w:rPr/>
        <w:t>International</w:t>
      </w:r>
      <w:r>
        <w:rPr>
          <w:spacing w:val="-6"/>
        </w:rPr>
        <w:t> </w:t>
      </w:r>
      <w:r>
        <w:rPr/>
        <w:t>relations;</w:t>
      </w:r>
      <w:r>
        <w:rPr>
          <w:spacing w:val="-5"/>
        </w:rPr>
        <w:t> </w:t>
      </w:r>
      <w:r>
        <w:rPr/>
        <w:t>crisis</w:t>
      </w:r>
      <w:r>
        <w:rPr>
          <w:spacing w:val="-6"/>
        </w:rPr>
        <w:t> </w:t>
      </w:r>
      <w:r>
        <w:rPr/>
        <w:t>response;</w:t>
      </w:r>
      <w:r>
        <w:rPr>
          <w:spacing w:val="-5"/>
        </w:rPr>
        <w:t> </w:t>
      </w:r>
      <w:r>
        <w:rPr/>
        <w:t>mediation</w:t>
      </w:r>
      <w:r>
        <w:rPr>
          <w:spacing w:val="-5"/>
        </w:rPr>
        <w:t> </w:t>
      </w:r>
      <w:r>
        <w:rPr/>
        <w:t>and</w:t>
      </w:r>
      <w:r>
        <w:rPr>
          <w:spacing w:val="-5"/>
        </w:rPr>
        <w:t> </w:t>
      </w:r>
      <w:r>
        <w:rPr/>
        <w:t>peacebuilding</w:t>
      </w:r>
      <w:r>
        <w:rPr>
          <w:spacing w:val="-5"/>
        </w:rPr>
        <w:t> </w:t>
      </w:r>
      <w:r>
        <w:rPr/>
        <w:t>(desirable). </w:t>
      </w:r>
      <w:r>
        <w:rPr>
          <w:u w:val="single"/>
        </w:rPr>
        <w:t>Professional experience</w:t>
      </w:r>
    </w:p>
    <w:p>
      <w:pPr>
        <w:pStyle w:val="BodyText"/>
        <w:ind w:left="1080" w:right="168"/>
        <w:jc w:val="both"/>
      </w:pPr>
      <w:r>
        <w:rPr/>
        <w:t>Experience of policy coordination work as geographic or thematic desk officer. Experience in the mine action sector an asset and familiarity with programme preparation and project management an advantage. Combination of both types of experience and thematic expertise highly desirable.</w:t>
      </w:r>
    </w:p>
    <w:p>
      <w:pPr>
        <w:pStyle w:val="BodyText"/>
        <w:spacing w:before="11"/>
        <w:rPr>
          <w:sz w:val="21"/>
        </w:rPr>
      </w:pPr>
    </w:p>
    <w:p>
      <w:pPr>
        <w:pStyle w:val="BodyText"/>
        <w:ind w:left="1080"/>
        <w:jc w:val="both"/>
      </w:pPr>
      <w:r>
        <w:rPr>
          <w:u w:val="single"/>
        </w:rPr>
        <w:t>Language(s)</w:t>
      </w:r>
      <w:r>
        <w:rPr>
          <w:spacing w:val="-9"/>
          <w:u w:val="single"/>
        </w:rPr>
        <w:t> </w:t>
      </w:r>
      <w:r>
        <w:rPr>
          <w:u w:val="single"/>
        </w:rPr>
        <w:t>necessary</w:t>
      </w:r>
      <w:r>
        <w:rPr>
          <w:spacing w:val="-7"/>
          <w:u w:val="single"/>
        </w:rPr>
        <w:t> </w:t>
      </w:r>
      <w:r>
        <w:rPr>
          <w:u w:val="single"/>
        </w:rPr>
        <w:t>for</w:t>
      </w:r>
      <w:r>
        <w:rPr>
          <w:spacing w:val="-10"/>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spacing w:before="2"/>
        <w:rPr>
          <w:sz w:val="14"/>
        </w:rPr>
      </w:pPr>
    </w:p>
    <w:p>
      <w:pPr>
        <w:pStyle w:val="BodyText"/>
        <w:spacing w:before="91"/>
        <w:ind w:left="1080"/>
      </w:pPr>
      <w:r>
        <w:rPr>
          <w:u w:val="single"/>
        </w:rPr>
        <w:t>English</w:t>
      </w:r>
      <w:r>
        <w:rPr>
          <w:spacing w:val="-7"/>
          <w:u w:val="single"/>
        </w:rPr>
        <w:t> </w:t>
      </w:r>
      <w:r>
        <w:rPr>
          <w:u w:val="single"/>
        </w:rPr>
        <w:t>C2;</w:t>
      </w:r>
      <w:r>
        <w:rPr>
          <w:spacing w:val="-7"/>
          <w:u w:val="single"/>
        </w:rPr>
        <w:t> </w:t>
      </w:r>
      <w:r>
        <w:rPr>
          <w:u w:val="single"/>
        </w:rPr>
        <w:t>French</w:t>
      </w:r>
      <w:r>
        <w:rPr>
          <w:spacing w:val="-7"/>
          <w:u w:val="single"/>
        </w:rPr>
        <w:t> </w:t>
      </w:r>
      <w:r>
        <w:rPr>
          <w:u w:val="single"/>
        </w:rPr>
        <w:t>A1</w:t>
      </w:r>
      <w:r>
        <w:rPr>
          <w:b/>
        </w:rPr>
        <w:t>;</w:t>
      </w:r>
      <w:r>
        <w:rPr>
          <w:b/>
          <w:spacing w:val="-6"/>
        </w:rPr>
        <w:t> </w:t>
      </w:r>
      <w:r>
        <w:rPr/>
        <w:t>Ukrainian</w:t>
      </w:r>
      <w:r>
        <w:rPr>
          <w:spacing w:val="-7"/>
        </w:rPr>
        <w:t> </w:t>
      </w:r>
      <w:r>
        <w:rPr/>
        <w:t>and/or</w:t>
      </w:r>
      <w:r>
        <w:rPr>
          <w:spacing w:val="-7"/>
        </w:rPr>
        <w:t> </w:t>
      </w:r>
      <w:r>
        <w:rPr/>
        <w:t>Russian</w:t>
      </w:r>
      <w:r>
        <w:rPr>
          <w:spacing w:val="-7"/>
        </w:rPr>
        <w:t> </w:t>
      </w:r>
      <w:r>
        <w:rPr/>
        <w:t>would</w:t>
      </w:r>
      <w:r>
        <w:rPr>
          <w:spacing w:val="-7"/>
        </w:rPr>
        <w:t> </w:t>
      </w:r>
      <w:r>
        <w:rPr/>
        <w:t>be</w:t>
      </w:r>
      <w:r>
        <w:rPr>
          <w:spacing w:val="-7"/>
        </w:rPr>
        <w:t> </w:t>
      </w:r>
      <w:r>
        <w:rPr/>
        <w:t>an</w:t>
      </w:r>
      <w:r>
        <w:rPr>
          <w:spacing w:val="-7"/>
        </w:rPr>
        <w:t> </w:t>
      </w:r>
      <w:r>
        <w:rPr>
          <w:spacing w:val="-2"/>
        </w:rPr>
        <w:t>asset.</w:t>
      </w:r>
    </w:p>
    <w:p>
      <w:pPr>
        <w:pStyle w:val="BodyText"/>
        <w:spacing w:before="1"/>
      </w:pPr>
    </w:p>
    <w:p>
      <w:pPr>
        <w:pStyle w:val="ListParagraph"/>
        <w:numPr>
          <w:ilvl w:val="0"/>
          <w:numId w:val="3"/>
        </w:numPr>
        <w:tabs>
          <w:tab w:pos="796" w:val="left" w:leader="none"/>
          <w:tab w:pos="797" w:val="left" w:leader="none"/>
        </w:tabs>
        <w:spacing w:line="240" w:lineRule="auto" w:before="1"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spacing w:after="0" w:line="240" w:lineRule="auto"/>
        <w:jc w:val="left"/>
        <w:rPr>
          <w:sz w:val="24"/>
        </w:rPr>
        <w:sectPr>
          <w:pgSz w:w="11910" w:h="16840"/>
          <w:pgMar w:header="0" w:footer="690" w:top="1040" w:bottom="880" w:left="480" w:right="740"/>
        </w:sectPr>
      </w:pPr>
    </w:p>
    <w:p>
      <w:pPr>
        <w:spacing w:before="74"/>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6" w:right="64"/>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 certificate of professional experience, etc.). If necessary, these will be requested at a later stage.</w:t>
      </w:r>
    </w:p>
    <w:p>
      <w:pPr>
        <w:pStyle w:val="BodyText"/>
        <w:spacing w:line="252" w:lineRule="exact"/>
        <w:ind w:left="796"/>
      </w:pPr>
      <w:r>
        <w:rPr/>
        <w:t>Candidates</w:t>
      </w:r>
      <w:r>
        <w:rPr>
          <w:spacing w:val="-7"/>
        </w:rPr>
        <w:t> </w:t>
      </w:r>
      <w:r>
        <w:rPr/>
        <w:t>will</w:t>
      </w:r>
      <w:r>
        <w:rPr>
          <w:spacing w:val="-6"/>
        </w:rPr>
        <w:t> </w:t>
      </w:r>
      <w:r>
        <w:rPr/>
        <w:t>be</w:t>
      </w:r>
      <w:r>
        <w:rPr>
          <w:spacing w:val="-7"/>
        </w:rPr>
        <w:t> </w:t>
      </w:r>
      <w:r>
        <w:rPr/>
        <w:t>informed</w:t>
      </w:r>
      <w:r>
        <w:rPr>
          <w:spacing w:val="-5"/>
        </w:rPr>
        <w:t> </w:t>
      </w:r>
      <w:r>
        <w:rPr/>
        <w:t>of</w:t>
      </w:r>
      <w:r>
        <w:rPr>
          <w:spacing w:val="-6"/>
        </w:rPr>
        <w:t> </w:t>
      </w:r>
      <w:r>
        <w:rPr/>
        <w:t>the</w:t>
      </w:r>
      <w:r>
        <w:rPr>
          <w:spacing w:val="-7"/>
        </w:rPr>
        <w:t> </w:t>
      </w:r>
      <w:r>
        <w:rPr/>
        <w:t>follow-up</w:t>
      </w:r>
      <w:r>
        <w:rPr>
          <w:spacing w:val="-6"/>
        </w:rPr>
        <w:t> </w:t>
      </w:r>
      <w:r>
        <w:rPr/>
        <w:t>of</w:t>
      </w:r>
      <w:r>
        <w:rPr>
          <w:spacing w:val="-5"/>
        </w:rPr>
        <w:t> </w:t>
      </w:r>
      <w:r>
        <w:rPr/>
        <w:t>their</w:t>
      </w:r>
      <w:r>
        <w:rPr>
          <w:spacing w:val="-7"/>
        </w:rPr>
        <w:t> </w:t>
      </w:r>
      <w:r>
        <w:rPr/>
        <w:t>application</w:t>
      </w:r>
      <w:r>
        <w:rPr>
          <w:spacing w:val="-6"/>
        </w:rPr>
        <w:t> </w:t>
      </w:r>
      <w:r>
        <w:rPr/>
        <w:t>by</w:t>
      </w:r>
      <w:r>
        <w:rPr>
          <w:spacing w:val="-6"/>
        </w:rPr>
        <w:t> </w:t>
      </w:r>
      <w:r>
        <w:rPr/>
        <w:t>the</w:t>
      </w:r>
      <w:r>
        <w:rPr>
          <w:spacing w:val="-6"/>
        </w:rPr>
        <w:t> </w:t>
      </w:r>
      <w:r>
        <w:rPr/>
        <w:t>unit</w:t>
      </w:r>
      <w:r>
        <w:rPr>
          <w:spacing w:val="-6"/>
        </w:rPr>
        <w:t> </w:t>
      </w:r>
      <w:r>
        <w:rPr>
          <w:spacing w:val="-2"/>
        </w:rPr>
        <w:t>concerned.</w:t>
      </w:r>
    </w:p>
    <w:p>
      <w:pPr>
        <w:pStyle w:val="ListParagraph"/>
        <w:numPr>
          <w:ilvl w:val="0"/>
          <w:numId w:val="3"/>
        </w:numPr>
        <w:tabs>
          <w:tab w:pos="796" w:val="left" w:leader="none"/>
          <w:tab w:pos="797" w:val="left" w:leader="none"/>
        </w:tabs>
        <w:spacing w:line="240" w:lineRule="auto" w:before="2"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rPr>
          <w:b/>
          <w:sz w:val="16"/>
        </w:rPr>
      </w:pPr>
    </w:p>
    <w:p>
      <w:pPr>
        <w:pStyle w:val="BodyText"/>
        <w:spacing w:before="90"/>
        <w:ind w:left="796" w:right="284"/>
        <w:jc w:val="both"/>
      </w:pPr>
      <w:r>
        <w:rPr/>
        <w:t>The secondment will be governed by the </w:t>
      </w:r>
      <w:r>
        <w:rPr>
          <w:b/>
        </w:rPr>
        <w:t>Commission Decision C(2008)6866 of 12/11/2008 </w:t>
      </w:r>
      <w:r>
        <w:rPr/>
        <w:t>laying down rules on the secondment to the Commission of national experts and national experts in professional training (SNE Decision). This decision is available on </w:t>
      </w:r>
      <w:hyperlink r:id="rId9">
        <w:r>
          <w:rPr>
            <w:color w:val="0000FF"/>
            <w:u w:val="single" w:color="0000FF"/>
          </w:rPr>
          <w:t>http://ec.europa.eu/civil_service/job/sne/index_en.htm</w:t>
        </w:r>
        <w:r>
          <w:rPr/>
          <w:t>.</w:t>
        </w:r>
      </w:hyperlink>
    </w:p>
    <w:p>
      <w:pPr>
        <w:pStyle w:val="BodyText"/>
        <w:ind w:left="796" w:right="285"/>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pPr>
    </w:p>
    <w:p>
      <w:pPr>
        <w:pStyle w:val="BodyText"/>
        <w:ind w:left="796" w:right="283"/>
        <w:jc w:val="both"/>
      </w:pPr>
      <w:r>
        <w:rPr/>
        <w:t>During the secondment, SNE are subject to confidentiality, loyalty and absence of conflict of interest obligations, as provided for in Art. 6 and 7 of the SNE Decision.</w:t>
      </w:r>
    </w:p>
    <w:p>
      <w:pPr>
        <w:pStyle w:val="BodyText"/>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7"/>
        </w:rPr>
        <w:t> </w:t>
      </w:r>
      <w:r>
        <w:rPr/>
        <w:t>or</w:t>
      </w:r>
      <w:r>
        <w:rPr>
          <w:spacing w:val="-7"/>
        </w:rPr>
        <w:t> </w:t>
      </w:r>
      <w:r>
        <w:rPr/>
        <w:t>missing,</w:t>
      </w:r>
      <w:r>
        <w:rPr>
          <w:spacing w:val="-7"/>
        </w:rPr>
        <w:t> </w:t>
      </w:r>
      <w:r>
        <w:rPr/>
        <w:t>the</w:t>
      </w:r>
      <w:r>
        <w:rPr>
          <w:spacing w:val="-7"/>
        </w:rPr>
        <w:t> </w:t>
      </w:r>
      <w:r>
        <w:rPr/>
        <w:t>application</w:t>
      </w:r>
      <w:r>
        <w:rPr>
          <w:spacing w:val="-7"/>
        </w:rPr>
        <w:t> </w:t>
      </w:r>
      <w:r>
        <w:rPr/>
        <w:t>may</w:t>
      </w:r>
      <w:r>
        <w:rPr>
          <w:spacing w:val="-6"/>
        </w:rPr>
        <w:t> </w:t>
      </w:r>
      <w:r>
        <w:rPr/>
        <w:t>be</w:t>
      </w:r>
      <w:r>
        <w:rPr>
          <w:spacing w:val="-8"/>
        </w:rPr>
        <w:t> </w:t>
      </w:r>
      <w:r>
        <w:rPr>
          <w:spacing w:val="-2"/>
        </w:rPr>
        <w:t>cancelled.</w:t>
      </w:r>
    </w:p>
    <w:p>
      <w:pPr>
        <w:pStyle w:val="BodyText"/>
        <w:spacing w:before="1"/>
      </w:pPr>
    </w:p>
    <w:p>
      <w:pPr>
        <w:pStyle w:val="BodyText"/>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ind w:left="796" w:right="111"/>
        <w:jc w:val="both"/>
      </w:pPr>
      <w:r>
        <w:rPr/>
        <w:t>The selected candidate has the obligation to launch the vetting procedure before getting the secondment </w:t>
      </w:r>
      <w:r>
        <w:rPr>
          <w:spacing w:val="-2"/>
        </w:rPr>
        <w:t>confirmation.</w:t>
      </w:r>
    </w:p>
    <w:p>
      <w:pPr>
        <w:pStyle w:val="BodyText"/>
        <w:spacing w:before="1"/>
        <w:rPr>
          <w:sz w:val="24"/>
        </w:rPr>
      </w:pPr>
    </w:p>
    <w:p>
      <w:pPr>
        <w:pStyle w:val="ListParagraph"/>
        <w:numPr>
          <w:ilvl w:val="0"/>
          <w:numId w:val="3"/>
        </w:numPr>
        <w:tabs>
          <w:tab w:pos="796" w:val="left" w:leader="none"/>
          <w:tab w:pos="797" w:val="left" w:leader="none"/>
        </w:tabs>
        <w:spacing w:line="240" w:lineRule="auto" w:before="0"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rPr>
          <w:b/>
          <w:sz w:val="16"/>
        </w:rPr>
      </w:pPr>
    </w:p>
    <w:p>
      <w:pPr>
        <w:pStyle w:val="BodyText"/>
        <w:spacing w:before="91"/>
        <w:ind w:left="796" w:right="283"/>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6" w:right="284"/>
        <w:jc w:val="both"/>
      </w:pPr>
      <w:r>
        <w:rPr/>
        <w:t>Data is kept by the competent services for 10 years after the secondment (2 years for not selected or not seconded experts).</w:t>
      </w:r>
    </w:p>
    <w:p>
      <w:pPr>
        <w:pStyle w:val="BodyText"/>
        <w:ind w:left="796" w:right="28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5"/>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pPr>
    </w:p>
    <w:p>
      <w:pPr>
        <w:pStyle w:val="Heading1"/>
        <w:ind w:left="796" w:firstLine="0"/>
      </w:pPr>
      <w:r>
        <w:rPr>
          <w:u w:val="single"/>
        </w:rPr>
        <w:t>Contact</w:t>
      </w:r>
      <w:r>
        <w:rPr>
          <w:spacing w:val="-10"/>
          <w:u w:val="single"/>
        </w:rPr>
        <w:t> </w:t>
      </w:r>
      <w:r>
        <w:rPr>
          <w:spacing w:val="-2"/>
          <w:u w:val="single"/>
        </w:rPr>
        <w:t>information</w:t>
      </w:r>
    </w:p>
    <w:p>
      <w:pPr>
        <w:pStyle w:val="BodyText"/>
        <w:spacing w:before="1"/>
        <w:rPr>
          <w:b/>
        </w:rPr>
      </w:pPr>
    </w:p>
    <w:p>
      <w:pPr>
        <w:pStyle w:val="ListParagraph"/>
        <w:numPr>
          <w:ilvl w:val="0"/>
          <w:numId w:val="6"/>
        </w:numPr>
        <w:tabs>
          <w:tab w:pos="1079" w:val="left" w:leader="none"/>
        </w:tabs>
        <w:spacing w:line="240" w:lineRule="auto" w:before="0" w:after="0"/>
        <w:ind w:left="1078" w:right="0" w:hanging="283"/>
        <w:jc w:val="both"/>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spacing w:before="36"/>
        <w:ind w:left="1080" w:right="280"/>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 a complaint</w:t>
      </w:r>
      <w:r>
        <w:rPr>
          <w:spacing w:val="-1"/>
        </w:rPr>
        <w:t> </w:t>
      </w:r>
      <w:r>
        <w:rPr/>
        <w:t>regarding 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10">
        <w:r>
          <w:rPr>
            <w:color w:val="0000FF"/>
            <w:u w:val="single" w:color="0000FF"/>
          </w:rPr>
          <w:t>HR-MAIL-</w:t>
        </w:r>
      </w:hyperlink>
      <w:r>
        <w:rPr>
          <w:color w:val="0000FF"/>
          <w:spacing w:val="40"/>
        </w:rPr>
        <w:t> </w:t>
      </w:r>
      <w:hyperlink r:id="rId10">
        <w:r>
          <w:rPr>
            <w:color w:val="0000FF"/>
            <w:spacing w:val="-2"/>
            <w:u w:val="single" w:color="0000FF"/>
          </w:rPr>
          <w:t>B4@ec.europa.eu</w:t>
        </w:r>
        <w:r>
          <w:rPr>
            <w:spacing w:val="-2"/>
          </w:rPr>
          <w:t>.</w:t>
        </w:r>
      </w:hyperlink>
    </w:p>
    <w:p>
      <w:pPr>
        <w:pStyle w:val="BodyText"/>
        <w:spacing w:before="2"/>
      </w:pPr>
    </w:p>
    <w:p>
      <w:pPr>
        <w:pStyle w:val="Heading1"/>
        <w:numPr>
          <w:ilvl w:val="0"/>
          <w:numId w:val="6"/>
        </w:numPr>
        <w:tabs>
          <w:tab w:pos="1079" w:val="left" w:leader="none"/>
        </w:tabs>
        <w:spacing w:line="240" w:lineRule="auto" w:before="0" w:after="0"/>
        <w:ind w:left="1078" w:right="0" w:hanging="284"/>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spacing w:after="0" w:line="240" w:lineRule="auto"/>
        <w:jc w:val="both"/>
        <w:sectPr>
          <w:pgSz w:w="11910" w:h="16840"/>
          <w:pgMar w:header="0" w:footer="690" w:top="1040" w:bottom="880" w:left="480" w:right="740"/>
        </w:sectPr>
      </w:pPr>
    </w:p>
    <w:p>
      <w:pPr>
        <w:pStyle w:val="BodyText"/>
        <w:spacing w:before="74"/>
        <w:ind w:left="1080" w:right="286"/>
        <w:jc w:val="both"/>
      </w:pPr>
      <w:r>
        <w:rPr/>
        <w:t>You may contact the Data Protection Officer (</w:t>
      </w:r>
      <w:hyperlink r:id="rId11">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pPr>
    </w:p>
    <w:p>
      <w:pPr>
        <w:pStyle w:val="Heading1"/>
        <w:numPr>
          <w:ilvl w:val="0"/>
          <w:numId w:val="6"/>
        </w:numPr>
        <w:tabs>
          <w:tab w:pos="1079" w:val="left" w:leader="none"/>
        </w:tabs>
        <w:spacing w:line="240" w:lineRule="auto" w:before="0" w:after="0"/>
        <w:ind w:left="1078" w:right="0" w:hanging="284"/>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spacing w:before="38"/>
        <w:ind w:left="1080" w:right="281"/>
        <w:jc w:val="both"/>
      </w:pPr>
      <w:r>
        <w:rPr/>
        <w:pict>
          <v:rect style="position:absolute;margin-left:230.160004pt;margin-top:26.028545pt;width:3.66pt;height:.54pt;mso-position-horizontal-relative:page;mso-position-vertical-relative:paragraph;z-index:-15820288" id="docshape3" filled="true" fillcolor="#000000" stroked="false">
            <v:fill type="solid"/>
            <w10:wrap type="none"/>
          </v:rect>
        </w:pict>
      </w:r>
      <w:r>
        <w:rPr/>
        <w:t>You have the right to have recourse (i.e. you can lodge a complaint) to the European Data Protection Supervisor</w:t>
      </w:r>
      <w:r>
        <w:rPr>
          <w:u w:val="single"/>
        </w:rPr>
        <w:t> (</w:t>
      </w:r>
      <w:hyperlink r:id="rId12">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7"/>
        </w:rPr>
        <w:t> </w:t>
      </w:r>
      <w:r>
        <w:rPr/>
        <w:t>the</w:t>
      </w:r>
      <w:r>
        <w:rPr>
          <w:spacing w:val="-7"/>
        </w:rPr>
        <w:t> </w:t>
      </w:r>
      <w:r>
        <w:rPr/>
        <w:t>attention</w:t>
      </w:r>
      <w:r>
        <w:rPr>
          <w:spacing w:val="-6"/>
        </w:rPr>
        <w:t> </w:t>
      </w:r>
      <w:r>
        <w:rPr/>
        <w:t>of</w:t>
      </w:r>
      <w:r>
        <w:rPr>
          <w:spacing w:val="-7"/>
        </w:rPr>
        <w:t> </w:t>
      </w:r>
      <w:r>
        <w:rPr/>
        <w:t>candidates</w:t>
      </w:r>
      <w:r>
        <w:rPr>
          <w:spacing w:val="-7"/>
        </w:rPr>
        <w:t> </w:t>
      </w:r>
      <w:r>
        <w:rPr/>
        <w:t>from</w:t>
      </w:r>
      <w:r>
        <w:rPr>
          <w:spacing w:val="-8"/>
        </w:rPr>
        <w:t> </w:t>
      </w:r>
      <w:r>
        <w:rPr/>
        <w:t>third</w:t>
      </w:r>
      <w:r>
        <w:rPr>
          <w:spacing w:val="-6"/>
        </w:rPr>
        <w:t> </w:t>
      </w:r>
      <w:r>
        <w:rPr/>
        <w:t>countries:</w:t>
      </w:r>
      <w:r>
        <w:rPr>
          <w:spacing w:val="-8"/>
        </w:rPr>
        <w:t> </w:t>
      </w:r>
      <w:r>
        <w:rPr/>
        <w:t>your</w:t>
      </w:r>
      <w:r>
        <w:rPr>
          <w:spacing w:val="-6"/>
        </w:rPr>
        <w:t> </w:t>
      </w:r>
      <w:r>
        <w:rPr/>
        <w:t>personal</w:t>
      </w:r>
      <w:r>
        <w:rPr>
          <w:spacing w:val="-6"/>
        </w:rPr>
        <w:t> </w:t>
      </w:r>
      <w:r>
        <w:rPr/>
        <w:t>data</w:t>
      </w:r>
      <w:r>
        <w:rPr>
          <w:spacing w:val="-7"/>
        </w:rPr>
        <w:t> </w:t>
      </w:r>
      <w:r>
        <w:rPr/>
        <w:t>can</w:t>
      </w:r>
      <w:r>
        <w:rPr>
          <w:spacing w:val="-7"/>
        </w:rPr>
        <w:t> </w:t>
      </w:r>
      <w:r>
        <w:rPr/>
        <w:t>be</w:t>
      </w:r>
      <w:r>
        <w:rPr>
          <w:spacing w:val="-7"/>
        </w:rPr>
        <w:t> </w:t>
      </w:r>
      <w:r>
        <w:rPr/>
        <w:t>used</w:t>
      </w:r>
      <w:r>
        <w:rPr>
          <w:spacing w:val="-6"/>
        </w:rPr>
        <w:t> </w:t>
      </w:r>
      <w:r>
        <w:rPr/>
        <w:t>for</w:t>
      </w:r>
      <w:r>
        <w:rPr>
          <w:spacing w:val="-7"/>
        </w:rPr>
        <w:t> </w:t>
      </w:r>
      <w:r>
        <w:rPr/>
        <w:t>necessary</w:t>
      </w:r>
      <w:r>
        <w:rPr>
          <w:spacing w:val="-6"/>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erdana">
    <w:altName w:val="Verdana"/>
    <w:charset w:val="0"/>
    <w:family w:val="swiss"/>
    <w:pitch w:val="variable"/>
  </w:font>
  <w:font w:name="Wingdings 2">
    <w:altName w:val="Wingdings 2"/>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428894pt;width:56.1pt;height:10.85pt;mso-position-horizontal-relative:page;mso-position-vertical-relative:page;z-index:-15820800"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4">
    <w:multiLevelType w:val="hybridMultilevel"/>
    <w:lvl w:ilvl="0">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2040" w:hanging="284"/>
      </w:pPr>
      <w:rPr>
        <w:rFonts w:hint="default"/>
        <w:lang w:val="en-US" w:eastAsia="en-US" w:bidi="ar-SA"/>
      </w:rPr>
    </w:lvl>
    <w:lvl w:ilvl="2">
      <w:start w:val="0"/>
      <w:numFmt w:val="bullet"/>
      <w:lvlText w:val="•"/>
      <w:lvlJc w:val="left"/>
      <w:pPr>
        <w:ind w:left="3001" w:hanging="284"/>
      </w:pPr>
      <w:rPr>
        <w:rFonts w:hint="default"/>
        <w:lang w:val="en-US" w:eastAsia="en-US" w:bidi="ar-SA"/>
      </w:rPr>
    </w:lvl>
    <w:lvl w:ilvl="3">
      <w:start w:val="0"/>
      <w:numFmt w:val="bullet"/>
      <w:lvlText w:val="•"/>
      <w:lvlJc w:val="left"/>
      <w:pPr>
        <w:ind w:left="3961" w:hanging="284"/>
      </w:pPr>
      <w:rPr>
        <w:rFonts w:hint="default"/>
        <w:lang w:val="en-US" w:eastAsia="en-US" w:bidi="ar-SA"/>
      </w:rPr>
    </w:lvl>
    <w:lvl w:ilvl="4">
      <w:start w:val="0"/>
      <w:numFmt w:val="bullet"/>
      <w:lvlText w:val="•"/>
      <w:lvlJc w:val="left"/>
      <w:pPr>
        <w:ind w:left="4922" w:hanging="284"/>
      </w:pPr>
      <w:rPr>
        <w:rFonts w:hint="default"/>
        <w:lang w:val="en-US" w:eastAsia="en-US" w:bidi="ar-SA"/>
      </w:rPr>
    </w:lvl>
    <w:lvl w:ilvl="5">
      <w:start w:val="0"/>
      <w:numFmt w:val="bullet"/>
      <w:lvlText w:val="•"/>
      <w:lvlJc w:val="left"/>
      <w:pPr>
        <w:ind w:left="5883" w:hanging="284"/>
      </w:pPr>
      <w:rPr>
        <w:rFonts w:hint="default"/>
        <w:lang w:val="en-US" w:eastAsia="en-US" w:bidi="ar-SA"/>
      </w:rPr>
    </w:lvl>
    <w:lvl w:ilvl="6">
      <w:start w:val="0"/>
      <w:numFmt w:val="bullet"/>
      <w:lvlText w:val="•"/>
      <w:lvlJc w:val="left"/>
      <w:pPr>
        <w:ind w:left="6843" w:hanging="284"/>
      </w:pPr>
      <w:rPr>
        <w:rFonts w:hint="default"/>
        <w:lang w:val="en-US" w:eastAsia="en-US" w:bidi="ar-SA"/>
      </w:rPr>
    </w:lvl>
    <w:lvl w:ilvl="7">
      <w:start w:val="0"/>
      <w:numFmt w:val="bullet"/>
      <w:lvlText w:val="•"/>
      <w:lvlJc w:val="left"/>
      <w:pPr>
        <w:ind w:left="7804" w:hanging="284"/>
      </w:pPr>
      <w:rPr>
        <w:rFonts w:hint="default"/>
        <w:lang w:val="en-US" w:eastAsia="en-US" w:bidi="ar-SA"/>
      </w:rPr>
    </w:lvl>
    <w:lvl w:ilvl="8">
      <w:start w:val="0"/>
      <w:numFmt w:val="bullet"/>
      <w:lvlText w:val="•"/>
      <w:lvlJc w:val="left"/>
      <w:pPr>
        <w:ind w:left="8765" w:hanging="284"/>
      </w:pPr>
      <w:rPr>
        <w:rFonts w:hint="default"/>
        <w:lang w:val="en-US" w:eastAsia="en-US" w:bidi="ar-SA"/>
      </w:rPr>
    </w:lvl>
  </w:abstractNum>
  <w:abstractNum w:abstractNumId="3">
    <w:multiLevelType w:val="hybridMultilevel"/>
    <w:lvl w:ilvl="0">
      <w:start w:val="1"/>
      <w:numFmt w:val="lowerLetter"/>
      <w:lvlText w:val="%1)"/>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1">
      <w:start w:val="0"/>
      <w:numFmt w:val="bullet"/>
      <w:lvlText w:val="-"/>
      <w:lvlJc w:val="left"/>
      <w:pPr>
        <w:ind w:left="1208" w:hanging="129"/>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2254" w:hanging="129"/>
      </w:pPr>
      <w:rPr>
        <w:rFonts w:hint="default"/>
        <w:lang w:val="en-US" w:eastAsia="en-US" w:bidi="ar-SA"/>
      </w:rPr>
    </w:lvl>
    <w:lvl w:ilvl="3">
      <w:start w:val="0"/>
      <w:numFmt w:val="bullet"/>
      <w:lvlText w:val="•"/>
      <w:lvlJc w:val="left"/>
      <w:pPr>
        <w:ind w:left="3308" w:hanging="129"/>
      </w:pPr>
      <w:rPr>
        <w:rFonts w:hint="default"/>
        <w:lang w:val="en-US" w:eastAsia="en-US" w:bidi="ar-SA"/>
      </w:rPr>
    </w:lvl>
    <w:lvl w:ilvl="4">
      <w:start w:val="0"/>
      <w:numFmt w:val="bullet"/>
      <w:lvlText w:val="•"/>
      <w:lvlJc w:val="left"/>
      <w:pPr>
        <w:ind w:left="4362" w:hanging="129"/>
      </w:pPr>
      <w:rPr>
        <w:rFonts w:hint="default"/>
        <w:lang w:val="en-US" w:eastAsia="en-US" w:bidi="ar-SA"/>
      </w:rPr>
    </w:lvl>
    <w:lvl w:ilvl="5">
      <w:start w:val="0"/>
      <w:numFmt w:val="bullet"/>
      <w:lvlText w:val="•"/>
      <w:lvlJc w:val="left"/>
      <w:pPr>
        <w:ind w:left="5416" w:hanging="129"/>
      </w:pPr>
      <w:rPr>
        <w:rFonts w:hint="default"/>
        <w:lang w:val="en-US" w:eastAsia="en-US" w:bidi="ar-SA"/>
      </w:rPr>
    </w:lvl>
    <w:lvl w:ilvl="6">
      <w:start w:val="0"/>
      <w:numFmt w:val="bullet"/>
      <w:lvlText w:val="•"/>
      <w:lvlJc w:val="left"/>
      <w:pPr>
        <w:ind w:left="6470" w:hanging="129"/>
      </w:pPr>
      <w:rPr>
        <w:rFonts w:hint="default"/>
        <w:lang w:val="en-US" w:eastAsia="en-US" w:bidi="ar-SA"/>
      </w:rPr>
    </w:lvl>
    <w:lvl w:ilvl="7">
      <w:start w:val="0"/>
      <w:numFmt w:val="bullet"/>
      <w:lvlText w:val="•"/>
      <w:lvlJc w:val="left"/>
      <w:pPr>
        <w:ind w:left="7524" w:hanging="129"/>
      </w:pPr>
      <w:rPr>
        <w:rFonts w:hint="default"/>
        <w:lang w:val="en-US" w:eastAsia="en-US" w:bidi="ar-SA"/>
      </w:rPr>
    </w:lvl>
    <w:lvl w:ilvl="8">
      <w:start w:val="0"/>
      <w:numFmt w:val="bullet"/>
      <w:lvlText w:val="•"/>
      <w:lvlJc w:val="left"/>
      <w:pPr>
        <w:ind w:left="8578" w:hanging="129"/>
      </w:pPr>
      <w:rPr>
        <w:rFonts w:hint="default"/>
        <w:lang w:val="en-US" w:eastAsia="en-US" w:bidi="ar-SA"/>
      </w:rPr>
    </w:lvl>
  </w:abstractNum>
  <w:abstractNum w:abstractNumId="1">
    <w:multiLevelType w:val="hybridMultilevel"/>
    <w:lvl w:ilvl="0">
      <w:start w:val="0"/>
      <w:numFmt w:val="bullet"/>
      <w:lvlText w:val=""/>
      <w:lvlJc w:val="left"/>
      <w:pPr>
        <w:ind w:left="562" w:hanging="45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498" w:hanging="455"/>
      </w:pPr>
      <w:rPr>
        <w:rFonts w:hint="default"/>
        <w:lang w:val="en-US" w:eastAsia="en-US" w:bidi="ar-SA"/>
      </w:rPr>
    </w:lvl>
    <w:lvl w:ilvl="2">
      <w:start w:val="0"/>
      <w:numFmt w:val="bullet"/>
      <w:lvlText w:val="•"/>
      <w:lvlJc w:val="left"/>
      <w:pPr>
        <w:ind w:left="2437" w:hanging="455"/>
      </w:pPr>
      <w:rPr>
        <w:rFonts w:hint="default"/>
        <w:lang w:val="en-US" w:eastAsia="en-US" w:bidi="ar-SA"/>
      </w:rPr>
    </w:lvl>
    <w:lvl w:ilvl="3">
      <w:start w:val="0"/>
      <w:numFmt w:val="bullet"/>
      <w:lvlText w:val="•"/>
      <w:lvlJc w:val="left"/>
      <w:pPr>
        <w:ind w:left="3376" w:hanging="455"/>
      </w:pPr>
      <w:rPr>
        <w:rFonts w:hint="default"/>
        <w:lang w:val="en-US" w:eastAsia="en-US" w:bidi="ar-SA"/>
      </w:rPr>
    </w:lvl>
    <w:lvl w:ilvl="4">
      <w:start w:val="0"/>
      <w:numFmt w:val="bullet"/>
      <w:lvlText w:val="•"/>
      <w:lvlJc w:val="left"/>
      <w:pPr>
        <w:ind w:left="4314" w:hanging="455"/>
      </w:pPr>
      <w:rPr>
        <w:rFonts w:hint="default"/>
        <w:lang w:val="en-US" w:eastAsia="en-US" w:bidi="ar-SA"/>
      </w:rPr>
    </w:lvl>
    <w:lvl w:ilvl="5">
      <w:start w:val="0"/>
      <w:numFmt w:val="bullet"/>
      <w:lvlText w:val="•"/>
      <w:lvlJc w:val="left"/>
      <w:pPr>
        <w:ind w:left="5253" w:hanging="455"/>
      </w:pPr>
      <w:rPr>
        <w:rFonts w:hint="default"/>
        <w:lang w:val="en-US" w:eastAsia="en-US" w:bidi="ar-SA"/>
      </w:rPr>
    </w:lvl>
    <w:lvl w:ilvl="6">
      <w:start w:val="0"/>
      <w:numFmt w:val="bullet"/>
      <w:lvlText w:val="•"/>
      <w:lvlJc w:val="left"/>
      <w:pPr>
        <w:ind w:left="6192" w:hanging="455"/>
      </w:pPr>
      <w:rPr>
        <w:rFonts w:hint="default"/>
        <w:lang w:val="en-US" w:eastAsia="en-US" w:bidi="ar-SA"/>
      </w:rPr>
    </w:lvl>
    <w:lvl w:ilvl="7">
      <w:start w:val="0"/>
      <w:numFmt w:val="bullet"/>
      <w:lvlText w:val="•"/>
      <w:lvlJc w:val="left"/>
      <w:pPr>
        <w:ind w:left="7130" w:hanging="455"/>
      </w:pPr>
      <w:rPr>
        <w:rFonts w:hint="default"/>
        <w:lang w:val="en-US" w:eastAsia="en-US" w:bidi="ar-SA"/>
      </w:rPr>
    </w:lvl>
    <w:lvl w:ilvl="8">
      <w:start w:val="0"/>
      <w:numFmt w:val="bullet"/>
      <w:lvlText w:val="•"/>
      <w:lvlJc w:val="left"/>
      <w:pPr>
        <w:ind w:left="8069" w:hanging="455"/>
      </w:pPr>
      <w:rPr>
        <w:rFonts w:hint="default"/>
        <w:lang w:val="en-US" w:eastAsia="en-US" w:bidi="ar-SA"/>
      </w:rPr>
    </w:lvl>
  </w:abstractNum>
  <w:abstractNum w:abstractNumId="0">
    <w:multiLevelType w:val="hybridMultilevel"/>
    <w:lvl w:ilvl="0">
      <w:start w:val="0"/>
      <w:numFmt w:val="bullet"/>
      <w:lvlText w:val=""/>
      <w:lvlJc w:val="left"/>
      <w:pPr>
        <w:ind w:left="523" w:hanging="417"/>
      </w:pPr>
      <w:rPr>
        <w:rFonts w:hint="default" w:ascii="Wingdings 2" w:hAnsi="Wingdings 2" w:eastAsia="Wingdings 2" w:cs="Wingdings 2"/>
        <w:b w:val="0"/>
        <w:bCs w:val="0"/>
        <w:i w:val="0"/>
        <w:iCs w:val="0"/>
        <w:w w:val="99"/>
        <w:sz w:val="22"/>
        <w:szCs w:val="22"/>
        <w:lang w:val="en-US" w:eastAsia="en-US" w:bidi="ar-SA"/>
      </w:rPr>
    </w:lvl>
    <w:lvl w:ilvl="1">
      <w:start w:val="0"/>
      <w:numFmt w:val="bullet"/>
      <w:lvlText w:val="•"/>
      <w:lvlJc w:val="left"/>
      <w:pPr>
        <w:ind w:left="1026" w:hanging="417"/>
      </w:pPr>
      <w:rPr>
        <w:rFonts w:hint="default"/>
        <w:lang w:val="en-US" w:eastAsia="en-US" w:bidi="ar-SA"/>
      </w:rPr>
    </w:lvl>
    <w:lvl w:ilvl="2">
      <w:start w:val="0"/>
      <w:numFmt w:val="bullet"/>
      <w:lvlText w:val="•"/>
      <w:lvlJc w:val="left"/>
      <w:pPr>
        <w:ind w:left="1533" w:hanging="417"/>
      </w:pPr>
      <w:rPr>
        <w:rFonts w:hint="default"/>
        <w:lang w:val="en-US" w:eastAsia="en-US" w:bidi="ar-SA"/>
      </w:rPr>
    </w:lvl>
    <w:lvl w:ilvl="3">
      <w:start w:val="0"/>
      <w:numFmt w:val="bullet"/>
      <w:lvlText w:val="•"/>
      <w:lvlJc w:val="left"/>
      <w:pPr>
        <w:ind w:left="2040" w:hanging="417"/>
      </w:pPr>
      <w:rPr>
        <w:rFonts w:hint="default"/>
        <w:lang w:val="en-US" w:eastAsia="en-US" w:bidi="ar-SA"/>
      </w:rPr>
    </w:lvl>
    <w:lvl w:ilvl="4">
      <w:start w:val="0"/>
      <w:numFmt w:val="bullet"/>
      <w:lvlText w:val="•"/>
      <w:lvlJc w:val="left"/>
      <w:pPr>
        <w:ind w:left="2546" w:hanging="417"/>
      </w:pPr>
      <w:rPr>
        <w:rFonts w:hint="default"/>
        <w:lang w:val="en-US" w:eastAsia="en-US" w:bidi="ar-SA"/>
      </w:rPr>
    </w:lvl>
    <w:lvl w:ilvl="5">
      <w:start w:val="0"/>
      <w:numFmt w:val="bullet"/>
      <w:lvlText w:val="•"/>
      <w:lvlJc w:val="left"/>
      <w:pPr>
        <w:ind w:left="3053" w:hanging="417"/>
      </w:pPr>
      <w:rPr>
        <w:rFonts w:hint="default"/>
        <w:lang w:val="en-US" w:eastAsia="en-US" w:bidi="ar-SA"/>
      </w:rPr>
    </w:lvl>
    <w:lvl w:ilvl="6">
      <w:start w:val="0"/>
      <w:numFmt w:val="bullet"/>
      <w:lvlText w:val="•"/>
      <w:lvlJc w:val="left"/>
      <w:pPr>
        <w:ind w:left="3560" w:hanging="417"/>
      </w:pPr>
      <w:rPr>
        <w:rFonts w:hint="default"/>
        <w:lang w:val="en-US" w:eastAsia="en-US" w:bidi="ar-SA"/>
      </w:rPr>
    </w:lvl>
    <w:lvl w:ilvl="7">
      <w:start w:val="0"/>
      <w:numFmt w:val="bullet"/>
      <w:lvlText w:val="•"/>
      <w:lvlJc w:val="left"/>
      <w:pPr>
        <w:ind w:left="4066" w:hanging="417"/>
      </w:pPr>
      <w:rPr>
        <w:rFonts w:hint="default"/>
        <w:lang w:val="en-US" w:eastAsia="en-US" w:bidi="ar-SA"/>
      </w:rPr>
    </w:lvl>
    <w:lvl w:ilvl="8">
      <w:start w:val="0"/>
      <w:numFmt w:val="bullet"/>
      <w:lvlText w:val="•"/>
      <w:lvlJc w:val="left"/>
      <w:pPr>
        <w:ind w:left="4573" w:hanging="417"/>
      </w:pPr>
      <w:rPr>
        <w:rFonts w:hint="default"/>
        <w:lang w:val="en-US" w:eastAsia="en-US" w:bidi="ar-SA"/>
      </w:rPr>
    </w:lvl>
  </w:abstractNum>
  <w:abstractNum w:abstractNumId="2">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90" w:hanging="360"/>
      </w:pPr>
      <w:rPr>
        <w:rFonts w:hint="default" w:ascii="Symbol" w:hAnsi="Symbol" w:eastAsia="Symbol" w:cs="Symbol"/>
        <w:b w:val="0"/>
        <w:bCs w:val="0"/>
        <w:i w:val="0"/>
        <w:iCs w:val="0"/>
        <w:w w:val="100"/>
        <w:sz w:val="20"/>
        <w:szCs w:val="20"/>
        <w:lang w:val="en-US" w:eastAsia="en-US" w:bidi="ar-SA"/>
      </w:rPr>
    </w:lvl>
    <w:lvl w:ilvl="2">
      <w:start w:val="0"/>
      <w:numFmt w:val="bullet"/>
      <w:lvlText w:val="•"/>
      <w:lvlJc w:val="left"/>
      <w:pPr>
        <w:ind w:left="2165" w:hanging="360"/>
      </w:pPr>
      <w:rPr>
        <w:rFonts w:hint="default"/>
        <w:lang w:val="en-US" w:eastAsia="en-US" w:bidi="ar-SA"/>
      </w:rPr>
    </w:lvl>
    <w:lvl w:ilvl="3">
      <w:start w:val="0"/>
      <w:numFmt w:val="bullet"/>
      <w:lvlText w:val="•"/>
      <w:lvlJc w:val="left"/>
      <w:pPr>
        <w:ind w:left="3230" w:hanging="360"/>
      </w:pPr>
      <w:rPr>
        <w:rFonts w:hint="default"/>
        <w:lang w:val="en-US" w:eastAsia="en-US" w:bidi="ar-SA"/>
      </w:rPr>
    </w:lvl>
    <w:lvl w:ilvl="4">
      <w:start w:val="0"/>
      <w:numFmt w:val="bullet"/>
      <w:lvlText w:val="•"/>
      <w:lvlJc w:val="left"/>
      <w:pPr>
        <w:ind w:left="4295" w:hanging="360"/>
      </w:pPr>
      <w:rPr>
        <w:rFonts w:hint="default"/>
        <w:lang w:val="en-US" w:eastAsia="en-US" w:bidi="ar-SA"/>
      </w:rPr>
    </w:lvl>
    <w:lvl w:ilvl="5">
      <w:start w:val="0"/>
      <w:numFmt w:val="bullet"/>
      <w:lvlText w:val="•"/>
      <w:lvlJc w:val="left"/>
      <w:pPr>
        <w:ind w:left="5360" w:hanging="360"/>
      </w:pPr>
      <w:rPr>
        <w:rFonts w:hint="default"/>
        <w:lang w:val="en-US" w:eastAsia="en-US" w:bidi="ar-SA"/>
      </w:rPr>
    </w:lvl>
    <w:lvl w:ilvl="6">
      <w:start w:val="0"/>
      <w:numFmt w:val="bullet"/>
      <w:lvlText w:val="•"/>
      <w:lvlJc w:val="left"/>
      <w:pPr>
        <w:ind w:left="6425" w:hanging="360"/>
      </w:pPr>
      <w:rPr>
        <w:rFonts w:hint="default"/>
        <w:lang w:val="en-US" w:eastAsia="en-US" w:bidi="ar-SA"/>
      </w:rPr>
    </w:lvl>
    <w:lvl w:ilvl="7">
      <w:start w:val="0"/>
      <w:numFmt w:val="bullet"/>
      <w:lvlText w:val="•"/>
      <w:lvlJc w:val="left"/>
      <w:pPr>
        <w:ind w:left="7490" w:hanging="360"/>
      </w:pPr>
      <w:rPr>
        <w:rFonts w:hint="default"/>
        <w:lang w:val="en-US" w:eastAsia="en-US" w:bidi="ar-SA"/>
      </w:rPr>
    </w:lvl>
    <w:lvl w:ilvl="8">
      <w:start w:val="0"/>
      <w:numFmt w:val="bullet"/>
      <w:lvlText w:val="•"/>
      <w:lvlJc w:val="left"/>
      <w:pPr>
        <w:ind w:left="8556" w:hanging="360"/>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4"/>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96" w:hanging="42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Stefan.Schleuning@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http://ec.europa.eu/civil_service/job/sne/index_en.htm" TargetMode="External"/><Relationship Id="rId10" Type="http://schemas.openxmlformats.org/officeDocument/2006/relationships/hyperlink" Target="mailto:HR-MAIL-B4@ec.europa.eu" TargetMode="External"/><Relationship Id="rId11" Type="http://schemas.openxmlformats.org/officeDocument/2006/relationships/hyperlink" Target="mailto:DATA-PROTECTION-OFFICER@ec.europa.eu" TargetMode="External"/><Relationship Id="rId12" Type="http://schemas.openxmlformats.org/officeDocument/2006/relationships/hyperlink" Target="mailto:edps@edps.europa.e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2023-03-31T14:02:24Z</dcterms:created>
  <dcterms:modified xsi:type="dcterms:W3CDTF">2023-03-31T14:02:24Z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Acrobat PDFMaker 22 for Word</vt:lpwstr>
  </property>
  <property fmtid="{D5CDD505-2E9C-101B-9397-08002B2CF9AE}" pid="4" name="LastSaved">
    <vt:filetime>2023-03-31T00:00:00Z</vt:filetime>
  </property>
  <property fmtid="{D5CDD505-2E9C-101B-9397-08002B2CF9AE}" pid="5" name="MSIP_Label_6bd9ddd1-4d20-43f6-abfa-fc3c07406f94_ActionId">
    <vt:lpwstr>4c6a0310-38de-4523-a3e8-26bf7813c0c4</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2023-03-10T17:40:07Z</vt:lpwstr>
  </property>
  <property fmtid="{D5CDD505-2E9C-101B-9397-08002B2CF9AE}" pid="11" name="MSIP_Label_6bd9ddd1-4d20-43f6-abfa-fc3c07406f94_SiteId">
    <vt:lpwstr>b24c8b06-522c-46fe-9080-70926f8dddb1</vt:lpwstr>
  </property>
  <property fmtid="{D5CDD505-2E9C-101B-9397-08002B2CF9AE}" pid="12" name="Producer">
    <vt:lpwstr>Adobe PDF Library 22.3.90</vt:lpwstr>
  </property>
  <property fmtid="{D5CDD505-2E9C-101B-9397-08002B2CF9AE}" pid="13" name="SourceModified">
    <vt:lpwstr>D:20230313172700</vt:lpwstr>
  </property>
</Properties>
</file>