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val="en-US" w:eastAsia="en-US"/>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8C6BA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C9E454E" w:rsidR="00B65513" w:rsidRPr="0007110E" w:rsidRDefault="004E4138" w:rsidP="00DF1E49">
                <w:pPr>
                  <w:tabs>
                    <w:tab w:val="left" w:pos="426"/>
                  </w:tabs>
                  <w:rPr>
                    <w:bCs/>
                    <w:lang w:val="en-IE" w:eastAsia="en-GB"/>
                  </w:rPr>
                </w:pPr>
                <w:r>
                  <w:rPr>
                    <w:b/>
                    <w:szCs w:val="24"/>
                    <w:lang w:eastAsia="en-GB"/>
                  </w:rPr>
                  <w:t>ENER-A-1</w:t>
                </w:r>
              </w:p>
            </w:tc>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12A61A2" w:rsidR="00D96984" w:rsidRPr="0007110E" w:rsidRDefault="004E4138" w:rsidP="00DF1E49">
                <w:pPr>
                  <w:tabs>
                    <w:tab w:val="left" w:pos="426"/>
                  </w:tabs>
                  <w:rPr>
                    <w:bCs/>
                    <w:lang w:val="en-IE" w:eastAsia="en-GB"/>
                  </w:rPr>
                </w:pPr>
                <w:r>
                  <w:rPr>
                    <w:rFonts w:ascii="Arial" w:hAnsi="Arial" w:cs="Arial"/>
                    <w:color w:val="535353"/>
                    <w:sz w:val="20"/>
                    <w:shd w:val="clear" w:color="auto" w:fill="F8F8F8"/>
                  </w:rPr>
                  <w:t>355879</w:t>
                </w:r>
              </w:p>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2D6578C" w:rsidR="00E21DBD" w:rsidRPr="00C76170" w:rsidRDefault="004E4138" w:rsidP="004E4138">
                <w:pPr>
                  <w:rPr>
                    <w:lang w:val="en-IE" w:eastAsia="en-GB"/>
                  </w:rPr>
                </w:pPr>
                <w:r w:rsidRPr="00C76170">
                  <w:rPr>
                    <w:lang w:val="en-IE" w:eastAsia="en-GB"/>
                  </w:rPr>
                  <w:t>Paula Abreu Marques</w:t>
                </w:r>
              </w:p>
            </w:sdtContent>
          </w:sdt>
          <w:p w14:paraId="34CF737A" w14:textId="55813331" w:rsidR="00E21DBD" w:rsidRPr="00C76170" w:rsidRDefault="008C6BA1"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E4138" w:rsidRPr="00C76170">
                  <w:rPr>
                    <w:bCs/>
                    <w:lang w:val="en-IE" w:eastAsia="en-GB"/>
                  </w:rPr>
                  <w:t>3</w:t>
                </w:r>
                <w:r w:rsidR="004E4138" w:rsidRPr="00C76170">
                  <w:rPr>
                    <w:bCs/>
                    <w:vertAlign w:val="superscript"/>
                    <w:lang w:val="en-IE" w:eastAsia="en-GB"/>
                  </w:rPr>
                  <w:t>rd</w:t>
                </w:r>
                <w:r w:rsidR="004E4138" w:rsidRPr="00C76170">
                  <w:rPr>
                    <w:bCs/>
                    <w:lang w:val="en-IE" w:eastAsia="en-GB"/>
                  </w:rPr>
                  <w:t xml:space="preserve"> </w:t>
                </w:r>
              </w:sdtContent>
            </w:sdt>
            <w:r w:rsidR="00E21DBD" w:rsidRPr="00C76170">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sidRPr="00C76170">
                  <w:rPr>
                    <w:bCs/>
                    <w:lang w:val="en-IE" w:eastAsia="en-GB"/>
                  </w:rPr>
                  <w:t>2023</w:t>
                </w:r>
              </w:sdtContent>
            </w:sdt>
          </w:p>
          <w:p w14:paraId="158DD156" w14:textId="0ED7B349" w:rsidR="00E21DBD" w:rsidRPr="0007110E" w:rsidRDefault="008C6BA1"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E4138">
                  <w:rPr>
                    <w:bCs/>
                    <w:lang w:val="en-IE" w:eastAsia="en-GB"/>
                  </w:rPr>
                  <w:t>1</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E413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bookmarkStart w:id="1" w:name="_GoBack"/>
                <w:r w:rsidR="0009143F" w:rsidRPr="00BD2312">
                  <w:rPr>
                    <w:rStyle w:val="PlaceholderText"/>
                  </w:rPr>
                  <w:t>Click or tap here to enter text.</w:t>
                </w:r>
                <w:bookmarkEnd w:id="1"/>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1F758075" w:rsidR="00E21DBD" w:rsidRPr="0007110E" w:rsidRDefault="008C6BA1"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4E4138">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66AE26F6" w:rsidR="00E21DBD" w:rsidRPr="0007110E" w:rsidRDefault="008C6BA1"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4E4138">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5F2E2F47" w:rsidR="00E21DBD" w:rsidRPr="0007110E" w:rsidRDefault="008C6BA1"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162F4892" w:rsidR="00252050" w:rsidRPr="0007110E" w:rsidRDefault="008C6BA1"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7D8A6077"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8C6BA1"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8C6BA1"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0C8A86A7" w:rsidR="00DF1E49" w:rsidRPr="0007110E" w:rsidRDefault="008C6BA1" w:rsidP="008D43AB">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sidR="00C76170">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sidR="00C76170">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B743D6E" w14:textId="5F25C05F" w:rsidR="004E4138" w:rsidRDefault="004E4138" w:rsidP="004E4138">
          <w:r w:rsidRPr="002D1713">
            <w:t>The Directorate-General for Energy (DG ENER) is working to accelerate Europe’s clean and just energy transition to be the first climate-neutral continent by 2050. We set out policies to develop an innovative, resilient and integrated energy system, which delivers a continuous supply of affordable, secure, reliable and clean energy to its citizens and businesses in line with the European Green Deal. We strive to remove barriers for energy transition and stimulate energy solutions, which will drive the shift to climate neutrality whilst promoting Europe’s sustainable growth and job creation. The transition will build on consumer participation and market driven investments in energy efficiency and renewable energy technologies to boost EU’s global leadership while improving energy security and resilience, reducing the fossil fuels’ import dependency and import bills</w:t>
          </w:r>
          <w:r>
            <w:t>, strengthen our energy resilience and independence</w:t>
          </w:r>
          <w:r w:rsidRPr="002D1713">
            <w:t>.</w:t>
          </w:r>
          <w:r w:rsidR="00FB240E">
            <w:t xml:space="preserve"> We contribute to the achievement of </w:t>
          </w:r>
          <w:r w:rsidR="00FB240E">
            <w:lastRenderedPageBreak/>
            <w:t>the Energy Union goals and targets working with Member States on strategic planning and identifying concrete policies and measures to be embedded in National Energy and Climate Plans.</w:t>
          </w:r>
        </w:p>
        <w:p w14:paraId="59DD0438" w14:textId="1C667826" w:rsidR="00E21DBD" w:rsidRPr="004E4138" w:rsidRDefault="004E4138" w:rsidP="00C504C7">
          <w:r>
            <w:t>Within Directorate A ‘Energy Policy: Strategy and Coordination’, unit ENER.A.1 ’</w:t>
          </w:r>
          <w:r w:rsidRPr="002D1713">
            <w:t>Inter-institutional, Policy Coordination and Planning</w:t>
          </w:r>
          <w:r>
            <w:t>’ is in charge of</w:t>
          </w:r>
          <w:r w:rsidRPr="002D1713">
            <w:t xml:space="preserve"> </w:t>
          </w:r>
          <w:r>
            <w:t>coordinating</w:t>
          </w:r>
          <w:r w:rsidRPr="002D1713">
            <w:t xml:space="preserve"> the energy policy of the DG ensuring policy consistency and coherence and being the focal point of contact for the other services in the European Green Deal</w:t>
          </w:r>
          <w:r>
            <w:t>,</w:t>
          </w:r>
          <w:r w:rsidRPr="002D1713">
            <w:t xml:space="preserve"> REPowerEU implementation</w:t>
          </w:r>
          <w:r>
            <w:t xml:space="preserve"> and crisis action management</w:t>
          </w:r>
          <w:r w:rsidRPr="002D1713">
            <w:t>. We are also responsible for the overall management</w:t>
          </w:r>
          <w:r>
            <w:t>,</w:t>
          </w:r>
          <w:r w:rsidRPr="002D1713">
            <w:t xml:space="preserve"> implementation </w:t>
          </w:r>
          <w:r>
            <w:t xml:space="preserve">and future revision </w:t>
          </w:r>
          <w:r w:rsidRPr="002D1713">
            <w:t>of Governance Regulation</w:t>
          </w:r>
          <w:r w:rsidR="00FB240E">
            <w:t>, and for the assessment of National Energy and Climate Plans as the cornerstone of the governance of the Energy Union</w:t>
          </w:r>
          <w:r w:rsidRPr="002D1713">
            <w:t>. We deal with the coordination of strategic policy planning and reporting tasks as well as the coordination of the entire legislative cycle from planning until adoption for DG ENER. We manage the interactions of DG ENER with the other European Institutions, including the rotating Presidency of the Council, and provide internal inter-institutional support to the other DG ENER Units. The briefing team ensures the link and consistency between briefings, energy policy and communication in DG ENER.</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F2F8999" w14:textId="55A98866" w:rsidR="004E4138" w:rsidRDefault="004E4138" w:rsidP="004E4138">
          <w:pPr>
            <w:spacing w:after="0"/>
            <w:rPr>
              <w:lang w:eastAsia="en-GB"/>
            </w:rPr>
          </w:pPr>
          <w:r w:rsidRPr="000977FB">
            <w:rPr>
              <w:lang w:val="en-IE" w:eastAsia="en-GB"/>
            </w:rPr>
            <w:t>T</w:t>
          </w:r>
          <w:r w:rsidRPr="00F44827">
            <w:rPr>
              <w:lang w:eastAsia="en-GB"/>
            </w:rPr>
            <w:t>he seconded national expert (SNE) will be desk officer</w:t>
          </w:r>
          <w:r w:rsidRPr="000977FB">
            <w:rPr>
              <w:lang w:eastAsia="en-GB"/>
            </w:rPr>
            <w:t xml:space="preserve"> </w:t>
          </w:r>
          <w:r>
            <w:rPr>
              <w:lang w:eastAsia="en-GB"/>
            </w:rPr>
            <w:t>in</w:t>
          </w:r>
          <w:r w:rsidRPr="00F44827">
            <w:rPr>
              <w:lang w:eastAsia="en-GB"/>
            </w:rPr>
            <w:t xml:space="preserve"> </w:t>
          </w:r>
          <w:r w:rsidR="00C76170">
            <w:rPr>
              <w:lang w:eastAsia="en-GB"/>
            </w:rPr>
            <w:t>U</w:t>
          </w:r>
          <w:r w:rsidRPr="00F44827">
            <w:rPr>
              <w:lang w:eastAsia="en-GB"/>
            </w:rPr>
            <w:t xml:space="preserve">nit </w:t>
          </w:r>
          <w:r>
            <w:rPr>
              <w:lang w:eastAsia="en-GB"/>
            </w:rPr>
            <w:t>A1 in charge of</w:t>
          </w:r>
          <w:r w:rsidRPr="00F44827">
            <w:rPr>
              <w:lang w:eastAsia="en-GB"/>
            </w:rPr>
            <w:t xml:space="preserve"> </w:t>
          </w:r>
          <w:r>
            <w:rPr>
              <w:lang w:eastAsia="en-GB"/>
            </w:rPr>
            <w:t>i</w:t>
          </w:r>
          <w:r w:rsidRPr="00611E5E">
            <w:rPr>
              <w:lang w:eastAsia="en-GB"/>
            </w:rPr>
            <w:t>nter</w:t>
          </w:r>
          <w:r>
            <w:rPr>
              <w:lang w:eastAsia="en-GB"/>
            </w:rPr>
            <w:t>-</w:t>
          </w:r>
          <w:r w:rsidRPr="00611E5E">
            <w:rPr>
              <w:lang w:eastAsia="en-GB"/>
            </w:rPr>
            <w:t xml:space="preserve">institutional </w:t>
          </w:r>
          <w:r>
            <w:rPr>
              <w:lang w:eastAsia="en-GB"/>
            </w:rPr>
            <w:t>relations</w:t>
          </w:r>
          <w:r w:rsidRPr="002B0D29">
            <w:rPr>
              <w:lang w:eastAsia="en-GB"/>
            </w:rPr>
            <w:t xml:space="preserve">, </w:t>
          </w:r>
          <w:r>
            <w:rPr>
              <w:lang w:eastAsia="en-GB"/>
            </w:rPr>
            <w:t>p</w:t>
          </w:r>
          <w:r w:rsidRPr="002B0D29">
            <w:rPr>
              <w:lang w:eastAsia="en-GB"/>
            </w:rPr>
            <w:t xml:space="preserve">olicy </w:t>
          </w:r>
          <w:r>
            <w:rPr>
              <w:lang w:eastAsia="en-GB"/>
            </w:rPr>
            <w:t>c</w:t>
          </w:r>
          <w:r w:rsidRPr="002B0D29">
            <w:rPr>
              <w:lang w:eastAsia="en-GB"/>
            </w:rPr>
            <w:t xml:space="preserve">oordination and </w:t>
          </w:r>
          <w:r>
            <w:rPr>
              <w:lang w:eastAsia="en-GB"/>
            </w:rPr>
            <w:t>p</w:t>
          </w:r>
          <w:r w:rsidRPr="002B0D29">
            <w:rPr>
              <w:lang w:eastAsia="en-GB"/>
            </w:rPr>
            <w:t>lanning</w:t>
          </w:r>
          <w:r w:rsidR="00C76170">
            <w:rPr>
              <w:lang w:eastAsia="en-GB"/>
            </w:rPr>
            <w:t>, within DGENER</w:t>
          </w:r>
          <w:r>
            <w:rPr>
              <w:lang w:eastAsia="en-GB"/>
            </w:rPr>
            <w:t xml:space="preserve">. </w:t>
          </w:r>
        </w:p>
        <w:p w14:paraId="5DBEBD1F" w14:textId="77777777" w:rsidR="004E4138" w:rsidRDefault="004E4138" w:rsidP="004E4138">
          <w:pPr>
            <w:spacing w:after="0"/>
            <w:rPr>
              <w:lang w:eastAsia="en-GB"/>
            </w:rPr>
          </w:pPr>
        </w:p>
        <w:p w14:paraId="46EE3E07" w14:textId="37065B4D" w:rsidR="00E21DBD" w:rsidRPr="00A716B1" w:rsidRDefault="004E4138" w:rsidP="00A716B1">
          <w:pPr>
            <w:spacing w:after="0"/>
            <w:rPr>
              <w:lang w:eastAsia="en-GB"/>
            </w:rPr>
          </w:pPr>
          <w:r>
            <w:rPr>
              <w:lang w:val="en-IE" w:eastAsia="en-GB"/>
            </w:rPr>
            <w:t>The SNE</w:t>
          </w:r>
          <w:r w:rsidRPr="00F44827">
            <w:rPr>
              <w:lang w:eastAsia="en-GB"/>
            </w:rPr>
            <w:t xml:space="preserve"> </w:t>
          </w:r>
          <w:r>
            <w:rPr>
              <w:lang w:eastAsia="en-GB"/>
            </w:rPr>
            <w:t>will be responsible for</w:t>
          </w:r>
          <w:r w:rsidRPr="00F44827">
            <w:rPr>
              <w:lang w:eastAsia="en-GB"/>
            </w:rPr>
            <w:t xml:space="preserve"> </w:t>
          </w:r>
          <w:r w:rsidRPr="000977FB">
            <w:rPr>
              <w:lang w:val="en-IE" w:eastAsia="en-GB"/>
            </w:rPr>
            <w:t>develop</w:t>
          </w:r>
          <w:r>
            <w:rPr>
              <w:lang w:val="en-IE" w:eastAsia="en-GB"/>
            </w:rPr>
            <w:t>ing, coordinating</w:t>
          </w:r>
          <w:r w:rsidRPr="000977FB">
            <w:rPr>
              <w:lang w:val="en-IE" w:eastAsia="en-GB"/>
            </w:rPr>
            <w:t xml:space="preserve"> and implement</w:t>
          </w:r>
          <w:r>
            <w:rPr>
              <w:lang w:val="en-IE" w:eastAsia="en-GB"/>
            </w:rPr>
            <w:t>ing</w:t>
          </w:r>
          <w:r w:rsidRPr="000977FB">
            <w:rPr>
              <w:lang w:val="en-IE" w:eastAsia="en-GB"/>
            </w:rPr>
            <w:t xml:space="preserve"> energy policy and related activities in line with Commission priorities</w:t>
          </w:r>
          <w:r>
            <w:rPr>
              <w:lang w:val="en-IE" w:eastAsia="en-GB"/>
            </w:rPr>
            <w:t xml:space="preserve">, including REPowerEU and </w:t>
          </w:r>
          <w:r w:rsidRPr="000977FB">
            <w:rPr>
              <w:lang w:val="en-IE" w:eastAsia="en-GB"/>
            </w:rPr>
            <w:t>the European Green Deal</w:t>
          </w:r>
          <w:r w:rsidR="00A716B1">
            <w:rPr>
              <w:lang w:val="en-IE" w:eastAsia="en-GB"/>
            </w:rPr>
            <w:t>, in particular on the finaliztion and follow up to the fit for 55 legislative package</w:t>
          </w:r>
          <w:r>
            <w:rPr>
              <w:lang w:val="en-IE" w:eastAsia="en-GB"/>
            </w:rPr>
            <w:t>. T</w:t>
          </w:r>
          <w:r w:rsidRPr="000977FB">
            <w:rPr>
              <w:lang w:val="en-IE" w:eastAsia="en-GB"/>
            </w:rPr>
            <w:t>he successful candidate</w:t>
          </w:r>
          <w:r>
            <w:rPr>
              <w:lang w:val="en-IE" w:eastAsia="en-GB"/>
            </w:rPr>
            <w:t xml:space="preserve"> will be </w:t>
          </w:r>
          <w:r w:rsidRPr="00DC4C10">
            <w:rPr>
              <w:lang w:val="en-IE" w:eastAsia="en-GB"/>
            </w:rPr>
            <w:t>involved in the implementation of the Governance Regulation</w:t>
          </w:r>
          <w:r w:rsidR="00FB240E">
            <w:rPr>
              <w:lang w:val="en-IE" w:eastAsia="en-GB"/>
            </w:rPr>
            <w:t xml:space="preserve">, including the assessment of the </w:t>
          </w:r>
          <w:r w:rsidR="00A716B1">
            <w:rPr>
              <w:lang w:val="en-IE" w:eastAsia="en-GB"/>
            </w:rPr>
            <w:t xml:space="preserve">updated </w:t>
          </w:r>
          <w:r w:rsidR="00FB240E">
            <w:rPr>
              <w:lang w:val="en-IE" w:eastAsia="en-GB"/>
            </w:rPr>
            <w:t>National Energy and Climate Plans,</w:t>
          </w:r>
          <w:r w:rsidR="00A716B1">
            <w:rPr>
              <w:lang w:val="en-IE" w:eastAsia="en-GB"/>
            </w:rPr>
            <w:t xml:space="preserve"> as well as in the evaluation, review and revision of that Regulation</w:t>
          </w:r>
          <w:r>
            <w:rPr>
              <w:lang w:val="en-IE" w:eastAsia="en-GB"/>
            </w:rPr>
            <w:t>. The SNE will analyse</w:t>
          </w:r>
          <w:r>
            <w:rPr>
              <w:lang w:eastAsia="en-GB"/>
            </w:rPr>
            <w:t xml:space="preserve"> energy policies </w:t>
          </w:r>
          <w:r w:rsidRPr="00F44827">
            <w:rPr>
              <w:lang w:eastAsia="en-GB"/>
            </w:rPr>
            <w:t xml:space="preserve">and </w:t>
          </w:r>
          <w:r>
            <w:rPr>
              <w:lang w:eastAsia="en-GB"/>
            </w:rPr>
            <w:t>assist</w:t>
          </w:r>
          <w:r w:rsidRPr="00DC4C10">
            <w:rPr>
              <w:lang w:eastAsia="en-GB"/>
            </w:rPr>
            <w:t xml:space="preserve"> in energy policy coordination and steer for DG</w:t>
          </w:r>
          <w:r>
            <w:rPr>
              <w:lang w:eastAsia="en-GB"/>
            </w:rPr>
            <w:t xml:space="preserve"> </w:t>
          </w:r>
          <w:r w:rsidRPr="00DC4C10">
            <w:rPr>
              <w:lang w:eastAsia="en-GB"/>
            </w:rPr>
            <w:t>ENER</w:t>
          </w:r>
          <w:r w:rsidRPr="00F44827">
            <w:rPr>
              <w:lang w:eastAsia="en-GB"/>
            </w:rPr>
            <w:t xml:space="preserve">. The </w:t>
          </w:r>
          <w:r>
            <w:rPr>
              <w:lang w:eastAsia="en-GB"/>
            </w:rPr>
            <w:t>successful candidate</w:t>
          </w:r>
          <w:r w:rsidRPr="00F44827">
            <w:rPr>
              <w:lang w:eastAsia="en-GB"/>
            </w:rPr>
            <w:t xml:space="preserve">'s tasks will include </w:t>
          </w:r>
          <w:r>
            <w:rPr>
              <w:lang w:eastAsia="en-GB"/>
            </w:rPr>
            <w:t xml:space="preserve">contributions to </w:t>
          </w:r>
          <w:r w:rsidRPr="00F44827">
            <w:rPr>
              <w:lang w:eastAsia="en-GB"/>
            </w:rPr>
            <w:t>briefings, speeches a</w:t>
          </w:r>
          <w:r w:rsidR="00A716B1">
            <w:rPr>
              <w:lang w:eastAsia="en-GB"/>
            </w:rPr>
            <w:t xml:space="preserve">nd presentations for hierarchy relating to </w:t>
          </w:r>
          <w:r>
            <w:rPr>
              <w:lang w:val="en-IE" w:eastAsia="en-GB"/>
            </w:rPr>
            <w:t>REPowerEU</w:t>
          </w:r>
          <w:r w:rsidR="00A716B1">
            <w:rPr>
              <w:lang w:val="en-IE" w:eastAsia="en-GB"/>
            </w:rPr>
            <w:t xml:space="preserve"> initiatives</w:t>
          </w:r>
          <w:r>
            <w:rPr>
              <w:lang w:val="en-IE" w:eastAsia="en-GB"/>
            </w:rPr>
            <w:t xml:space="preserve">, </w:t>
          </w:r>
          <w:r w:rsidRPr="00F44827">
            <w:rPr>
              <w:lang w:eastAsia="en-GB"/>
            </w:rPr>
            <w:t>the</w:t>
          </w:r>
          <w:r>
            <w:rPr>
              <w:lang w:eastAsia="en-GB"/>
            </w:rPr>
            <w:t xml:space="preserve"> European Green Deal and the</w:t>
          </w:r>
          <w:r w:rsidRPr="00F44827">
            <w:rPr>
              <w:lang w:eastAsia="en-GB"/>
            </w:rPr>
            <w:t xml:space="preserve"> </w:t>
          </w:r>
          <w:r w:rsidR="00A716B1">
            <w:rPr>
              <w:lang w:eastAsia="en-GB"/>
            </w:rPr>
            <w:t xml:space="preserve">Governance of the </w:t>
          </w:r>
          <w:r w:rsidRPr="00F44827">
            <w:rPr>
              <w:lang w:eastAsia="en-GB"/>
            </w:rPr>
            <w:t>Energy Union.</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CC641D5" w14:textId="77777777" w:rsidR="004E4138" w:rsidRDefault="004E4138" w:rsidP="004E4138">
          <w:r>
            <w:t xml:space="preserve">We look for an efficient, motivated and resilient policy officer with: </w:t>
          </w:r>
        </w:p>
        <w:p w14:paraId="7B6B1850" w14:textId="0E620C5B" w:rsidR="00A716B1" w:rsidRPr="004E4138" w:rsidRDefault="00A716B1" w:rsidP="00A716B1">
          <w:pPr>
            <w:pStyle w:val="ListParagraph"/>
            <w:numPr>
              <w:ilvl w:val="0"/>
              <w:numId w:val="34"/>
            </w:numPr>
            <w:spacing w:after="0" w:line="240" w:lineRule="auto"/>
            <w:jc w:val="both"/>
            <w:rPr>
              <w:lang w:val="en-IE"/>
            </w:rPr>
          </w:pPr>
          <w:r w:rsidRPr="004E4138">
            <w:rPr>
              <w:lang w:val="en-IE"/>
            </w:rPr>
            <w:t xml:space="preserve">Very good knowledge of EU energy policy in the context of the </w:t>
          </w:r>
          <w:r>
            <w:rPr>
              <w:lang w:val="en-IE"/>
            </w:rPr>
            <w:t xml:space="preserve">European Green Deal, REPowerEU, </w:t>
          </w:r>
          <w:r w:rsidRPr="004E4138">
            <w:rPr>
              <w:lang w:val="en-IE"/>
            </w:rPr>
            <w:t>the Energy Union Governance</w:t>
          </w:r>
          <w:r>
            <w:rPr>
              <w:lang w:val="en-IE"/>
            </w:rPr>
            <w:t xml:space="preserve"> and the European Recovery framework</w:t>
          </w:r>
          <w:r w:rsidRPr="004E4138">
            <w:rPr>
              <w:lang w:val="en-IE"/>
            </w:rPr>
            <w:t>;</w:t>
          </w:r>
        </w:p>
        <w:p w14:paraId="0EE7E3AA" w14:textId="7A4E741B" w:rsidR="00A716B1" w:rsidRPr="004E4138" w:rsidRDefault="00C76170" w:rsidP="00A716B1">
          <w:pPr>
            <w:pStyle w:val="ListParagraph"/>
            <w:numPr>
              <w:ilvl w:val="0"/>
              <w:numId w:val="34"/>
            </w:numPr>
            <w:spacing w:after="0" w:line="240" w:lineRule="auto"/>
            <w:jc w:val="both"/>
            <w:rPr>
              <w:lang w:val="en-IE"/>
            </w:rPr>
          </w:pPr>
          <w:r>
            <w:rPr>
              <w:lang w:val="en-IE"/>
            </w:rPr>
            <w:t>U</w:t>
          </w:r>
          <w:r w:rsidR="00A716B1" w:rsidRPr="004E4138">
            <w:rPr>
              <w:lang w:val="en-IE"/>
            </w:rPr>
            <w:t xml:space="preserve">nderstanding of EU decision-making procedures; </w:t>
          </w:r>
        </w:p>
        <w:p w14:paraId="25CDBADC" w14:textId="7A7B4BB5" w:rsidR="004E4138" w:rsidRPr="004E4138" w:rsidRDefault="00C76170" w:rsidP="004E4138">
          <w:pPr>
            <w:pStyle w:val="ListParagraph"/>
            <w:numPr>
              <w:ilvl w:val="0"/>
              <w:numId w:val="34"/>
            </w:numPr>
            <w:spacing w:after="0" w:line="240" w:lineRule="auto"/>
            <w:jc w:val="both"/>
            <w:rPr>
              <w:lang w:val="en-IE"/>
            </w:rPr>
          </w:pPr>
          <w:r>
            <w:rPr>
              <w:lang w:val="en-IE"/>
            </w:rPr>
            <w:t>S</w:t>
          </w:r>
          <w:r w:rsidR="004E4138" w:rsidRPr="004E4138">
            <w:rPr>
              <w:lang w:val="en-IE"/>
            </w:rPr>
            <w:t xml:space="preserve">ensitivity to newly developing policy priorities and agendas, notably energy emergency measures; </w:t>
          </w:r>
        </w:p>
        <w:p w14:paraId="64463CFA" w14:textId="2E9B66B4" w:rsidR="007C68A7" w:rsidRDefault="007C68A7" w:rsidP="007C68A7">
          <w:pPr>
            <w:pStyle w:val="ListParagraph"/>
            <w:numPr>
              <w:ilvl w:val="0"/>
              <w:numId w:val="34"/>
            </w:numPr>
            <w:spacing w:after="0" w:line="240" w:lineRule="auto"/>
            <w:jc w:val="both"/>
            <w:rPr>
              <w:lang w:val="en-IE"/>
            </w:rPr>
          </w:pPr>
          <w:r w:rsidRPr="004E4138">
            <w:rPr>
              <w:lang w:val="en-IE"/>
            </w:rPr>
            <w:t xml:space="preserve">Strong coordination, organisational and prioritisation skills, </w:t>
          </w:r>
          <w:r>
            <w:rPr>
              <w:lang w:val="en-IE"/>
            </w:rPr>
            <w:t xml:space="preserve">as well as a strong </w:t>
          </w:r>
          <w:r w:rsidRPr="004E4138">
            <w:rPr>
              <w:lang w:val="en-IE"/>
            </w:rPr>
            <w:t xml:space="preserve">team spirit </w:t>
          </w:r>
          <w:r>
            <w:rPr>
              <w:lang w:val="en-IE"/>
            </w:rPr>
            <w:t>and capacity to work autonomously</w:t>
          </w:r>
          <w:r w:rsidRPr="004E4138">
            <w:rPr>
              <w:lang w:val="en-IE"/>
            </w:rPr>
            <w:t>.</w:t>
          </w:r>
        </w:p>
        <w:p w14:paraId="7ACA6638" w14:textId="77777777" w:rsidR="00C76170" w:rsidRDefault="004E4138" w:rsidP="004E4138">
          <w:pPr>
            <w:pStyle w:val="ListParagraph"/>
            <w:numPr>
              <w:ilvl w:val="0"/>
              <w:numId w:val="34"/>
            </w:numPr>
            <w:spacing w:after="0" w:line="240" w:lineRule="auto"/>
            <w:jc w:val="both"/>
            <w:rPr>
              <w:lang w:val="en-IE"/>
            </w:rPr>
          </w:pPr>
          <w:r w:rsidRPr="004E4138">
            <w:rPr>
              <w:lang w:val="en-IE"/>
            </w:rPr>
            <w:t xml:space="preserve">A track record of taking responsibility, delivering results on complex files, finding consensus, meeting deadlines and using a proactive approach; </w:t>
          </w:r>
        </w:p>
        <w:p w14:paraId="06BF19AF" w14:textId="457BADE0" w:rsidR="00C76170" w:rsidRPr="00C76170" w:rsidRDefault="00C76170" w:rsidP="00C76170">
          <w:pPr>
            <w:pStyle w:val="ListParagraph"/>
            <w:numPr>
              <w:ilvl w:val="0"/>
              <w:numId w:val="34"/>
            </w:numPr>
            <w:rPr>
              <w:lang w:val="en-IE"/>
            </w:rPr>
          </w:pPr>
          <w:r w:rsidRPr="00C76170">
            <w:rPr>
              <w:lang w:val="en-IE"/>
            </w:rPr>
            <w:t xml:space="preserve">Knowledge </w:t>
          </w:r>
          <w:r>
            <w:rPr>
              <w:lang w:val="en-IE"/>
            </w:rPr>
            <w:t>of</w:t>
          </w:r>
          <w:r w:rsidRPr="00C76170">
            <w:rPr>
              <w:lang w:val="en-IE"/>
            </w:rPr>
            <w:t xml:space="preserve"> the gas sector, </w:t>
          </w:r>
          <w:r>
            <w:rPr>
              <w:lang w:val="en-IE"/>
            </w:rPr>
            <w:t>renewable gases including hydrogen</w:t>
          </w:r>
          <w:r w:rsidRPr="00C76170">
            <w:rPr>
              <w:lang w:val="en-IE"/>
            </w:rPr>
            <w:t xml:space="preserve"> would be an asset</w:t>
          </w:r>
          <w:r>
            <w:rPr>
              <w:lang w:val="en-IE"/>
            </w:rPr>
            <w:t>;</w:t>
          </w:r>
        </w:p>
        <w:p w14:paraId="60866269" w14:textId="3D6F1257" w:rsidR="004E4138" w:rsidRPr="00C76170" w:rsidRDefault="004E4138" w:rsidP="004E4138">
          <w:pPr>
            <w:pStyle w:val="ListParagraph"/>
            <w:numPr>
              <w:ilvl w:val="0"/>
              <w:numId w:val="34"/>
            </w:numPr>
            <w:spacing w:after="0" w:line="240" w:lineRule="auto"/>
            <w:jc w:val="both"/>
            <w:rPr>
              <w:lang w:val="en-IE"/>
            </w:rPr>
          </w:pPr>
          <w:r w:rsidRPr="00C76170">
            <w:rPr>
              <w:lang w:val="en-IE"/>
            </w:rPr>
            <w:t xml:space="preserve">and </w:t>
          </w:r>
          <w:r w:rsidR="00C76170" w:rsidRPr="00C76170">
            <w:rPr>
              <w:lang w:val="en-IE"/>
            </w:rPr>
            <w:t>knowledge and/or experience with internal Commission processes and inter-institutional relations, processes and dynamics would be also an asset.</w:t>
          </w:r>
        </w:p>
        <w:p w14:paraId="5918E2C2" w14:textId="21AE7DDC" w:rsidR="004E4138" w:rsidRDefault="004E4138" w:rsidP="004E4138">
          <w:r>
            <w:lastRenderedPageBreak/>
            <w:t xml:space="preserve">The successful candidate will have excellent analytical, drafting, oral and written communication skills and </w:t>
          </w:r>
          <w:r w:rsidR="007C68A7">
            <w:t>will be</w:t>
          </w:r>
          <w:r>
            <w:t xml:space="preserve"> able to work in a proactive and autonomous way. The candidate also must have strong inter-personal, negotiation and networking skills demonstrated in a multicultural environment. This includes the ability to work with various teams, team spirit, and to coordinate efficiently both inside and outside a public administration, including other Commission services, the European institutions and Member States administrations, as appropriate. </w:t>
          </w:r>
        </w:p>
        <w:p w14:paraId="51994EDB" w14:textId="2CE5B0BF" w:rsidR="002E40A9" w:rsidRPr="004E4138" w:rsidRDefault="004E4138" w:rsidP="002E40A9">
          <w:r>
            <w:t xml:space="preserve">A good command of English is required. Good knowledge of other EU languages, in particular French </w:t>
          </w:r>
          <w:r w:rsidR="007C68A7">
            <w:t>and/</w:t>
          </w:r>
          <w:r>
            <w:t>or German, would be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must be a national, regional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FB42D" w14:textId="77777777" w:rsidR="007D32E3" w:rsidRDefault="007D32E3">
      <w:pPr>
        <w:spacing w:after="0"/>
      </w:pPr>
      <w:r>
        <w:separator/>
      </w:r>
    </w:p>
  </w:endnote>
  <w:endnote w:type="continuationSeparator" w:id="0">
    <w:p w14:paraId="45E6C0E2" w14:textId="77777777" w:rsidR="007D32E3" w:rsidRDefault="007D32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8D22" w14:textId="3A937C58" w:rsidR="00F6462F" w:rsidRDefault="00F4683D">
    <w:pPr>
      <w:pStyle w:val="FooterLine"/>
      <w:jc w:val="center"/>
    </w:pPr>
    <w:r>
      <w:fldChar w:fldCharType="begin"/>
    </w:r>
    <w:r>
      <w:instrText>PAGE   \* MERGEFORMAT</w:instrText>
    </w:r>
    <w:r>
      <w:fldChar w:fldCharType="separate"/>
    </w:r>
    <w:r w:rsidR="008C6BA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80183" w14:textId="77777777" w:rsidR="007D32E3" w:rsidRDefault="007D32E3">
      <w:pPr>
        <w:spacing w:after="0"/>
      </w:pPr>
      <w:r>
        <w:separator/>
      </w:r>
    </w:p>
  </w:footnote>
  <w:footnote w:type="continuationSeparator" w:id="0">
    <w:p w14:paraId="025D5A00" w14:textId="77777777" w:rsidR="007D32E3" w:rsidRDefault="007D32E3">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5A61D3C"/>
    <w:multiLevelType w:val="hybridMultilevel"/>
    <w:tmpl w:val="7E66B1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15"/>
  </w:num>
  <w:num w:numId="3">
    <w:abstractNumId w:val="9"/>
  </w:num>
  <w:num w:numId="4">
    <w:abstractNumId w:val="16"/>
  </w:num>
  <w:num w:numId="5">
    <w:abstractNumId w:val="21"/>
  </w:num>
  <w:num w:numId="6">
    <w:abstractNumId w:val="23"/>
  </w:num>
  <w:num w:numId="7">
    <w:abstractNumId w:val="2"/>
  </w:num>
  <w:num w:numId="8">
    <w:abstractNumId w:val="8"/>
  </w:num>
  <w:num w:numId="9">
    <w:abstractNumId w:val="18"/>
  </w:num>
  <w:num w:numId="10">
    <w:abstractNumId w:val="3"/>
  </w:num>
  <w:num w:numId="11">
    <w:abstractNumId w:val="5"/>
  </w:num>
  <w:num w:numId="12">
    <w:abstractNumId w:val="6"/>
  </w:num>
  <w:num w:numId="13">
    <w:abstractNumId w:val="11"/>
  </w:num>
  <w:num w:numId="14">
    <w:abstractNumId w:val="17"/>
  </w:num>
  <w:num w:numId="15">
    <w:abstractNumId w:val="20"/>
  </w:num>
  <w:num w:numId="16">
    <w:abstractNumId w:val="24"/>
  </w:num>
  <w:num w:numId="17">
    <w:abstractNumId w:val="12"/>
  </w:num>
  <w:num w:numId="18">
    <w:abstractNumId w:val="13"/>
  </w:num>
  <w:num w:numId="19">
    <w:abstractNumId w:val="25"/>
  </w:num>
  <w:num w:numId="20">
    <w:abstractNumId w:val="19"/>
  </w:num>
  <w:num w:numId="21">
    <w:abstractNumId w:val="22"/>
  </w:num>
  <w:num w:numId="22">
    <w:abstractNumId w:val="4"/>
  </w:num>
  <w:num w:numId="23">
    <w:abstractNumId w:val="7"/>
  </w:num>
  <w:num w:numId="24">
    <w:abstractNumId w:val="14"/>
  </w:num>
  <w:num w:numId="25">
    <w:abstractNumId w:val="3"/>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3"/>
  </w:num>
  <w:num w:numId="29">
    <w:abstractNumId w:val="3"/>
  </w:num>
  <w:num w:numId="30">
    <w:abstractNumId w:val="3"/>
  </w:num>
  <w:num w:numId="31">
    <w:abstractNumId w:val="3"/>
  </w:num>
  <w:num w:numId="32">
    <w:abstractNumId w:val="3"/>
  </w:num>
  <w:num w:numId="33">
    <w:abstractNumId w:val="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UROLOOK"/>
  </w:docVars>
  <w:rsids>
    <w:rsidRoot w:val="00E21DBD"/>
    <w:rsid w:val="0007110E"/>
    <w:rsid w:val="0009143F"/>
    <w:rsid w:val="00092BCA"/>
    <w:rsid w:val="000A4668"/>
    <w:rsid w:val="000D129C"/>
    <w:rsid w:val="00111AB6"/>
    <w:rsid w:val="002109E6"/>
    <w:rsid w:val="0023337C"/>
    <w:rsid w:val="00252050"/>
    <w:rsid w:val="002B3CBF"/>
    <w:rsid w:val="002E40A9"/>
    <w:rsid w:val="003E50A4"/>
    <w:rsid w:val="004E4138"/>
    <w:rsid w:val="005168AD"/>
    <w:rsid w:val="0058240F"/>
    <w:rsid w:val="005D1B85"/>
    <w:rsid w:val="007C68A7"/>
    <w:rsid w:val="007D32E3"/>
    <w:rsid w:val="007E531E"/>
    <w:rsid w:val="007F7012"/>
    <w:rsid w:val="008C6BA1"/>
    <w:rsid w:val="008D02B7"/>
    <w:rsid w:val="00994062"/>
    <w:rsid w:val="00996CC6"/>
    <w:rsid w:val="009A2F00"/>
    <w:rsid w:val="009C5E27"/>
    <w:rsid w:val="00A033AD"/>
    <w:rsid w:val="00A716B1"/>
    <w:rsid w:val="00AB2CEA"/>
    <w:rsid w:val="00AF6424"/>
    <w:rsid w:val="00B24CC5"/>
    <w:rsid w:val="00B65513"/>
    <w:rsid w:val="00C06724"/>
    <w:rsid w:val="00C504C7"/>
    <w:rsid w:val="00C75BA4"/>
    <w:rsid w:val="00C76170"/>
    <w:rsid w:val="00CB5B61"/>
    <w:rsid w:val="00D96984"/>
    <w:rsid w:val="00DD41ED"/>
    <w:rsid w:val="00DF1E49"/>
    <w:rsid w:val="00E21DBD"/>
    <w:rsid w:val="00E342CB"/>
    <w:rsid w:val="00E44D7F"/>
    <w:rsid w:val="00F4683D"/>
    <w:rsid w:val="00F6462F"/>
    <w:rsid w:val="00FB240E"/>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6212B2" w:rsidP="006212B2">
          <w:pPr>
            <w:pStyle w:val="722A130BB2FD42CB99AF58537814D26D5"/>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6212B2" w:rsidP="006212B2">
          <w:pPr>
            <w:pStyle w:val="E4139A8A81AD41B0A456F71CC855670B5"/>
          </w:pPr>
          <w:r w:rsidRPr="0007110E">
            <w:rPr>
              <w:rStyle w:val="PlaceholderText"/>
              <w:bCs/>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6212B2" w:rsidP="006212B2">
          <w:pPr>
            <w:pStyle w:val="2CBB2A0B72674470B30B3225F78306DD3"/>
          </w:pPr>
          <w:r w:rsidRPr="0007110E">
            <w:rPr>
              <w:rStyle w:val="PlaceholderText"/>
              <w:bCs/>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6212B2" w:rsidP="006212B2">
          <w:pPr>
            <w:pStyle w:val="D6B275DB24F84EFBB866B5C9055058FF3"/>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6212B2" w:rsidP="006212B2">
          <w:pPr>
            <w:pStyle w:val="A1D7C4E93E5D41968C9784C962AACA553"/>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6212B2" w:rsidP="006212B2">
          <w:pPr>
            <w:pStyle w:val="84FB87486BC94E5EB76E972E1BD8265B3"/>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6212B2" w:rsidP="006212B2">
          <w:pPr>
            <w:pStyle w:val="70AAD37E9A1F4B5EA5C12705882999085"/>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4E24E4" w:rsidRDefault="006212B2" w:rsidP="006212B2">
          <w:pPr>
            <w:pStyle w:val="42CE55A0461841A39534A5E777539A672"/>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4E24E4"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4E24E4" w:rsidRDefault="006212B2" w:rsidP="006212B2">
          <w:pPr>
            <w:pStyle w:val="D53C757808094631B3D30FCCF370CC9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564FE3"/>
    <w:multiLevelType w:val="multilevel"/>
    <w:tmpl w:val="DE7A74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DB"/>
    <w:rsid w:val="002E255B"/>
    <w:rsid w:val="004E24E4"/>
    <w:rsid w:val="006212B2"/>
    <w:rsid w:val="007F7378"/>
    <w:rsid w:val="00894A0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212B2"/>
    <w:rPr>
      <w:color w:val="288061"/>
    </w:rPr>
  </w:style>
  <w:style w:type="paragraph" w:customStyle="1" w:styleId="70AAD37E9A1F4B5EA5C12705882999085">
    <w:name w:val="70AAD37E9A1F4B5EA5C1270588299908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5">
    <w:name w:val="722A130BB2FD42CB99AF58537814D26D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5">
    <w:name w:val="E4139A8A81AD41B0A456F71CC855670B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2">
    <w:name w:val="42CE55A0461841A39534A5E777539A672"/>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3">
    <w:name w:val="2CBB2A0B72674470B30B3225F78306DD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3">
    <w:name w:val="D6B275DB24F84EFBB866B5C9055058FF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3">
    <w:name w:val="A1D7C4E93E5D41968C9784C962AACA55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3">
    <w:name w:val="84FB87486BC94E5EB76E972E1BD8265B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62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558CC416-DB54-45A1-86CC-E28C5075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8</TotalTime>
  <Pages>4</Pages>
  <Words>1380</Words>
  <Characters>7869</Characters>
  <Application>Microsoft Office Word</Application>
  <DocSecurity>0</DocSecurity>
  <PresentationFormat>Microsoft Word 14.0</PresentationFormat>
  <Lines>65</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LAPINOVA Jana (ENER)</cp:lastModifiedBy>
  <cp:revision>4</cp:revision>
  <cp:lastPrinted>2023-04-05T10:36:00Z</cp:lastPrinted>
  <dcterms:created xsi:type="dcterms:W3CDTF">2023-05-05T10:11:00Z</dcterms:created>
  <dcterms:modified xsi:type="dcterms:W3CDTF">2023-05-10T14:45:00Z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