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1"/>
        <w:rPr>
          <w:sz w:val="20"/>
        </w:rPr>
      </w:pPr>
      <w:r>
        <w:rPr>
          <w:sz w:val="20"/>
        </w:rPr>
        <w:drawing>
          <wp:inline distT="0" distB="0" distL="0" distR="0">
            <wp:extent cx="1381125" cy="6858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381125" cy="685800"/>
                    </a:xfrm>
                    <a:prstGeom prst="rect">
                      <a:avLst/>
                    </a:prstGeom>
                  </pic:spPr>
                </pic:pic>
              </a:graphicData>
            </a:graphic>
          </wp:inline>
        </w:drawing>
      </w:r>
      <w:r>
        <w:rPr>
          <w:sz w:val="20"/>
        </w:rPr>
      </w:r>
    </w:p>
    <w:p>
      <w:pPr>
        <w:spacing w:before="68"/>
        <w:ind w:left="1283" w:right="1619" w:firstLine="0"/>
        <w:jc w:val="center"/>
        <w:rPr>
          <w:b/>
          <w:sz w:val="24"/>
        </w:rPr>
      </w:pPr>
      <w:r>
        <w:rPr>
          <w:b/>
          <w:sz w:val="24"/>
        </w:rPr>
        <w:t>VACANCY</w:t>
      </w:r>
      <w:r>
        <w:rPr>
          <w:b/>
          <w:spacing w:val="-4"/>
          <w:sz w:val="24"/>
        </w:rPr>
        <w:t> </w:t>
      </w:r>
      <w:r>
        <w:rPr>
          <w:b/>
          <w:spacing w:val="-2"/>
          <w:sz w:val="24"/>
        </w:rPr>
        <w:t>NOTICE</w:t>
      </w:r>
    </w:p>
    <w:p>
      <w:pPr>
        <w:pStyle w:val="BodyText"/>
        <w:spacing w:before="11"/>
        <w:rPr>
          <w:b/>
          <w:sz w:val="23"/>
        </w:rPr>
      </w:pPr>
    </w:p>
    <w:p>
      <w:pPr>
        <w:spacing w:before="0"/>
        <w:ind w:left="1285" w:right="1619" w:firstLine="0"/>
        <w:jc w:val="center"/>
        <w:rPr>
          <w:b/>
          <w:sz w:val="24"/>
        </w:rPr>
      </w:pPr>
      <w:r>
        <w:rPr>
          <w:b/>
          <w:sz w:val="24"/>
        </w:rPr>
        <w:t>SECONDED</w:t>
      </w:r>
      <w:r>
        <w:rPr>
          <w:b/>
          <w:spacing w:val="-6"/>
          <w:sz w:val="24"/>
        </w:rPr>
        <w:t> </w:t>
      </w:r>
      <w:r>
        <w:rPr>
          <w:b/>
          <w:sz w:val="24"/>
        </w:rPr>
        <w:t>NATIONAL</w:t>
      </w:r>
      <w:r>
        <w:rPr>
          <w:b/>
          <w:spacing w:val="-4"/>
          <w:sz w:val="24"/>
        </w:rPr>
        <w:t> </w:t>
      </w:r>
      <w:r>
        <w:rPr>
          <w:b/>
          <w:sz w:val="24"/>
        </w:rPr>
        <w:t>EXPERT</w:t>
      </w:r>
      <w:r>
        <w:rPr>
          <w:b/>
          <w:spacing w:val="-3"/>
          <w:sz w:val="24"/>
        </w:rPr>
        <w:t> </w:t>
      </w:r>
      <w:r>
        <w:rPr>
          <w:b/>
          <w:sz w:val="24"/>
        </w:rPr>
        <w:t>TO</w:t>
      </w:r>
      <w:r>
        <w:rPr>
          <w:b/>
          <w:spacing w:val="-3"/>
          <w:sz w:val="24"/>
        </w:rPr>
        <w:t> </w:t>
      </w:r>
      <w:r>
        <w:rPr>
          <w:b/>
          <w:sz w:val="24"/>
        </w:rPr>
        <w:t>THE</w:t>
      </w:r>
      <w:r>
        <w:rPr>
          <w:b/>
          <w:spacing w:val="-3"/>
          <w:sz w:val="24"/>
        </w:rPr>
        <w:t> </w:t>
      </w:r>
      <w:r>
        <w:rPr>
          <w:b/>
          <w:sz w:val="24"/>
        </w:rPr>
        <w:t>EUROPEAN</w:t>
      </w:r>
      <w:r>
        <w:rPr>
          <w:b/>
          <w:spacing w:val="-3"/>
          <w:sz w:val="24"/>
        </w:rPr>
        <w:t> </w:t>
      </w:r>
      <w:r>
        <w:rPr>
          <w:b/>
          <w:spacing w:val="-2"/>
          <w:sz w:val="24"/>
        </w:rPr>
        <w:t>COMMISSION</w:t>
      </w:r>
    </w:p>
    <w:p>
      <w:pPr>
        <w:pStyle w:val="BodyText"/>
        <w:rPr>
          <w:b/>
          <w:sz w:val="24"/>
        </w:rPr>
      </w:pPr>
    </w:p>
    <w:tbl>
      <w:tblPr>
        <w:tblW w:w="0" w:type="auto"/>
        <w:jc w:val="left"/>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60"/>
        <w:gridCol w:w="5597"/>
      </w:tblGrid>
      <w:tr>
        <w:trPr>
          <w:trHeight w:val="610" w:hRule="atLeast"/>
        </w:trPr>
        <w:tc>
          <w:tcPr>
            <w:tcW w:w="4360" w:type="dxa"/>
          </w:tcPr>
          <w:p>
            <w:pPr>
              <w:pStyle w:val="TableParagraph"/>
              <w:rPr>
                <w:b/>
                <w:sz w:val="24"/>
              </w:rPr>
            </w:pPr>
            <w:r>
              <w:rPr>
                <w:b/>
                <w:sz w:val="24"/>
              </w:rPr>
              <w:t>Post</w:t>
            </w:r>
            <w:r>
              <w:rPr>
                <w:b/>
                <w:spacing w:val="-3"/>
                <w:sz w:val="24"/>
              </w:rPr>
              <w:t> </w:t>
            </w:r>
            <w:r>
              <w:rPr>
                <w:b/>
                <w:spacing w:val="-2"/>
                <w:sz w:val="24"/>
              </w:rPr>
              <w:t>identification:</w:t>
            </w:r>
          </w:p>
          <w:p>
            <w:pPr>
              <w:pStyle w:val="TableParagraph"/>
              <w:rPr>
                <w:sz w:val="24"/>
              </w:rPr>
            </w:pPr>
            <w:r>
              <w:rPr>
                <w:spacing w:val="-2"/>
                <w:sz w:val="24"/>
              </w:rPr>
              <w:t>(DG-DIR-</w:t>
            </w:r>
            <w:r>
              <w:rPr>
                <w:spacing w:val="-4"/>
                <w:sz w:val="24"/>
              </w:rPr>
              <w:t>UNIT)</w:t>
            </w:r>
          </w:p>
        </w:tc>
        <w:tc>
          <w:tcPr>
            <w:tcW w:w="5597" w:type="dxa"/>
          </w:tcPr>
          <w:p>
            <w:pPr>
              <w:pStyle w:val="TableParagraph"/>
              <w:spacing w:before="168"/>
              <w:rPr>
                <w:sz w:val="24"/>
              </w:rPr>
            </w:pPr>
            <w:r>
              <w:rPr>
                <w:spacing w:val="-2"/>
                <w:sz w:val="24"/>
              </w:rPr>
              <w:t>DEFIS-C-C2.001</w:t>
            </w:r>
          </w:p>
        </w:tc>
      </w:tr>
      <w:tr>
        <w:trPr>
          <w:trHeight w:val="1977" w:hRule="atLeast"/>
        </w:trPr>
        <w:tc>
          <w:tcPr>
            <w:tcW w:w="4360" w:type="dxa"/>
            <w:vMerge w:val="restart"/>
          </w:tcPr>
          <w:p>
            <w:pPr>
              <w:pStyle w:val="TableParagraph"/>
              <w:spacing w:line="252" w:lineRule="exact" w:before="1"/>
              <w:rPr>
                <w:b/>
                <w:sz w:val="22"/>
              </w:rPr>
            </w:pPr>
            <w:r>
              <w:rPr>
                <w:b/>
                <w:sz w:val="22"/>
              </w:rPr>
              <w:t>Head</w:t>
            </w:r>
            <w:r>
              <w:rPr>
                <w:b/>
                <w:spacing w:val="-5"/>
                <w:sz w:val="22"/>
              </w:rPr>
              <w:t> </w:t>
            </w:r>
            <w:r>
              <w:rPr>
                <w:b/>
                <w:sz w:val="22"/>
              </w:rPr>
              <w:t>of</w:t>
            </w:r>
            <w:r>
              <w:rPr>
                <w:b/>
                <w:spacing w:val="-4"/>
                <w:sz w:val="22"/>
              </w:rPr>
              <w:t> </w:t>
            </w:r>
            <w:r>
              <w:rPr>
                <w:b/>
                <w:spacing w:val="-2"/>
                <w:sz w:val="22"/>
              </w:rPr>
              <w:t>Unit:</w:t>
            </w:r>
          </w:p>
          <w:p>
            <w:pPr>
              <w:pStyle w:val="TableParagraph"/>
              <w:ind w:right="2825"/>
              <w:rPr>
                <w:b/>
                <w:sz w:val="22"/>
              </w:rPr>
            </w:pPr>
            <w:r>
              <w:rPr>
                <w:b/>
                <w:sz w:val="22"/>
              </w:rPr>
              <w:t>Email</w:t>
            </w:r>
            <w:r>
              <w:rPr>
                <w:b/>
                <w:spacing w:val="-14"/>
                <w:sz w:val="22"/>
              </w:rPr>
              <w:t> </w:t>
            </w:r>
            <w:r>
              <w:rPr>
                <w:b/>
                <w:sz w:val="22"/>
              </w:rPr>
              <w:t>address: </w:t>
            </w:r>
            <w:r>
              <w:rPr>
                <w:b/>
                <w:spacing w:val="-2"/>
                <w:sz w:val="22"/>
              </w:rPr>
              <w:t>Telephone:</w:t>
            </w:r>
          </w:p>
          <w:p>
            <w:pPr>
              <w:pStyle w:val="TableParagraph"/>
              <w:ind w:right="1276"/>
              <w:rPr>
                <w:b/>
                <w:sz w:val="22"/>
              </w:rPr>
            </w:pPr>
            <w:r>
              <w:rPr>
                <w:b/>
                <w:sz w:val="22"/>
              </w:rPr>
              <w:t>Number</w:t>
            </w:r>
            <w:r>
              <w:rPr>
                <w:b/>
                <w:spacing w:val="-13"/>
                <w:sz w:val="22"/>
              </w:rPr>
              <w:t> </w:t>
            </w:r>
            <w:r>
              <w:rPr>
                <w:b/>
                <w:sz w:val="22"/>
              </w:rPr>
              <w:t>of</w:t>
            </w:r>
            <w:r>
              <w:rPr>
                <w:b/>
                <w:spacing w:val="-12"/>
                <w:sz w:val="22"/>
              </w:rPr>
              <w:t> </w:t>
            </w:r>
            <w:r>
              <w:rPr>
                <w:b/>
                <w:sz w:val="22"/>
              </w:rPr>
              <w:t>available</w:t>
            </w:r>
            <w:r>
              <w:rPr>
                <w:b/>
                <w:spacing w:val="-13"/>
                <w:sz w:val="22"/>
              </w:rPr>
              <w:t> </w:t>
            </w:r>
            <w:r>
              <w:rPr>
                <w:b/>
                <w:sz w:val="22"/>
              </w:rPr>
              <w:t>posts: Suggested taking up duty: Suggested</w:t>
            </w:r>
            <w:r>
              <w:rPr>
                <w:b/>
                <w:spacing w:val="-4"/>
                <w:sz w:val="22"/>
              </w:rPr>
              <w:t> </w:t>
            </w:r>
            <w:r>
              <w:rPr>
                <w:b/>
                <w:sz w:val="22"/>
              </w:rPr>
              <w:t>initial</w:t>
            </w:r>
            <w:r>
              <w:rPr>
                <w:b/>
                <w:spacing w:val="-4"/>
                <w:sz w:val="22"/>
              </w:rPr>
              <w:t> </w:t>
            </w:r>
            <w:r>
              <w:rPr>
                <w:b/>
                <w:sz w:val="22"/>
              </w:rPr>
              <w:t>duration: Place of secondment:</w:t>
            </w:r>
          </w:p>
        </w:tc>
        <w:tc>
          <w:tcPr>
            <w:tcW w:w="5597" w:type="dxa"/>
          </w:tcPr>
          <w:p>
            <w:pPr>
              <w:pStyle w:val="TableParagraph"/>
              <w:spacing w:before="1"/>
              <w:ind w:right="1623"/>
              <w:rPr>
                <w:sz w:val="24"/>
              </w:rPr>
            </w:pPr>
            <w:r>
              <w:rPr>
                <w:sz w:val="24"/>
              </w:rPr>
              <w:t>Paul Flament </w:t>
            </w:r>
            <w:hyperlink r:id="rId7">
              <w:r>
                <w:rPr>
                  <w:color w:val="0000FF"/>
                  <w:spacing w:val="-2"/>
                  <w:sz w:val="24"/>
                  <w:u w:val="single" w:color="0000FF"/>
                </w:rPr>
                <w:t>Paul.flament@ec.europa.eu</w:t>
              </w:r>
            </w:hyperlink>
          </w:p>
          <w:p>
            <w:pPr>
              <w:pStyle w:val="TableParagraph"/>
              <w:rPr>
                <w:sz w:val="24"/>
              </w:rPr>
            </w:pPr>
            <w:r>
              <w:rPr>
                <w:spacing w:val="-2"/>
                <w:sz w:val="24"/>
              </w:rPr>
              <w:t>+3222956342</w:t>
            </w:r>
          </w:p>
          <w:p>
            <w:pPr>
              <w:pStyle w:val="TableParagraph"/>
              <w:spacing w:line="275" w:lineRule="exact"/>
              <w:rPr>
                <w:sz w:val="24"/>
              </w:rPr>
            </w:pPr>
            <w:r>
              <w:rPr>
                <w:sz w:val="24"/>
              </w:rPr>
              <w:t>1</w:t>
            </w:r>
          </w:p>
          <w:p>
            <w:pPr>
              <w:pStyle w:val="TableParagraph"/>
              <w:spacing w:line="252" w:lineRule="exact"/>
              <w:rPr>
                <w:b/>
                <w:sz w:val="22"/>
              </w:rPr>
            </w:pPr>
            <w:r>
              <w:rPr>
                <w:b/>
                <w:sz w:val="22"/>
              </w:rPr>
              <w:t>1</w:t>
            </w:r>
            <w:r>
              <w:rPr>
                <w:b/>
                <w:sz w:val="22"/>
                <w:vertAlign w:val="superscript"/>
              </w:rPr>
              <w:t>st</w:t>
            </w:r>
            <w:r>
              <w:rPr>
                <w:b/>
                <w:spacing w:val="-6"/>
                <w:sz w:val="22"/>
                <w:vertAlign w:val="baseline"/>
              </w:rPr>
              <w:t> </w:t>
            </w:r>
            <w:r>
              <w:rPr>
                <w:b/>
                <w:sz w:val="22"/>
                <w:vertAlign w:val="baseline"/>
              </w:rPr>
              <w:t>quarter</w:t>
            </w:r>
            <w:r>
              <w:rPr>
                <w:b/>
                <w:spacing w:val="-6"/>
                <w:sz w:val="22"/>
                <w:vertAlign w:val="baseline"/>
              </w:rPr>
              <w:t> </w:t>
            </w:r>
            <w:r>
              <w:rPr>
                <w:b/>
                <w:sz w:val="22"/>
                <w:vertAlign w:val="baseline"/>
              </w:rPr>
              <w:t>2024</w:t>
            </w:r>
            <w:r>
              <w:rPr>
                <w:b/>
                <w:spacing w:val="-6"/>
                <w:sz w:val="22"/>
                <w:vertAlign w:val="baseline"/>
              </w:rPr>
              <w:t> </w:t>
            </w:r>
            <w:r>
              <w:rPr>
                <w:b/>
                <w:spacing w:val="-10"/>
                <w:sz w:val="22"/>
                <w:vertAlign w:val="superscript"/>
              </w:rPr>
              <w:t>1</w:t>
            </w:r>
          </w:p>
          <w:p>
            <w:pPr>
              <w:pStyle w:val="TableParagraph"/>
              <w:rPr>
                <w:b/>
                <w:sz w:val="22"/>
              </w:rPr>
            </w:pPr>
            <w:r>
              <w:rPr>
                <w:b/>
                <w:sz w:val="22"/>
              </w:rPr>
              <w:t>2</w:t>
            </w:r>
            <w:r>
              <w:rPr>
                <w:b/>
                <w:spacing w:val="-2"/>
                <w:sz w:val="22"/>
              </w:rPr>
              <w:t> year(s</w:t>
            </w:r>
            <w:r>
              <w:rPr>
                <w:b/>
                <w:spacing w:val="-2"/>
                <w:sz w:val="22"/>
                <w:vertAlign w:val="superscript"/>
              </w:rPr>
              <w:t>)1</w:t>
            </w:r>
          </w:p>
          <w:p>
            <w:pPr>
              <w:pStyle w:val="TableParagraph"/>
              <w:spacing w:before="1"/>
              <w:rPr>
                <w:b/>
                <w:sz w:val="22"/>
              </w:rPr>
            </w:pPr>
            <w:r>
              <w:rPr>
                <w:sz w:val="22"/>
              </w:rPr>
              <w:t>X</w:t>
            </w:r>
            <w:r>
              <w:rPr>
                <w:spacing w:val="-6"/>
                <w:sz w:val="22"/>
              </w:rPr>
              <w:t> </w:t>
            </w:r>
            <w:r>
              <w:rPr>
                <w:b/>
                <w:sz w:val="22"/>
              </w:rPr>
              <w:t>Brussels</w:t>
            </w:r>
            <w:r>
              <w:rPr>
                <w:b/>
                <w:spacing w:val="45"/>
                <w:sz w:val="22"/>
              </w:rPr>
              <w:t> </w:t>
            </w:r>
            <w:r>
              <w:rPr>
                <w:rFonts w:ascii="Wingdings 2" w:hAnsi="Wingdings 2"/>
                <w:sz w:val="22"/>
              </w:rPr>
              <w:t></w:t>
            </w:r>
            <w:r>
              <w:rPr>
                <w:spacing w:val="-5"/>
                <w:sz w:val="22"/>
              </w:rPr>
              <w:t> </w:t>
            </w:r>
            <w:r>
              <w:rPr>
                <w:b/>
                <w:sz w:val="22"/>
              </w:rPr>
              <w:t>Luxemburg</w:t>
            </w:r>
            <w:r>
              <w:rPr>
                <w:b/>
                <w:spacing w:val="45"/>
                <w:sz w:val="22"/>
              </w:rPr>
              <w:t> </w:t>
            </w:r>
            <w:r>
              <w:rPr>
                <w:rFonts w:ascii="Wingdings 2" w:hAnsi="Wingdings 2"/>
                <w:sz w:val="22"/>
              </w:rPr>
              <w:t></w:t>
            </w:r>
            <w:r>
              <w:rPr>
                <w:spacing w:val="-5"/>
                <w:sz w:val="22"/>
              </w:rPr>
              <w:t> </w:t>
            </w:r>
            <w:r>
              <w:rPr>
                <w:b/>
                <w:sz w:val="22"/>
              </w:rPr>
              <w:t>Other:</w:t>
            </w:r>
            <w:r>
              <w:rPr>
                <w:b/>
                <w:spacing w:val="-4"/>
                <w:sz w:val="22"/>
              </w:rPr>
              <w:t> </w:t>
            </w:r>
            <w:r>
              <w:rPr>
                <w:b/>
                <w:spacing w:val="-2"/>
                <w:sz w:val="22"/>
              </w:rPr>
              <w:t>……………..</w:t>
            </w:r>
          </w:p>
        </w:tc>
      </w:tr>
      <w:tr>
        <w:trPr>
          <w:trHeight w:val="545" w:hRule="atLeast"/>
        </w:trPr>
        <w:tc>
          <w:tcPr>
            <w:tcW w:w="4360" w:type="dxa"/>
            <w:vMerge/>
            <w:tcBorders>
              <w:top w:val="nil"/>
            </w:tcBorders>
          </w:tcPr>
          <w:p>
            <w:pPr>
              <w:rPr>
                <w:sz w:val="2"/>
                <w:szCs w:val="2"/>
              </w:rPr>
            </w:pPr>
          </w:p>
        </w:tc>
        <w:tc>
          <w:tcPr>
            <w:tcW w:w="5597" w:type="dxa"/>
          </w:tcPr>
          <w:p>
            <w:pPr>
              <w:pStyle w:val="TableParagraph"/>
              <w:tabs>
                <w:tab w:pos="438" w:val="left" w:leader="none"/>
                <w:tab w:pos="2972" w:val="left" w:leader="none"/>
              </w:tabs>
              <w:spacing w:before="146"/>
              <w:rPr>
                <w:b/>
                <w:sz w:val="22"/>
              </w:rPr>
            </w:pPr>
            <w:r>
              <w:rPr>
                <w:spacing w:val="-10"/>
                <w:sz w:val="22"/>
              </w:rPr>
              <w:t>x</w:t>
            </w:r>
            <w:r>
              <w:rPr>
                <w:sz w:val="22"/>
              </w:rPr>
              <w:tab/>
            </w:r>
            <w:r>
              <w:rPr>
                <w:b/>
                <w:sz w:val="22"/>
              </w:rPr>
              <w:t>With</w:t>
            </w:r>
            <w:r>
              <w:rPr>
                <w:b/>
                <w:spacing w:val="-5"/>
                <w:sz w:val="22"/>
              </w:rPr>
              <w:t> </w:t>
            </w:r>
            <w:r>
              <w:rPr>
                <w:b/>
                <w:spacing w:val="-2"/>
                <w:sz w:val="22"/>
              </w:rPr>
              <w:t>allowances</w:t>
            </w:r>
            <w:r>
              <w:rPr>
                <w:b/>
                <w:sz w:val="22"/>
              </w:rPr>
              <w:tab/>
            </w:r>
            <w:r>
              <w:rPr>
                <w:rFonts w:ascii="Wingdings 2" w:hAnsi="Wingdings 2"/>
                <w:sz w:val="22"/>
              </w:rPr>
              <w:t></w:t>
            </w:r>
            <w:r>
              <w:rPr>
                <w:spacing w:val="74"/>
                <w:w w:val="150"/>
                <w:sz w:val="22"/>
              </w:rPr>
              <w:t> </w:t>
            </w:r>
            <w:r>
              <w:rPr>
                <w:b/>
                <w:sz w:val="22"/>
              </w:rPr>
              <w:t>Cost-</w:t>
            </w:r>
            <w:r>
              <w:rPr>
                <w:b/>
                <w:spacing w:val="-4"/>
                <w:sz w:val="22"/>
              </w:rPr>
              <w:t>free</w:t>
            </w:r>
          </w:p>
        </w:tc>
      </w:tr>
      <w:tr>
        <w:trPr>
          <w:trHeight w:val="2111" w:hRule="atLeast"/>
        </w:trPr>
        <w:tc>
          <w:tcPr>
            <w:tcW w:w="9957" w:type="dxa"/>
            <w:gridSpan w:val="2"/>
          </w:tcPr>
          <w:p>
            <w:pPr>
              <w:pStyle w:val="TableParagraph"/>
              <w:spacing w:before="8"/>
              <w:ind w:left="0"/>
              <w:rPr>
                <w:b/>
                <w:sz w:val="21"/>
              </w:rPr>
            </w:pPr>
          </w:p>
          <w:p>
            <w:pPr>
              <w:pStyle w:val="TableParagraph"/>
              <w:spacing w:before="1"/>
              <w:rPr>
                <w:b/>
                <w:sz w:val="22"/>
              </w:rPr>
            </w:pPr>
            <w:r>
              <w:rPr>
                <w:b/>
                <w:sz w:val="22"/>
              </w:rPr>
              <w:t>This</w:t>
            </w:r>
            <w:r>
              <w:rPr>
                <w:b/>
                <w:spacing w:val="-7"/>
                <w:sz w:val="22"/>
              </w:rPr>
              <w:t> </w:t>
            </w:r>
            <w:r>
              <w:rPr>
                <w:b/>
                <w:sz w:val="22"/>
              </w:rPr>
              <w:t>vacancy</w:t>
            </w:r>
            <w:r>
              <w:rPr>
                <w:b/>
                <w:spacing w:val="-6"/>
                <w:sz w:val="22"/>
              </w:rPr>
              <w:t> </w:t>
            </w:r>
            <w:r>
              <w:rPr>
                <w:b/>
                <w:sz w:val="22"/>
              </w:rPr>
              <w:t>notice</w:t>
            </w:r>
            <w:r>
              <w:rPr>
                <w:b/>
                <w:spacing w:val="-7"/>
                <w:sz w:val="22"/>
              </w:rPr>
              <w:t> </w:t>
            </w:r>
            <w:r>
              <w:rPr>
                <w:b/>
                <w:sz w:val="22"/>
              </w:rPr>
              <w:t>is</w:t>
            </w:r>
            <w:r>
              <w:rPr>
                <w:b/>
                <w:spacing w:val="-7"/>
                <w:sz w:val="22"/>
              </w:rPr>
              <w:t> </w:t>
            </w:r>
            <w:r>
              <w:rPr>
                <w:b/>
                <w:sz w:val="22"/>
              </w:rPr>
              <w:t>also</w:t>
            </w:r>
            <w:r>
              <w:rPr>
                <w:b/>
                <w:spacing w:val="-6"/>
                <w:sz w:val="22"/>
              </w:rPr>
              <w:t> </w:t>
            </w:r>
            <w:r>
              <w:rPr>
                <w:b/>
                <w:sz w:val="22"/>
              </w:rPr>
              <w:t>open</w:t>
            </w:r>
            <w:r>
              <w:rPr>
                <w:b/>
                <w:spacing w:val="-6"/>
                <w:sz w:val="22"/>
              </w:rPr>
              <w:t> </w:t>
            </w:r>
            <w:r>
              <w:rPr>
                <w:b/>
                <w:spacing w:val="-5"/>
                <w:sz w:val="22"/>
              </w:rPr>
              <w:t>to</w:t>
            </w:r>
          </w:p>
          <w:p>
            <w:pPr>
              <w:pStyle w:val="TableParagraph"/>
              <w:ind w:left="0"/>
              <w:rPr>
                <w:b/>
                <w:sz w:val="22"/>
              </w:rPr>
            </w:pPr>
          </w:p>
          <w:p>
            <w:pPr>
              <w:pStyle w:val="TableParagraph"/>
              <w:numPr>
                <w:ilvl w:val="0"/>
                <w:numId w:val="1"/>
              </w:numPr>
              <w:tabs>
                <w:tab w:pos="541" w:val="left" w:leader="none"/>
              </w:tabs>
              <w:spacing w:line="240" w:lineRule="auto" w:before="1" w:after="0"/>
              <w:ind w:left="541" w:right="0" w:hanging="374"/>
              <w:jc w:val="left"/>
              <w:rPr>
                <w:rFonts w:ascii="Wingdings 2" w:hAnsi="Wingdings 2"/>
                <w:sz w:val="22"/>
              </w:rPr>
            </w:pPr>
            <w:r>
              <w:rPr>
                <w:b/>
                <w:sz w:val="24"/>
              </w:rPr>
              <w:t>the</w:t>
            </w:r>
            <w:r>
              <w:rPr>
                <w:b/>
                <w:spacing w:val="-3"/>
                <w:sz w:val="24"/>
              </w:rPr>
              <w:t> </w:t>
            </w:r>
            <w:r>
              <w:rPr>
                <w:b/>
                <w:sz w:val="24"/>
              </w:rPr>
              <w:t>following</w:t>
            </w:r>
            <w:r>
              <w:rPr>
                <w:b/>
                <w:spacing w:val="-2"/>
                <w:sz w:val="24"/>
              </w:rPr>
              <w:t> </w:t>
            </w:r>
            <w:r>
              <w:rPr>
                <w:b/>
                <w:sz w:val="24"/>
              </w:rPr>
              <w:t>EFTA</w:t>
            </w:r>
            <w:r>
              <w:rPr>
                <w:b/>
                <w:spacing w:val="-3"/>
                <w:sz w:val="24"/>
              </w:rPr>
              <w:t> </w:t>
            </w:r>
            <w:r>
              <w:rPr>
                <w:b/>
                <w:sz w:val="24"/>
              </w:rPr>
              <w:t>countries</w:t>
            </w:r>
            <w:r>
              <w:rPr>
                <w:b/>
                <w:spacing w:val="-2"/>
                <w:sz w:val="24"/>
              </w:rPr>
              <w:t> </w:t>
            </w:r>
            <w:r>
              <w:rPr>
                <w:b/>
                <w:spacing w:val="-10"/>
                <w:sz w:val="24"/>
              </w:rPr>
              <w:t>:</w:t>
            </w:r>
          </w:p>
          <w:p>
            <w:pPr>
              <w:pStyle w:val="TableParagraph"/>
              <w:numPr>
                <w:ilvl w:val="1"/>
                <w:numId w:val="1"/>
              </w:numPr>
              <w:tabs>
                <w:tab w:pos="1088" w:val="left" w:leader="none"/>
              </w:tabs>
              <w:spacing w:line="240" w:lineRule="auto" w:before="0" w:after="0"/>
              <w:ind w:left="1088" w:right="0" w:hanging="273"/>
              <w:jc w:val="left"/>
              <w:rPr>
                <w:b/>
                <w:sz w:val="24"/>
              </w:rPr>
            </w:pPr>
            <w:r>
              <w:rPr>
                <w:b/>
                <w:sz w:val="24"/>
              </w:rPr>
              <w:t>Iceland</w:t>
            </w:r>
            <w:r>
              <w:rPr>
                <w:b/>
                <w:spacing w:val="55"/>
                <w:sz w:val="24"/>
              </w:rPr>
              <w:t> </w:t>
            </w:r>
            <w:r>
              <w:rPr>
                <w:rFonts w:ascii="Wingdings 2" w:hAnsi="Wingdings 2"/>
                <w:b/>
                <w:sz w:val="24"/>
              </w:rPr>
              <w:t></w:t>
            </w:r>
            <w:r>
              <w:rPr>
                <w:spacing w:val="-1"/>
                <w:sz w:val="24"/>
              </w:rPr>
              <w:t> </w:t>
            </w:r>
            <w:r>
              <w:rPr>
                <w:b/>
                <w:sz w:val="24"/>
              </w:rPr>
              <w:t>Liechtenstein</w:t>
            </w:r>
            <w:r>
              <w:rPr>
                <w:b/>
                <w:spacing w:val="56"/>
                <w:sz w:val="24"/>
              </w:rPr>
              <w:t> </w:t>
            </w:r>
            <w:r>
              <w:rPr>
                <w:rFonts w:ascii="Wingdings 2" w:hAnsi="Wingdings 2"/>
                <w:sz w:val="22"/>
              </w:rPr>
              <w:t></w:t>
            </w:r>
            <w:r>
              <w:rPr>
                <w:spacing w:val="-2"/>
                <w:sz w:val="22"/>
              </w:rPr>
              <w:t> </w:t>
            </w:r>
            <w:r>
              <w:rPr>
                <w:b/>
                <w:sz w:val="24"/>
              </w:rPr>
              <w:t>Norway</w:t>
            </w:r>
            <w:r>
              <w:rPr>
                <w:b/>
                <w:spacing w:val="56"/>
                <w:sz w:val="24"/>
              </w:rPr>
              <w:t> </w:t>
            </w:r>
            <w:r>
              <w:rPr>
                <w:rFonts w:ascii="Wingdings 2" w:hAnsi="Wingdings 2"/>
                <w:b/>
                <w:sz w:val="24"/>
              </w:rPr>
              <w:t></w:t>
            </w:r>
            <w:r>
              <w:rPr>
                <w:spacing w:val="-2"/>
                <w:sz w:val="24"/>
              </w:rPr>
              <w:t> </w:t>
            </w:r>
            <w:r>
              <w:rPr>
                <w:b/>
                <w:spacing w:val="-2"/>
                <w:sz w:val="24"/>
              </w:rPr>
              <w:t>Switzerland</w:t>
            </w:r>
          </w:p>
          <w:p>
            <w:pPr>
              <w:pStyle w:val="TableParagraph"/>
              <w:numPr>
                <w:ilvl w:val="1"/>
                <w:numId w:val="1"/>
              </w:numPr>
              <w:tabs>
                <w:tab w:pos="1088" w:val="left" w:leader="none"/>
              </w:tabs>
              <w:spacing w:line="240" w:lineRule="auto" w:before="0" w:after="0"/>
              <w:ind w:left="1088" w:right="0" w:hanging="273"/>
              <w:jc w:val="left"/>
              <w:rPr>
                <w:b/>
                <w:sz w:val="24"/>
              </w:rPr>
            </w:pPr>
            <w:r>
              <w:rPr>
                <w:b/>
                <w:sz w:val="24"/>
              </w:rPr>
              <w:t>EFTA-EEA</w:t>
            </w:r>
            <w:r>
              <w:rPr>
                <w:b/>
                <w:spacing w:val="-7"/>
                <w:sz w:val="24"/>
              </w:rPr>
              <w:t> </w:t>
            </w:r>
            <w:r>
              <w:rPr>
                <w:b/>
                <w:sz w:val="24"/>
              </w:rPr>
              <w:t>In-Kind</w:t>
            </w:r>
            <w:r>
              <w:rPr>
                <w:b/>
                <w:spacing w:val="-4"/>
                <w:sz w:val="24"/>
              </w:rPr>
              <w:t> </w:t>
            </w:r>
            <w:r>
              <w:rPr>
                <w:b/>
                <w:sz w:val="24"/>
              </w:rPr>
              <w:t>agreement</w:t>
            </w:r>
            <w:r>
              <w:rPr>
                <w:b/>
                <w:spacing w:val="-5"/>
                <w:sz w:val="24"/>
              </w:rPr>
              <w:t> </w:t>
            </w:r>
            <w:r>
              <w:rPr>
                <w:b/>
                <w:sz w:val="24"/>
              </w:rPr>
              <w:t>(Iceland,</w:t>
            </w:r>
            <w:r>
              <w:rPr>
                <w:b/>
                <w:spacing w:val="-3"/>
                <w:sz w:val="24"/>
              </w:rPr>
              <w:t> </w:t>
            </w:r>
            <w:r>
              <w:rPr>
                <w:b/>
                <w:sz w:val="24"/>
              </w:rPr>
              <w:t>Liechtenstein,</w:t>
            </w:r>
            <w:r>
              <w:rPr>
                <w:b/>
                <w:spacing w:val="-5"/>
                <w:sz w:val="24"/>
              </w:rPr>
              <w:t> </w:t>
            </w:r>
            <w:r>
              <w:rPr>
                <w:b/>
                <w:spacing w:val="-2"/>
                <w:sz w:val="24"/>
              </w:rPr>
              <w:t>Norway)</w:t>
            </w:r>
          </w:p>
          <w:p>
            <w:pPr>
              <w:pStyle w:val="TableParagraph"/>
              <w:numPr>
                <w:ilvl w:val="0"/>
                <w:numId w:val="1"/>
              </w:numPr>
              <w:tabs>
                <w:tab w:pos="562" w:val="left" w:leader="none"/>
                <w:tab w:pos="3795" w:val="left" w:leader="none"/>
              </w:tabs>
              <w:spacing w:line="240" w:lineRule="auto" w:before="0" w:after="0"/>
              <w:ind w:left="562" w:right="0" w:hanging="455"/>
              <w:jc w:val="left"/>
              <w:rPr>
                <w:rFonts w:ascii="Wingdings 2" w:hAnsi="Wingdings 2"/>
                <w:b/>
                <w:sz w:val="24"/>
              </w:rPr>
            </w:pPr>
            <w:r>
              <w:rPr>
                <w:b/>
                <w:sz w:val="24"/>
              </w:rPr>
              <w:t>the</w:t>
            </w:r>
            <w:r>
              <w:rPr>
                <w:b/>
                <w:spacing w:val="-3"/>
                <w:sz w:val="24"/>
              </w:rPr>
              <w:t> </w:t>
            </w:r>
            <w:r>
              <w:rPr>
                <w:b/>
                <w:sz w:val="24"/>
              </w:rPr>
              <w:t>following</w:t>
            </w:r>
            <w:r>
              <w:rPr>
                <w:b/>
                <w:spacing w:val="-2"/>
                <w:sz w:val="24"/>
              </w:rPr>
              <w:t> </w:t>
            </w:r>
            <w:r>
              <w:rPr>
                <w:b/>
                <w:sz w:val="24"/>
              </w:rPr>
              <w:t>third</w:t>
            </w:r>
            <w:r>
              <w:rPr>
                <w:b/>
                <w:spacing w:val="-2"/>
                <w:sz w:val="24"/>
              </w:rPr>
              <w:t> countries:</w:t>
            </w:r>
            <w:r>
              <w:rPr>
                <w:b/>
                <w:sz w:val="24"/>
              </w:rPr>
              <w:tab/>
              <w:t>the</w:t>
            </w:r>
            <w:r>
              <w:rPr>
                <w:b/>
                <w:spacing w:val="-6"/>
                <w:sz w:val="24"/>
              </w:rPr>
              <w:t> </w:t>
            </w:r>
            <w:r>
              <w:rPr>
                <w:b/>
                <w:sz w:val="24"/>
              </w:rPr>
              <w:t>following</w:t>
            </w:r>
            <w:r>
              <w:rPr>
                <w:b/>
                <w:spacing w:val="-3"/>
                <w:sz w:val="24"/>
              </w:rPr>
              <w:t> </w:t>
            </w:r>
            <w:r>
              <w:rPr>
                <w:b/>
                <w:sz w:val="24"/>
              </w:rPr>
              <w:t>intergovernmental</w:t>
            </w:r>
            <w:r>
              <w:rPr>
                <w:b/>
                <w:spacing w:val="-4"/>
                <w:sz w:val="24"/>
              </w:rPr>
              <w:t> </w:t>
            </w:r>
            <w:r>
              <w:rPr>
                <w:b/>
                <w:spacing w:val="-2"/>
                <w:sz w:val="24"/>
              </w:rPr>
              <w:t>organisations:</w:t>
            </w:r>
          </w:p>
        </w:tc>
      </w:tr>
    </w:tbl>
    <w:p>
      <w:pPr>
        <w:pStyle w:val="BodyText"/>
        <w:spacing w:before="1"/>
        <w:rPr>
          <w:b/>
          <w:sz w:val="24"/>
        </w:rPr>
      </w:pPr>
    </w:p>
    <w:p>
      <w:pPr>
        <w:pStyle w:val="ListParagraph"/>
        <w:numPr>
          <w:ilvl w:val="0"/>
          <w:numId w:val="2"/>
        </w:numPr>
        <w:tabs>
          <w:tab w:pos="796" w:val="left" w:leader="none"/>
        </w:tabs>
        <w:spacing w:line="240" w:lineRule="auto" w:before="0" w:after="0"/>
        <w:ind w:left="796" w:right="0" w:hanging="426"/>
        <w:jc w:val="left"/>
        <w:rPr>
          <w:b/>
          <w:sz w:val="24"/>
        </w:rPr>
      </w:pPr>
      <w:r>
        <w:rPr>
          <w:b/>
          <w:sz w:val="24"/>
          <w:u w:val="single"/>
        </w:rPr>
        <w:t>Nature</w:t>
      </w:r>
      <w:r>
        <w:rPr>
          <w:b/>
          <w:spacing w:val="-2"/>
          <w:sz w:val="24"/>
          <w:u w:val="single"/>
        </w:rPr>
        <w:t> </w:t>
      </w:r>
      <w:r>
        <w:rPr>
          <w:b/>
          <w:sz w:val="24"/>
          <w:u w:val="single"/>
        </w:rPr>
        <w:t>of</w:t>
      </w:r>
      <w:r>
        <w:rPr>
          <w:b/>
          <w:spacing w:val="-1"/>
          <w:sz w:val="24"/>
          <w:u w:val="single"/>
        </w:rPr>
        <w:t> </w:t>
      </w:r>
      <w:r>
        <w:rPr>
          <w:b/>
          <w:sz w:val="24"/>
          <w:u w:val="single"/>
        </w:rPr>
        <w:t>the</w:t>
      </w:r>
      <w:r>
        <w:rPr>
          <w:b/>
          <w:spacing w:val="-1"/>
          <w:sz w:val="24"/>
          <w:u w:val="single"/>
        </w:rPr>
        <w:t> </w:t>
      </w:r>
      <w:r>
        <w:rPr>
          <w:b/>
          <w:spacing w:val="-2"/>
          <w:sz w:val="24"/>
          <w:u w:val="single"/>
        </w:rPr>
        <w:t>tasks</w:t>
      </w:r>
    </w:p>
    <w:p>
      <w:pPr>
        <w:pStyle w:val="BodyText"/>
        <w:rPr>
          <w:b/>
          <w:sz w:val="20"/>
        </w:rPr>
      </w:pPr>
    </w:p>
    <w:p>
      <w:pPr>
        <w:pStyle w:val="BodyText"/>
        <w:spacing w:before="2"/>
        <w:rPr>
          <w:b/>
          <w:sz w:val="18"/>
        </w:rPr>
      </w:pPr>
    </w:p>
    <w:p>
      <w:pPr>
        <w:pStyle w:val="BodyText"/>
        <w:spacing w:before="90"/>
        <w:ind w:left="370" w:right="108"/>
        <w:jc w:val="both"/>
      </w:pPr>
      <w:r>
        <w:rPr/>
        <w:t>The Unit C2 is responsible for the management of the GNSS Programmes (Galileo and EGNOS) and is the</w:t>
      </w:r>
      <w:r>
        <w:rPr>
          <w:spacing w:val="40"/>
        </w:rPr>
        <w:t> </w:t>
      </w:r>
      <w:r>
        <w:rPr/>
        <w:t>interface between the stakeholders in the GNSS programmes dealing with the implementation, exploitation and security</w:t>
      </w:r>
      <w:r>
        <w:rPr>
          <w:spacing w:val="-1"/>
        </w:rPr>
        <w:t> </w:t>
      </w:r>
      <w:r>
        <w:rPr/>
        <w:t>of</w:t>
      </w:r>
      <w:r>
        <w:rPr>
          <w:spacing w:val="-1"/>
        </w:rPr>
        <w:t> </w:t>
      </w:r>
      <w:r>
        <w:rPr/>
        <w:t>Galileo and EGNOS.</w:t>
      </w:r>
      <w:r>
        <w:rPr>
          <w:spacing w:val="-1"/>
        </w:rPr>
        <w:t> </w:t>
      </w:r>
      <w:r>
        <w:rPr/>
        <w:t>It</w:t>
      </w:r>
      <w:r>
        <w:rPr>
          <w:spacing w:val="-1"/>
        </w:rPr>
        <w:t> </w:t>
      </w:r>
      <w:r>
        <w:rPr/>
        <w:t>therefore</w:t>
      </w:r>
      <w:r>
        <w:rPr>
          <w:spacing w:val="-1"/>
        </w:rPr>
        <w:t> </w:t>
      </w:r>
      <w:r>
        <w:rPr/>
        <w:t>deals</w:t>
      </w:r>
      <w:r>
        <w:rPr>
          <w:spacing w:val="-1"/>
        </w:rPr>
        <w:t> </w:t>
      </w:r>
      <w:r>
        <w:rPr/>
        <w:t>with the</w:t>
      </w:r>
      <w:r>
        <w:rPr>
          <w:spacing w:val="-1"/>
        </w:rPr>
        <w:t> </w:t>
      </w:r>
      <w:r>
        <w:rPr/>
        <w:t>European Space</w:t>
      </w:r>
      <w:r>
        <w:rPr>
          <w:spacing w:val="-1"/>
        </w:rPr>
        <w:t> </w:t>
      </w:r>
      <w:r>
        <w:rPr/>
        <w:t>Agency (ESA)</w:t>
      </w:r>
      <w:r>
        <w:rPr>
          <w:spacing w:val="-1"/>
        </w:rPr>
        <w:t> </w:t>
      </w:r>
      <w:r>
        <w:rPr/>
        <w:t>and the</w:t>
      </w:r>
      <w:r>
        <w:rPr>
          <w:spacing w:val="-1"/>
        </w:rPr>
        <w:t> </w:t>
      </w:r>
      <w:r>
        <w:rPr/>
        <w:t>European Space Agency (EUSPA), National Administrations and their Space Agencies, Commission Services and EU Agencies.</w:t>
      </w:r>
    </w:p>
    <w:p>
      <w:pPr>
        <w:pStyle w:val="BodyText"/>
      </w:pPr>
    </w:p>
    <w:p>
      <w:pPr>
        <w:pStyle w:val="BodyText"/>
        <w:ind w:left="370"/>
      </w:pPr>
      <w:r>
        <w:rPr/>
        <w:t>Unit C2 is a team of specialists with a technical, security engineering background, economists, legal- and policy experts</w:t>
      </w:r>
      <w:r>
        <w:rPr>
          <w:spacing w:val="-3"/>
        </w:rPr>
        <w:t> </w:t>
      </w:r>
      <w:r>
        <w:rPr/>
        <w:t>who</w:t>
      </w:r>
      <w:r>
        <w:rPr>
          <w:spacing w:val="-2"/>
        </w:rPr>
        <w:t> </w:t>
      </w:r>
      <w:r>
        <w:rPr/>
        <w:t>are</w:t>
      </w:r>
      <w:r>
        <w:rPr>
          <w:spacing w:val="-3"/>
        </w:rPr>
        <w:t> </w:t>
      </w:r>
      <w:r>
        <w:rPr/>
        <w:t>working</w:t>
      </w:r>
      <w:r>
        <w:rPr>
          <w:spacing w:val="-2"/>
        </w:rPr>
        <w:t> </w:t>
      </w:r>
      <w:r>
        <w:rPr/>
        <w:t>closely</w:t>
      </w:r>
      <w:r>
        <w:rPr>
          <w:spacing w:val="-2"/>
        </w:rPr>
        <w:t> </w:t>
      </w:r>
      <w:r>
        <w:rPr/>
        <w:t>with</w:t>
      </w:r>
      <w:r>
        <w:rPr>
          <w:spacing w:val="-2"/>
        </w:rPr>
        <w:t> </w:t>
      </w:r>
      <w:r>
        <w:rPr/>
        <w:t>their</w:t>
      </w:r>
      <w:r>
        <w:rPr>
          <w:spacing w:val="-2"/>
        </w:rPr>
        <w:t> </w:t>
      </w:r>
      <w:r>
        <w:rPr/>
        <w:t>counterparts</w:t>
      </w:r>
      <w:r>
        <w:rPr>
          <w:spacing w:val="-3"/>
        </w:rPr>
        <w:t> </w:t>
      </w:r>
      <w:r>
        <w:rPr/>
        <w:t>in</w:t>
      </w:r>
      <w:r>
        <w:rPr>
          <w:spacing w:val="-2"/>
        </w:rPr>
        <w:t> </w:t>
      </w:r>
      <w:r>
        <w:rPr/>
        <w:t>ESA</w:t>
      </w:r>
      <w:r>
        <w:rPr>
          <w:spacing w:val="-3"/>
        </w:rPr>
        <w:t> </w:t>
      </w:r>
      <w:r>
        <w:rPr/>
        <w:t>and</w:t>
      </w:r>
      <w:r>
        <w:rPr>
          <w:spacing w:val="-3"/>
        </w:rPr>
        <w:t> </w:t>
      </w:r>
      <w:r>
        <w:rPr/>
        <w:t>the</w:t>
      </w:r>
      <w:r>
        <w:rPr>
          <w:spacing w:val="-3"/>
        </w:rPr>
        <w:t> </w:t>
      </w:r>
      <w:r>
        <w:rPr/>
        <w:t>EUSPA</w:t>
      </w:r>
      <w:r>
        <w:rPr>
          <w:spacing w:val="-2"/>
        </w:rPr>
        <w:t> </w:t>
      </w:r>
      <w:r>
        <w:rPr/>
        <w:t>on</w:t>
      </w:r>
      <w:r>
        <w:rPr>
          <w:spacing w:val="-2"/>
        </w:rPr>
        <w:t> </w:t>
      </w:r>
      <w:r>
        <w:rPr/>
        <w:t>matters</w:t>
      </w:r>
      <w:r>
        <w:rPr>
          <w:spacing w:val="-3"/>
        </w:rPr>
        <w:t> </w:t>
      </w:r>
      <w:r>
        <w:rPr/>
        <w:t>related</w:t>
      </w:r>
      <w:r>
        <w:rPr>
          <w:spacing w:val="-2"/>
        </w:rPr>
        <w:t> </w:t>
      </w:r>
      <w:r>
        <w:rPr/>
        <w:t>to</w:t>
      </w:r>
      <w:r>
        <w:rPr>
          <w:spacing w:val="-2"/>
        </w:rPr>
        <w:t> </w:t>
      </w:r>
      <w:r>
        <w:rPr/>
        <w:t>the</w:t>
      </w:r>
      <w:r>
        <w:rPr>
          <w:spacing w:val="-3"/>
        </w:rPr>
        <w:t> </w:t>
      </w:r>
      <w:r>
        <w:rPr/>
        <w:t>technical management follow-up, services and exploitation and security of the programmes.</w:t>
      </w:r>
    </w:p>
    <w:p>
      <w:pPr>
        <w:pStyle w:val="BodyText"/>
      </w:pPr>
    </w:p>
    <w:p>
      <w:pPr>
        <w:pStyle w:val="BodyText"/>
        <w:ind w:left="370"/>
      </w:pPr>
      <w:r>
        <w:rPr/>
        <w:t>We</w:t>
      </w:r>
      <w:r>
        <w:rPr>
          <w:spacing w:val="-9"/>
        </w:rPr>
        <w:t> </w:t>
      </w:r>
      <w:r>
        <w:rPr/>
        <w:t>propose</w:t>
      </w:r>
      <w:r>
        <w:rPr>
          <w:spacing w:val="-9"/>
        </w:rPr>
        <w:t> </w:t>
      </w:r>
      <w:r>
        <w:rPr/>
        <w:t>a</w:t>
      </w:r>
      <w:r>
        <w:rPr>
          <w:spacing w:val="-8"/>
        </w:rPr>
        <w:t> </w:t>
      </w:r>
      <w:r>
        <w:rPr/>
        <w:t>position</w:t>
      </w:r>
      <w:r>
        <w:rPr>
          <w:spacing w:val="-9"/>
        </w:rPr>
        <w:t> </w:t>
      </w:r>
      <w:r>
        <w:rPr/>
        <w:t>as</w:t>
      </w:r>
      <w:r>
        <w:rPr>
          <w:spacing w:val="-8"/>
        </w:rPr>
        <w:t> </w:t>
      </w:r>
      <w:r>
        <w:rPr/>
        <w:t>Galileo</w:t>
      </w:r>
      <w:r>
        <w:rPr>
          <w:spacing w:val="-8"/>
        </w:rPr>
        <w:t> </w:t>
      </w:r>
      <w:r>
        <w:rPr/>
        <w:t>Implementation</w:t>
      </w:r>
      <w:r>
        <w:rPr>
          <w:spacing w:val="-8"/>
        </w:rPr>
        <w:t> </w:t>
      </w:r>
      <w:r>
        <w:rPr/>
        <w:t>Officer</w:t>
      </w:r>
      <w:r>
        <w:rPr>
          <w:spacing w:val="-7"/>
        </w:rPr>
        <w:t> </w:t>
      </w:r>
      <w:r>
        <w:rPr/>
        <w:t>in</w:t>
      </w:r>
      <w:r>
        <w:rPr>
          <w:spacing w:val="-8"/>
        </w:rPr>
        <w:t> </w:t>
      </w:r>
      <w:r>
        <w:rPr/>
        <w:t>the</w:t>
      </w:r>
      <w:r>
        <w:rPr>
          <w:spacing w:val="-9"/>
        </w:rPr>
        <w:t> </w:t>
      </w:r>
      <w:r>
        <w:rPr/>
        <w:t>Galileo</w:t>
      </w:r>
      <w:r>
        <w:rPr>
          <w:spacing w:val="-7"/>
        </w:rPr>
        <w:t> </w:t>
      </w:r>
      <w:r>
        <w:rPr/>
        <w:t>Implementation</w:t>
      </w:r>
      <w:r>
        <w:rPr>
          <w:spacing w:val="-8"/>
        </w:rPr>
        <w:t> </w:t>
      </w:r>
      <w:r>
        <w:rPr>
          <w:spacing w:val="-2"/>
        </w:rPr>
        <w:t>Sector.</w:t>
      </w:r>
    </w:p>
    <w:p>
      <w:pPr>
        <w:pStyle w:val="BodyText"/>
      </w:pPr>
    </w:p>
    <w:p>
      <w:pPr>
        <w:pStyle w:val="BodyText"/>
        <w:ind w:left="370" w:right="108"/>
        <w:jc w:val="both"/>
      </w:pPr>
      <w:r>
        <w:rPr/>
        <w:t>The Galileo Implementation Officer will be a member of the Galileo Implementation Sector within the C2 Unit.</w:t>
      </w:r>
      <w:r>
        <w:rPr>
          <w:spacing w:val="40"/>
        </w:rPr>
        <w:t> </w:t>
      </w:r>
      <w:r>
        <w:rPr/>
        <w:t>The mission of the Galileo Implementation Sector is to streamline the deployment of the Galileo infrastructure through a tight control of the schedule, costs and technical risks and through its support to the policy decision- making processes in GNSS. The team is composed of engineers with a high technical background in GNSS and project/programme management skills and coordinate the implementation of the Galileo infrastructure with the</w:t>
      </w:r>
      <w:r>
        <w:rPr>
          <w:spacing w:val="40"/>
        </w:rPr>
        <w:t> </w:t>
      </w:r>
      <w:r>
        <w:rPr/>
        <w:t>ESA and EUSPA through established processes.</w:t>
      </w:r>
    </w:p>
    <w:p>
      <w:pPr>
        <w:pStyle w:val="BodyText"/>
        <w:spacing w:before="1"/>
      </w:pPr>
    </w:p>
    <w:p>
      <w:pPr>
        <w:pStyle w:val="BodyText"/>
        <w:ind w:left="370" w:right="180"/>
      </w:pPr>
      <w:r>
        <w:rPr/>
        <w:t>Within</w:t>
      </w:r>
      <w:r>
        <w:rPr>
          <w:spacing w:val="-3"/>
        </w:rPr>
        <w:t> </w:t>
      </w:r>
      <w:r>
        <w:rPr/>
        <w:t>the</w:t>
      </w:r>
      <w:r>
        <w:rPr>
          <w:spacing w:val="-4"/>
        </w:rPr>
        <w:t> </w:t>
      </w:r>
      <w:r>
        <w:rPr/>
        <w:t>Galileo</w:t>
      </w:r>
      <w:r>
        <w:rPr>
          <w:spacing w:val="-3"/>
        </w:rPr>
        <w:t> </w:t>
      </w:r>
      <w:r>
        <w:rPr/>
        <w:t>Implementation</w:t>
      </w:r>
      <w:r>
        <w:rPr>
          <w:spacing w:val="-3"/>
        </w:rPr>
        <w:t> </w:t>
      </w:r>
      <w:r>
        <w:rPr/>
        <w:t>Sector,</w:t>
      </w:r>
      <w:r>
        <w:rPr>
          <w:spacing w:val="-3"/>
        </w:rPr>
        <w:t> </w:t>
      </w:r>
      <w:r>
        <w:rPr/>
        <w:t>the</w:t>
      </w:r>
      <w:r>
        <w:rPr>
          <w:spacing w:val="-4"/>
        </w:rPr>
        <w:t> </w:t>
      </w:r>
      <w:r>
        <w:rPr/>
        <w:t>Galileo</w:t>
      </w:r>
      <w:r>
        <w:rPr>
          <w:spacing w:val="-3"/>
        </w:rPr>
        <w:t> </w:t>
      </w:r>
      <w:r>
        <w:rPr/>
        <w:t>Implementation</w:t>
      </w:r>
      <w:r>
        <w:rPr>
          <w:spacing w:val="-3"/>
        </w:rPr>
        <w:t> </w:t>
      </w:r>
      <w:r>
        <w:rPr/>
        <w:t>Officer</w:t>
      </w:r>
      <w:r>
        <w:rPr>
          <w:spacing w:val="-3"/>
        </w:rPr>
        <w:t> </w:t>
      </w:r>
      <w:r>
        <w:rPr/>
        <w:t>shall</w:t>
      </w:r>
      <w:r>
        <w:rPr>
          <w:spacing w:val="-3"/>
        </w:rPr>
        <w:t> </w:t>
      </w:r>
      <w:r>
        <w:rPr/>
        <w:t>be</w:t>
      </w:r>
      <w:r>
        <w:rPr>
          <w:spacing w:val="-4"/>
        </w:rPr>
        <w:t> </w:t>
      </w:r>
      <w:r>
        <w:rPr/>
        <w:t>responsible</w:t>
      </w:r>
      <w:r>
        <w:rPr>
          <w:spacing w:val="-4"/>
        </w:rPr>
        <w:t> </w:t>
      </w:r>
      <w:r>
        <w:rPr/>
        <w:t>for</w:t>
      </w:r>
      <w:r>
        <w:rPr>
          <w:spacing w:val="-3"/>
        </w:rPr>
        <w:t> </w:t>
      </w:r>
      <w:r>
        <w:rPr/>
        <w:t>the following activities:</w:t>
      </w:r>
    </w:p>
    <w:p>
      <w:pPr>
        <w:pStyle w:val="ListParagraph"/>
        <w:numPr>
          <w:ilvl w:val="1"/>
          <w:numId w:val="2"/>
        </w:numPr>
        <w:tabs>
          <w:tab w:pos="729" w:val="left" w:leader="none"/>
        </w:tabs>
        <w:spacing w:line="268" w:lineRule="exact" w:before="0" w:after="0"/>
        <w:ind w:left="729" w:right="0" w:hanging="359"/>
        <w:jc w:val="left"/>
        <w:rPr>
          <w:sz w:val="22"/>
        </w:rPr>
      </w:pPr>
      <w:r>
        <w:rPr>
          <w:sz w:val="22"/>
        </w:rPr>
        <w:t>Follow</w:t>
      </w:r>
      <w:r>
        <w:rPr>
          <w:spacing w:val="-9"/>
          <w:sz w:val="22"/>
        </w:rPr>
        <w:t> </w:t>
      </w:r>
      <w:r>
        <w:rPr>
          <w:sz w:val="22"/>
        </w:rPr>
        <w:t>the</w:t>
      </w:r>
      <w:r>
        <w:rPr>
          <w:spacing w:val="-8"/>
          <w:sz w:val="22"/>
        </w:rPr>
        <w:t> </w:t>
      </w:r>
      <w:r>
        <w:rPr>
          <w:sz w:val="22"/>
        </w:rPr>
        <w:t>Galileo</w:t>
      </w:r>
      <w:r>
        <w:rPr>
          <w:spacing w:val="-8"/>
          <w:sz w:val="22"/>
        </w:rPr>
        <w:t> </w:t>
      </w:r>
      <w:r>
        <w:rPr>
          <w:sz w:val="22"/>
        </w:rPr>
        <w:t>system</w:t>
      </w:r>
      <w:r>
        <w:rPr>
          <w:spacing w:val="-8"/>
          <w:sz w:val="22"/>
        </w:rPr>
        <w:t> </w:t>
      </w:r>
      <w:r>
        <w:rPr>
          <w:sz w:val="22"/>
        </w:rPr>
        <w:t>implementation</w:t>
      </w:r>
      <w:r>
        <w:rPr>
          <w:spacing w:val="-7"/>
          <w:sz w:val="22"/>
        </w:rPr>
        <w:t> </w:t>
      </w:r>
      <w:r>
        <w:rPr>
          <w:sz w:val="22"/>
        </w:rPr>
        <w:t>activities</w:t>
      </w:r>
      <w:r>
        <w:rPr>
          <w:spacing w:val="-9"/>
          <w:sz w:val="22"/>
        </w:rPr>
        <w:t> </w:t>
      </w:r>
      <w:r>
        <w:rPr>
          <w:sz w:val="22"/>
        </w:rPr>
        <w:t>towards</w:t>
      </w:r>
      <w:r>
        <w:rPr>
          <w:spacing w:val="-8"/>
          <w:sz w:val="22"/>
        </w:rPr>
        <w:t> </w:t>
      </w:r>
      <w:r>
        <w:rPr>
          <w:sz w:val="22"/>
        </w:rPr>
        <w:t>OS</w:t>
      </w:r>
      <w:r>
        <w:rPr>
          <w:spacing w:val="-8"/>
          <w:sz w:val="22"/>
        </w:rPr>
        <w:t> </w:t>
      </w:r>
      <w:r>
        <w:rPr>
          <w:sz w:val="22"/>
        </w:rPr>
        <w:t>FOC</w:t>
      </w:r>
      <w:r>
        <w:rPr>
          <w:spacing w:val="-8"/>
          <w:sz w:val="22"/>
        </w:rPr>
        <w:t> </w:t>
      </w:r>
      <w:r>
        <w:rPr>
          <w:sz w:val="22"/>
        </w:rPr>
        <w:t>and</w:t>
      </w:r>
      <w:r>
        <w:rPr>
          <w:spacing w:val="-7"/>
          <w:sz w:val="22"/>
        </w:rPr>
        <w:t> </w:t>
      </w:r>
      <w:r>
        <w:rPr>
          <w:sz w:val="22"/>
        </w:rPr>
        <w:t>PRS</w:t>
      </w:r>
      <w:r>
        <w:rPr>
          <w:spacing w:val="-8"/>
          <w:sz w:val="22"/>
        </w:rPr>
        <w:t> </w:t>
      </w:r>
      <w:r>
        <w:rPr>
          <w:spacing w:val="-4"/>
          <w:sz w:val="22"/>
        </w:rPr>
        <w:t>FOC;</w:t>
      </w:r>
    </w:p>
    <w:p>
      <w:pPr>
        <w:pStyle w:val="ListParagraph"/>
        <w:numPr>
          <w:ilvl w:val="1"/>
          <w:numId w:val="2"/>
        </w:numPr>
        <w:tabs>
          <w:tab w:pos="729" w:val="left" w:leader="none"/>
        </w:tabs>
        <w:spacing w:line="269" w:lineRule="exact" w:before="0" w:after="0"/>
        <w:ind w:left="729" w:right="0" w:hanging="360"/>
        <w:jc w:val="left"/>
        <w:rPr>
          <w:sz w:val="22"/>
        </w:rPr>
      </w:pPr>
      <w:r>
        <w:rPr>
          <w:sz w:val="22"/>
        </w:rPr>
        <w:t>Follow-up</w:t>
      </w:r>
      <w:r>
        <w:rPr>
          <w:spacing w:val="-8"/>
          <w:sz w:val="22"/>
        </w:rPr>
        <w:t> </w:t>
      </w:r>
      <w:r>
        <w:rPr>
          <w:sz w:val="22"/>
        </w:rPr>
        <w:t>the</w:t>
      </w:r>
      <w:r>
        <w:rPr>
          <w:spacing w:val="-8"/>
          <w:sz w:val="22"/>
        </w:rPr>
        <w:t> </w:t>
      </w:r>
      <w:r>
        <w:rPr>
          <w:sz w:val="22"/>
        </w:rPr>
        <w:t>development</w:t>
      </w:r>
      <w:r>
        <w:rPr>
          <w:spacing w:val="-7"/>
          <w:sz w:val="22"/>
        </w:rPr>
        <w:t> </w:t>
      </w:r>
      <w:r>
        <w:rPr>
          <w:sz w:val="22"/>
        </w:rPr>
        <w:t>of</w:t>
      </w:r>
      <w:r>
        <w:rPr>
          <w:spacing w:val="-7"/>
          <w:sz w:val="22"/>
        </w:rPr>
        <w:t> </w:t>
      </w:r>
      <w:r>
        <w:rPr>
          <w:sz w:val="22"/>
        </w:rPr>
        <w:t>system</w:t>
      </w:r>
      <w:r>
        <w:rPr>
          <w:spacing w:val="-8"/>
          <w:sz w:val="22"/>
        </w:rPr>
        <w:t> </w:t>
      </w:r>
      <w:r>
        <w:rPr>
          <w:sz w:val="22"/>
        </w:rPr>
        <w:t>technical</w:t>
      </w:r>
      <w:r>
        <w:rPr>
          <w:spacing w:val="-7"/>
          <w:sz w:val="22"/>
        </w:rPr>
        <w:t> </w:t>
      </w:r>
      <w:r>
        <w:rPr>
          <w:sz w:val="22"/>
        </w:rPr>
        <w:t>evolutions</w:t>
      </w:r>
      <w:r>
        <w:rPr>
          <w:spacing w:val="-8"/>
          <w:sz w:val="22"/>
        </w:rPr>
        <w:t> </w:t>
      </w:r>
      <w:r>
        <w:rPr>
          <w:sz w:val="22"/>
        </w:rPr>
        <w:t>in</w:t>
      </w:r>
      <w:r>
        <w:rPr>
          <w:spacing w:val="-7"/>
          <w:sz w:val="22"/>
        </w:rPr>
        <w:t> </w:t>
      </w:r>
      <w:r>
        <w:rPr>
          <w:sz w:val="22"/>
        </w:rPr>
        <w:t>the</w:t>
      </w:r>
      <w:r>
        <w:rPr>
          <w:spacing w:val="-8"/>
          <w:sz w:val="22"/>
        </w:rPr>
        <w:t> </w:t>
      </w:r>
      <w:r>
        <w:rPr>
          <w:sz w:val="22"/>
        </w:rPr>
        <w:t>frame</w:t>
      </w:r>
      <w:r>
        <w:rPr>
          <w:spacing w:val="-8"/>
          <w:sz w:val="22"/>
        </w:rPr>
        <w:t> </w:t>
      </w:r>
      <w:r>
        <w:rPr>
          <w:sz w:val="22"/>
        </w:rPr>
        <w:t>of</w:t>
      </w:r>
      <w:r>
        <w:rPr>
          <w:spacing w:val="-7"/>
          <w:sz w:val="22"/>
        </w:rPr>
        <w:t> </w:t>
      </w:r>
      <w:r>
        <w:rPr>
          <w:sz w:val="22"/>
        </w:rPr>
        <w:t>Galileo</w:t>
      </w:r>
      <w:r>
        <w:rPr>
          <w:spacing w:val="-7"/>
          <w:sz w:val="22"/>
        </w:rPr>
        <w:t> </w:t>
      </w:r>
      <w:r>
        <w:rPr>
          <w:sz w:val="22"/>
        </w:rPr>
        <w:t>transition</w:t>
      </w:r>
      <w:r>
        <w:rPr>
          <w:spacing w:val="-8"/>
          <w:sz w:val="22"/>
        </w:rPr>
        <w:t> </w:t>
      </w:r>
      <w:r>
        <w:rPr>
          <w:sz w:val="22"/>
        </w:rPr>
        <w:t>to</w:t>
      </w:r>
      <w:r>
        <w:rPr>
          <w:spacing w:val="-8"/>
          <w:sz w:val="22"/>
        </w:rPr>
        <w:t> </w:t>
      </w:r>
      <w:r>
        <w:rPr>
          <w:spacing w:val="-4"/>
          <w:sz w:val="22"/>
        </w:rPr>
        <w:t>G2G;</w:t>
      </w:r>
    </w:p>
    <w:p>
      <w:pPr>
        <w:pStyle w:val="BodyText"/>
        <w:rPr>
          <w:sz w:val="20"/>
        </w:rPr>
      </w:pPr>
    </w:p>
    <w:p>
      <w:pPr>
        <w:pStyle w:val="BodyText"/>
        <w:spacing w:before="9"/>
        <w:rPr>
          <w:sz w:val="29"/>
        </w:rPr>
      </w:pPr>
      <w:r>
        <w:rPr/>
        <mc:AlternateContent>
          <mc:Choice Requires="wps">
            <w:drawing>
              <wp:anchor distT="0" distB="0" distL="0" distR="0" allowOverlap="1" layoutInCell="1" locked="0" behindDoc="1" simplePos="0" relativeHeight="487587840">
                <wp:simplePos x="0" y="0"/>
                <wp:positionH relativeFrom="page">
                  <wp:posOffset>540258</wp:posOffset>
                </wp:positionH>
                <wp:positionV relativeFrom="paragraph">
                  <wp:posOffset>233107</wp:posOffset>
                </wp:positionV>
                <wp:extent cx="1828800"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40001pt;margin-top:18.354918pt;width:144pt;height:.72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00"/>
        <w:ind w:left="370" w:right="0" w:firstLine="0"/>
        <w:jc w:val="left"/>
        <w:rPr>
          <w:sz w:val="20"/>
        </w:rPr>
      </w:pPr>
      <w:r>
        <w:rPr>
          <w:sz w:val="20"/>
          <w:vertAlign w:val="superscript"/>
        </w:rPr>
        <w:t>1</w:t>
      </w:r>
      <w:r>
        <w:rPr>
          <w:spacing w:val="-3"/>
          <w:sz w:val="20"/>
          <w:vertAlign w:val="baseline"/>
        </w:rPr>
        <w:t> </w:t>
      </w:r>
      <w:r>
        <w:rPr>
          <w:sz w:val="20"/>
          <w:vertAlign w:val="baseline"/>
        </w:rPr>
        <w:t>These</w:t>
      </w:r>
      <w:r>
        <w:rPr>
          <w:spacing w:val="-3"/>
          <w:sz w:val="20"/>
          <w:vertAlign w:val="baseline"/>
        </w:rPr>
        <w:t> </w:t>
      </w:r>
      <w:r>
        <w:rPr>
          <w:sz w:val="20"/>
          <w:vertAlign w:val="baseline"/>
        </w:rPr>
        <w:t>mentions</w:t>
      </w:r>
      <w:r>
        <w:rPr>
          <w:spacing w:val="-2"/>
          <w:sz w:val="20"/>
          <w:vertAlign w:val="baseline"/>
        </w:rPr>
        <w:t> </w:t>
      </w:r>
      <w:r>
        <w:rPr>
          <w:sz w:val="20"/>
          <w:vertAlign w:val="baseline"/>
        </w:rPr>
        <w:t>are</w:t>
      </w:r>
      <w:r>
        <w:rPr>
          <w:spacing w:val="-3"/>
          <w:sz w:val="20"/>
          <w:vertAlign w:val="baseline"/>
        </w:rPr>
        <w:t> </w:t>
      </w:r>
      <w:r>
        <w:rPr>
          <w:sz w:val="20"/>
          <w:vertAlign w:val="baseline"/>
        </w:rPr>
        <w:t>given</w:t>
      </w:r>
      <w:r>
        <w:rPr>
          <w:spacing w:val="-3"/>
          <w:sz w:val="20"/>
          <w:vertAlign w:val="baseline"/>
        </w:rPr>
        <w:t> </w:t>
      </w:r>
      <w:r>
        <w:rPr>
          <w:sz w:val="20"/>
          <w:vertAlign w:val="baseline"/>
        </w:rPr>
        <w:t>on</w:t>
      </w:r>
      <w:r>
        <w:rPr>
          <w:spacing w:val="-3"/>
          <w:sz w:val="20"/>
          <w:vertAlign w:val="baseline"/>
        </w:rPr>
        <w:t> </w:t>
      </w:r>
      <w:r>
        <w:rPr>
          <w:sz w:val="20"/>
          <w:vertAlign w:val="baseline"/>
        </w:rPr>
        <w:t>an</w:t>
      </w:r>
      <w:r>
        <w:rPr>
          <w:spacing w:val="-1"/>
          <w:sz w:val="20"/>
          <w:vertAlign w:val="baseline"/>
        </w:rPr>
        <w:t> </w:t>
      </w:r>
      <w:r>
        <w:rPr>
          <w:sz w:val="20"/>
          <w:vertAlign w:val="baseline"/>
        </w:rPr>
        <w:t>indicative</w:t>
      </w:r>
      <w:r>
        <w:rPr>
          <w:spacing w:val="-3"/>
          <w:sz w:val="20"/>
          <w:vertAlign w:val="baseline"/>
        </w:rPr>
        <w:t> </w:t>
      </w:r>
      <w:r>
        <w:rPr>
          <w:sz w:val="20"/>
          <w:vertAlign w:val="baseline"/>
        </w:rPr>
        <w:t>basis</w:t>
      </w:r>
      <w:r>
        <w:rPr>
          <w:spacing w:val="-2"/>
          <w:sz w:val="20"/>
          <w:vertAlign w:val="baseline"/>
        </w:rPr>
        <w:t> </w:t>
      </w:r>
      <w:r>
        <w:rPr>
          <w:sz w:val="20"/>
          <w:vertAlign w:val="baseline"/>
        </w:rPr>
        <w:t>only</w:t>
      </w:r>
      <w:r>
        <w:rPr>
          <w:spacing w:val="-3"/>
          <w:sz w:val="20"/>
          <w:vertAlign w:val="baseline"/>
        </w:rPr>
        <w:t> </w:t>
      </w:r>
      <w:r>
        <w:rPr>
          <w:sz w:val="20"/>
          <w:vertAlign w:val="baseline"/>
        </w:rPr>
        <w:t>(Art.4</w:t>
      </w:r>
      <w:r>
        <w:rPr>
          <w:spacing w:val="-3"/>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SNE</w:t>
      </w:r>
      <w:r>
        <w:rPr>
          <w:spacing w:val="-4"/>
          <w:sz w:val="20"/>
          <w:vertAlign w:val="baseline"/>
        </w:rPr>
        <w:t> </w:t>
      </w:r>
      <w:r>
        <w:rPr>
          <w:spacing w:val="-2"/>
          <w:sz w:val="20"/>
          <w:vertAlign w:val="baseline"/>
        </w:rPr>
        <w:t>Decision).</w:t>
      </w:r>
    </w:p>
    <w:p>
      <w:pPr>
        <w:spacing w:after="0"/>
        <w:jc w:val="left"/>
        <w:rPr>
          <w:sz w:val="20"/>
        </w:rPr>
        <w:sectPr>
          <w:footerReference w:type="default" r:id="rId5"/>
          <w:type w:val="continuous"/>
          <w:pgSz w:w="11910" w:h="16840"/>
          <w:pgMar w:footer="686" w:header="0" w:top="520" w:bottom="880" w:left="480" w:right="740"/>
          <w:pgNumType w:start="1"/>
        </w:sectPr>
      </w:pPr>
    </w:p>
    <w:p>
      <w:pPr>
        <w:pStyle w:val="ListParagraph"/>
        <w:numPr>
          <w:ilvl w:val="1"/>
          <w:numId w:val="2"/>
        </w:numPr>
        <w:tabs>
          <w:tab w:pos="730" w:val="left" w:leader="none"/>
        </w:tabs>
        <w:spacing w:line="240" w:lineRule="auto" w:before="75" w:after="0"/>
        <w:ind w:left="730" w:right="140" w:hanging="360"/>
        <w:jc w:val="left"/>
        <w:rPr>
          <w:sz w:val="22"/>
        </w:rPr>
      </w:pPr>
      <w:r>
        <w:rPr>
          <w:sz w:val="22"/>
        </w:rPr>
        <w:t>Manage</w:t>
      </w:r>
      <w:r>
        <w:rPr>
          <w:spacing w:val="-3"/>
          <w:sz w:val="22"/>
        </w:rPr>
        <w:t> </w:t>
      </w:r>
      <w:r>
        <w:rPr>
          <w:sz w:val="22"/>
        </w:rPr>
        <w:t>with</w:t>
      </w:r>
      <w:r>
        <w:rPr>
          <w:spacing w:val="-2"/>
          <w:sz w:val="22"/>
        </w:rPr>
        <w:t> </w:t>
      </w:r>
      <w:r>
        <w:rPr>
          <w:sz w:val="22"/>
        </w:rPr>
        <w:t>ESA</w:t>
      </w:r>
      <w:r>
        <w:rPr>
          <w:spacing w:val="-3"/>
          <w:sz w:val="22"/>
        </w:rPr>
        <w:t> </w:t>
      </w:r>
      <w:r>
        <w:rPr>
          <w:sz w:val="22"/>
        </w:rPr>
        <w:t>and</w:t>
      </w:r>
      <w:r>
        <w:rPr>
          <w:spacing w:val="-2"/>
          <w:sz w:val="22"/>
        </w:rPr>
        <w:t> </w:t>
      </w:r>
      <w:r>
        <w:rPr>
          <w:sz w:val="22"/>
        </w:rPr>
        <w:t>EUSPA</w:t>
      </w:r>
      <w:r>
        <w:rPr>
          <w:spacing w:val="-2"/>
          <w:sz w:val="22"/>
        </w:rPr>
        <w:t> </w:t>
      </w:r>
      <w:r>
        <w:rPr>
          <w:sz w:val="22"/>
        </w:rPr>
        <w:t>the</w:t>
      </w:r>
      <w:r>
        <w:rPr>
          <w:spacing w:val="-3"/>
          <w:sz w:val="22"/>
        </w:rPr>
        <w:t> </w:t>
      </w:r>
      <w:r>
        <w:rPr>
          <w:sz w:val="22"/>
        </w:rPr>
        <w:t>contractual</w:t>
      </w:r>
      <w:r>
        <w:rPr>
          <w:spacing w:val="-2"/>
          <w:sz w:val="22"/>
        </w:rPr>
        <w:t> </w:t>
      </w:r>
      <w:r>
        <w:rPr>
          <w:sz w:val="22"/>
        </w:rPr>
        <w:t>aspects</w:t>
      </w:r>
      <w:r>
        <w:rPr>
          <w:spacing w:val="-3"/>
          <w:sz w:val="22"/>
        </w:rPr>
        <w:t> </w:t>
      </w:r>
      <w:r>
        <w:rPr>
          <w:sz w:val="22"/>
        </w:rPr>
        <w:t>associated</w:t>
      </w:r>
      <w:r>
        <w:rPr>
          <w:spacing w:val="-2"/>
          <w:sz w:val="22"/>
        </w:rPr>
        <w:t> </w:t>
      </w:r>
      <w:r>
        <w:rPr>
          <w:sz w:val="22"/>
        </w:rPr>
        <w:t>to</w:t>
      </w:r>
      <w:r>
        <w:rPr>
          <w:spacing w:val="-2"/>
          <w:sz w:val="22"/>
        </w:rPr>
        <w:t> </w:t>
      </w:r>
      <w:r>
        <w:rPr>
          <w:sz w:val="22"/>
        </w:rPr>
        <w:t>the</w:t>
      </w:r>
      <w:r>
        <w:rPr>
          <w:spacing w:val="-3"/>
          <w:sz w:val="22"/>
        </w:rPr>
        <w:t> </w:t>
      </w:r>
      <w:r>
        <w:rPr>
          <w:sz w:val="22"/>
        </w:rPr>
        <w:t>system</w:t>
      </w:r>
      <w:r>
        <w:rPr>
          <w:spacing w:val="-3"/>
          <w:sz w:val="22"/>
        </w:rPr>
        <w:t> </w:t>
      </w:r>
      <w:r>
        <w:rPr>
          <w:sz w:val="22"/>
        </w:rPr>
        <w:t>activities</w:t>
      </w:r>
      <w:r>
        <w:rPr>
          <w:spacing w:val="-3"/>
          <w:sz w:val="22"/>
        </w:rPr>
        <w:t> </w:t>
      </w:r>
      <w:r>
        <w:rPr>
          <w:sz w:val="22"/>
        </w:rPr>
        <w:t>(system</w:t>
      </w:r>
      <w:r>
        <w:rPr>
          <w:spacing w:val="-3"/>
          <w:sz w:val="22"/>
        </w:rPr>
        <w:t> </w:t>
      </w:r>
      <w:r>
        <w:rPr>
          <w:sz w:val="22"/>
        </w:rPr>
        <w:t>support,</w:t>
      </w:r>
      <w:r>
        <w:rPr>
          <w:spacing w:val="-2"/>
          <w:sz w:val="22"/>
        </w:rPr>
        <w:t> </w:t>
      </w:r>
      <w:r>
        <w:rPr>
          <w:sz w:val="22"/>
        </w:rPr>
        <w:t>tools procurements), such as procurement approvals, support to tendering process preparation, evaluation and contract awards, management of changes;</w:t>
      </w:r>
    </w:p>
    <w:p>
      <w:pPr>
        <w:pStyle w:val="ListParagraph"/>
        <w:numPr>
          <w:ilvl w:val="1"/>
          <w:numId w:val="2"/>
        </w:numPr>
        <w:tabs>
          <w:tab w:pos="730" w:val="left" w:leader="none"/>
        </w:tabs>
        <w:spacing w:line="240" w:lineRule="auto" w:before="0" w:after="0"/>
        <w:ind w:left="730" w:right="118" w:hanging="360"/>
        <w:jc w:val="left"/>
        <w:rPr>
          <w:sz w:val="22"/>
        </w:rPr>
      </w:pPr>
      <w:r>
        <w:rPr>
          <w:sz w:val="22"/>
        </w:rPr>
        <w:t>Responsible for the technical coordination with ESA and EUSPA on system matters relevant to Programme Management</w:t>
      </w:r>
      <w:r>
        <w:rPr>
          <w:spacing w:val="-2"/>
          <w:sz w:val="22"/>
        </w:rPr>
        <w:t> </w:t>
      </w:r>
      <w:r>
        <w:rPr>
          <w:sz w:val="22"/>
        </w:rPr>
        <w:t>(e.g:</w:t>
      </w:r>
      <w:r>
        <w:rPr>
          <w:spacing w:val="-3"/>
          <w:sz w:val="22"/>
        </w:rPr>
        <w:t> </w:t>
      </w:r>
      <w:r>
        <w:rPr>
          <w:sz w:val="22"/>
        </w:rPr>
        <w:t>constellation</w:t>
      </w:r>
      <w:r>
        <w:rPr>
          <w:spacing w:val="-3"/>
          <w:sz w:val="22"/>
        </w:rPr>
        <w:t> </w:t>
      </w:r>
      <w:r>
        <w:rPr>
          <w:sz w:val="22"/>
        </w:rPr>
        <w:t>management,</w:t>
      </w:r>
      <w:r>
        <w:rPr>
          <w:spacing w:val="-3"/>
          <w:sz w:val="22"/>
        </w:rPr>
        <w:t> </w:t>
      </w:r>
      <w:r>
        <w:rPr>
          <w:sz w:val="22"/>
        </w:rPr>
        <w:t>deployment</w:t>
      </w:r>
      <w:r>
        <w:rPr>
          <w:spacing w:val="-3"/>
          <w:sz w:val="22"/>
        </w:rPr>
        <w:t> </w:t>
      </w:r>
      <w:r>
        <w:rPr>
          <w:sz w:val="22"/>
        </w:rPr>
        <w:t>strategy,</w:t>
      </w:r>
      <w:r>
        <w:rPr>
          <w:spacing w:val="-3"/>
          <w:sz w:val="22"/>
        </w:rPr>
        <w:t> </w:t>
      </w:r>
      <w:r>
        <w:rPr>
          <w:sz w:val="22"/>
        </w:rPr>
        <w:t>signals</w:t>
      </w:r>
      <w:r>
        <w:rPr>
          <w:spacing w:val="-4"/>
          <w:sz w:val="22"/>
        </w:rPr>
        <w:t> </w:t>
      </w:r>
      <w:r>
        <w:rPr>
          <w:sz w:val="22"/>
        </w:rPr>
        <w:t>evolution</w:t>
      </w:r>
      <w:r>
        <w:rPr>
          <w:spacing w:val="-3"/>
          <w:sz w:val="22"/>
        </w:rPr>
        <w:t> </w:t>
      </w:r>
      <w:r>
        <w:rPr>
          <w:sz w:val="22"/>
        </w:rPr>
        <w:t>matters,</w:t>
      </w:r>
      <w:r>
        <w:rPr>
          <w:spacing w:val="-3"/>
          <w:sz w:val="22"/>
        </w:rPr>
        <w:t> </w:t>
      </w:r>
      <w:r>
        <w:rPr>
          <w:sz w:val="22"/>
        </w:rPr>
        <w:t>…)</w:t>
      </w:r>
      <w:r>
        <w:rPr>
          <w:spacing w:val="-3"/>
          <w:sz w:val="22"/>
        </w:rPr>
        <w:t> </w:t>
      </w:r>
      <w:r>
        <w:rPr>
          <w:sz w:val="22"/>
        </w:rPr>
        <w:t>and</w:t>
      </w:r>
      <w:r>
        <w:rPr>
          <w:spacing w:val="-3"/>
          <w:sz w:val="22"/>
        </w:rPr>
        <w:t> </w:t>
      </w:r>
      <w:r>
        <w:rPr>
          <w:sz w:val="22"/>
        </w:rPr>
        <w:t>advise</w:t>
      </w:r>
      <w:r>
        <w:rPr>
          <w:spacing w:val="-4"/>
          <w:sz w:val="22"/>
        </w:rPr>
        <w:t> </w:t>
      </w:r>
      <w:r>
        <w:rPr>
          <w:sz w:val="22"/>
        </w:rPr>
        <w:t>on technical matters as necessary;</w:t>
      </w:r>
    </w:p>
    <w:p>
      <w:pPr>
        <w:pStyle w:val="ListParagraph"/>
        <w:numPr>
          <w:ilvl w:val="1"/>
          <w:numId w:val="2"/>
        </w:numPr>
        <w:tabs>
          <w:tab w:pos="730" w:val="left" w:leader="none"/>
        </w:tabs>
        <w:spacing w:line="268" w:lineRule="exact" w:before="0" w:after="0"/>
        <w:ind w:left="730" w:right="0" w:hanging="360"/>
        <w:jc w:val="left"/>
        <w:rPr>
          <w:sz w:val="22"/>
        </w:rPr>
      </w:pPr>
      <w:r>
        <w:rPr>
          <w:sz w:val="22"/>
        </w:rPr>
        <w:t>Support</w:t>
      </w:r>
      <w:r>
        <w:rPr>
          <w:spacing w:val="-10"/>
          <w:sz w:val="22"/>
        </w:rPr>
        <w:t> </w:t>
      </w:r>
      <w:r>
        <w:rPr>
          <w:sz w:val="22"/>
        </w:rPr>
        <w:t>the</w:t>
      </w:r>
      <w:r>
        <w:rPr>
          <w:spacing w:val="-10"/>
          <w:sz w:val="22"/>
        </w:rPr>
        <w:t> </w:t>
      </w:r>
      <w:r>
        <w:rPr>
          <w:sz w:val="22"/>
        </w:rPr>
        <w:t>coordination</w:t>
      </w:r>
      <w:r>
        <w:rPr>
          <w:spacing w:val="-9"/>
          <w:sz w:val="22"/>
        </w:rPr>
        <w:t> </w:t>
      </w:r>
      <w:r>
        <w:rPr>
          <w:sz w:val="22"/>
        </w:rPr>
        <w:t>of</w:t>
      </w:r>
      <w:r>
        <w:rPr>
          <w:spacing w:val="-8"/>
          <w:sz w:val="22"/>
        </w:rPr>
        <w:t> </w:t>
      </w:r>
      <w:r>
        <w:rPr>
          <w:sz w:val="22"/>
        </w:rPr>
        <w:t>independent</w:t>
      </w:r>
      <w:r>
        <w:rPr>
          <w:spacing w:val="-10"/>
          <w:sz w:val="22"/>
        </w:rPr>
        <w:t> </w:t>
      </w:r>
      <w:r>
        <w:rPr>
          <w:sz w:val="22"/>
        </w:rPr>
        <w:t>technical</w:t>
      </w:r>
      <w:r>
        <w:rPr>
          <w:spacing w:val="-9"/>
          <w:sz w:val="22"/>
        </w:rPr>
        <w:t> </w:t>
      </w:r>
      <w:r>
        <w:rPr>
          <w:spacing w:val="-2"/>
          <w:sz w:val="22"/>
        </w:rPr>
        <w:t>reviews;</w:t>
      </w:r>
    </w:p>
    <w:p>
      <w:pPr>
        <w:pStyle w:val="ListParagraph"/>
        <w:numPr>
          <w:ilvl w:val="1"/>
          <w:numId w:val="2"/>
        </w:numPr>
        <w:tabs>
          <w:tab w:pos="730" w:val="left" w:leader="none"/>
        </w:tabs>
        <w:spacing w:line="240" w:lineRule="auto" w:before="0" w:after="0"/>
        <w:ind w:left="730" w:right="446" w:hanging="360"/>
        <w:jc w:val="left"/>
        <w:rPr>
          <w:sz w:val="22"/>
        </w:rPr>
      </w:pPr>
      <w:r>
        <w:rPr>
          <w:sz w:val="22"/>
        </w:rPr>
        <w:t>Contribute</w:t>
      </w:r>
      <w:r>
        <w:rPr>
          <w:spacing w:val="-3"/>
          <w:sz w:val="22"/>
        </w:rPr>
        <w:t> </w:t>
      </w:r>
      <w:r>
        <w:rPr>
          <w:sz w:val="22"/>
        </w:rPr>
        <w:t>to</w:t>
      </w:r>
      <w:r>
        <w:rPr>
          <w:spacing w:val="-4"/>
          <w:sz w:val="22"/>
        </w:rPr>
        <w:t> </w:t>
      </w:r>
      <w:r>
        <w:rPr>
          <w:sz w:val="22"/>
        </w:rPr>
        <w:t>the</w:t>
      </w:r>
      <w:r>
        <w:rPr>
          <w:spacing w:val="-3"/>
          <w:sz w:val="22"/>
        </w:rPr>
        <w:t> </w:t>
      </w:r>
      <w:r>
        <w:rPr>
          <w:sz w:val="22"/>
        </w:rPr>
        <w:t>Programme</w:t>
      </w:r>
      <w:r>
        <w:rPr>
          <w:spacing w:val="-3"/>
          <w:sz w:val="22"/>
        </w:rPr>
        <w:t> </w:t>
      </w:r>
      <w:r>
        <w:rPr>
          <w:sz w:val="22"/>
        </w:rPr>
        <w:t>Management</w:t>
      </w:r>
      <w:r>
        <w:rPr>
          <w:spacing w:val="-2"/>
          <w:sz w:val="22"/>
        </w:rPr>
        <w:t> </w:t>
      </w:r>
      <w:r>
        <w:rPr>
          <w:sz w:val="22"/>
        </w:rPr>
        <w:t>Processes</w:t>
      </w:r>
      <w:r>
        <w:rPr>
          <w:spacing w:val="-1"/>
          <w:sz w:val="22"/>
        </w:rPr>
        <w:t> </w:t>
      </w:r>
      <w:r>
        <w:rPr>
          <w:sz w:val="22"/>
        </w:rPr>
        <w:t>managed</w:t>
      </w:r>
      <w:r>
        <w:rPr>
          <w:spacing w:val="-2"/>
          <w:sz w:val="22"/>
        </w:rPr>
        <w:t> </w:t>
      </w:r>
      <w:r>
        <w:rPr>
          <w:sz w:val="22"/>
        </w:rPr>
        <w:t>by</w:t>
      </w:r>
      <w:r>
        <w:rPr>
          <w:spacing w:val="-2"/>
          <w:sz w:val="22"/>
        </w:rPr>
        <w:t> </w:t>
      </w:r>
      <w:r>
        <w:rPr>
          <w:sz w:val="22"/>
        </w:rPr>
        <w:t>the</w:t>
      </w:r>
      <w:r>
        <w:rPr>
          <w:spacing w:val="-3"/>
          <w:sz w:val="22"/>
        </w:rPr>
        <w:t> </w:t>
      </w:r>
      <w:r>
        <w:rPr>
          <w:sz w:val="22"/>
        </w:rPr>
        <w:t>Joint</w:t>
      </w:r>
      <w:r>
        <w:rPr>
          <w:spacing w:val="-2"/>
          <w:sz w:val="22"/>
        </w:rPr>
        <w:t> </w:t>
      </w:r>
      <w:r>
        <w:rPr>
          <w:sz w:val="22"/>
        </w:rPr>
        <w:t>Office</w:t>
      </w:r>
      <w:r>
        <w:rPr>
          <w:spacing w:val="-3"/>
          <w:sz w:val="22"/>
        </w:rPr>
        <w:t> </w:t>
      </w:r>
      <w:r>
        <w:rPr>
          <w:sz w:val="22"/>
        </w:rPr>
        <w:t>for</w:t>
      </w:r>
      <w:r>
        <w:rPr>
          <w:spacing w:val="-2"/>
          <w:sz w:val="22"/>
        </w:rPr>
        <w:t> </w:t>
      </w:r>
      <w:r>
        <w:rPr>
          <w:sz w:val="22"/>
        </w:rPr>
        <w:t>the</w:t>
      </w:r>
      <w:r>
        <w:rPr>
          <w:spacing w:val="-3"/>
          <w:sz w:val="22"/>
        </w:rPr>
        <w:t> </w:t>
      </w:r>
      <w:r>
        <w:rPr>
          <w:sz w:val="22"/>
        </w:rPr>
        <w:t>system</w:t>
      </w:r>
      <w:r>
        <w:rPr>
          <w:spacing w:val="-3"/>
          <w:sz w:val="22"/>
        </w:rPr>
        <w:t> </w:t>
      </w:r>
      <w:r>
        <w:rPr>
          <w:sz w:val="22"/>
        </w:rPr>
        <w:t>aspects,</w:t>
      </w:r>
      <w:r>
        <w:rPr>
          <w:spacing w:val="-2"/>
          <w:sz w:val="22"/>
        </w:rPr>
        <w:t> </w:t>
      </w:r>
      <w:r>
        <w:rPr>
          <w:sz w:val="22"/>
        </w:rPr>
        <w:t>in particular on deployment schedule, risks and system baseline;</w:t>
      </w:r>
    </w:p>
    <w:p>
      <w:pPr>
        <w:pStyle w:val="ListParagraph"/>
        <w:numPr>
          <w:ilvl w:val="1"/>
          <w:numId w:val="2"/>
        </w:numPr>
        <w:tabs>
          <w:tab w:pos="730" w:val="left" w:leader="none"/>
        </w:tabs>
        <w:spacing w:line="269" w:lineRule="exact" w:before="0" w:after="0"/>
        <w:ind w:left="730" w:right="0" w:hanging="360"/>
        <w:jc w:val="left"/>
        <w:rPr>
          <w:sz w:val="22"/>
        </w:rPr>
      </w:pPr>
      <w:r>
        <w:rPr>
          <w:sz w:val="22"/>
        </w:rPr>
        <w:t>Support</w:t>
      </w:r>
      <w:r>
        <w:rPr>
          <w:spacing w:val="-9"/>
          <w:sz w:val="22"/>
        </w:rPr>
        <w:t> </w:t>
      </w:r>
      <w:r>
        <w:rPr>
          <w:sz w:val="22"/>
        </w:rPr>
        <w:t>the</w:t>
      </w:r>
      <w:r>
        <w:rPr>
          <w:spacing w:val="-8"/>
          <w:sz w:val="22"/>
        </w:rPr>
        <w:t> </w:t>
      </w:r>
      <w:r>
        <w:rPr>
          <w:sz w:val="22"/>
        </w:rPr>
        <w:t>regular</w:t>
      </w:r>
      <w:r>
        <w:rPr>
          <w:spacing w:val="-8"/>
          <w:sz w:val="22"/>
        </w:rPr>
        <w:t> </w:t>
      </w:r>
      <w:r>
        <w:rPr>
          <w:sz w:val="22"/>
        </w:rPr>
        <w:t>interface</w:t>
      </w:r>
      <w:r>
        <w:rPr>
          <w:spacing w:val="-8"/>
          <w:sz w:val="22"/>
        </w:rPr>
        <w:t> </w:t>
      </w:r>
      <w:r>
        <w:rPr>
          <w:sz w:val="22"/>
        </w:rPr>
        <w:t>with</w:t>
      </w:r>
      <w:r>
        <w:rPr>
          <w:spacing w:val="-8"/>
          <w:sz w:val="22"/>
        </w:rPr>
        <w:t> </w:t>
      </w:r>
      <w:r>
        <w:rPr>
          <w:sz w:val="22"/>
        </w:rPr>
        <w:t>ESA</w:t>
      </w:r>
      <w:r>
        <w:rPr>
          <w:spacing w:val="-8"/>
          <w:sz w:val="22"/>
        </w:rPr>
        <w:t> </w:t>
      </w:r>
      <w:r>
        <w:rPr>
          <w:sz w:val="22"/>
        </w:rPr>
        <w:t>and</w:t>
      </w:r>
      <w:r>
        <w:rPr>
          <w:spacing w:val="-8"/>
          <w:sz w:val="22"/>
        </w:rPr>
        <w:t> </w:t>
      </w:r>
      <w:r>
        <w:rPr>
          <w:sz w:val="22"/>
        </w:rPr>
        <w:t>EUSPA</w:t>
      </w:r>
      <w:r>
        <w:rPr>
          <w:spacing w:val="-7"/>
          <w:sz w:val="22"/>
        </w:rPr>
        <w:t> </w:t>
      </w:r>
      <w:r>
        <w:rPr>
          <w:sz w:val="22"/>
        </w:rPr>
        <w:t>for</w:t>
      </w:r>
      <w:r>
        <w:rPr>
          <w:spacing w:val="-8"/>
          <w:sz w:val="22"/>
        </w:rPr>
        <w:t> </w:t>
      </w:r>
      <w:r>
        <w:rPr>
          <w:sz w:val="22"/>
        </w:rPr>
        <w:t>Galileo</w:t>
      </w:r>
      <w:r>
        <w:rPr>
          <w:spacing w:val="-8"/>
          <w:sz w:val="22"/>
        </w:rPr>
        <w:t> </w:t>
      </w:r>
      <w:r>
        <w:rPr>
          <w:sz w:val="22"/>
        </w:rPr>
        <w:t>implementation</w:t>
      </w:r>
      <w:r>
        <w:rPr>
          <w:spacing w:val="-7"/>
          <w:sz w:val="22"/>
        </w:rPr>
        <w:t> </w:t>
      </w:r>
      <w:r>
        <w:rPr>
          <w:sz w:val="22"/>
        </w:rPr>
        <w:t>matter</w:t>
      </w:r>
      <w:r>
        <w:rPr>
          <w:spacing w:val="-8"/>
          <w:sz w:val="22"/>
        </w:rPr>
        <w:t> </w:t>
      </w:r>
      <w:r>
        <w:rPr>
          <w:spacing w:val="-2"/>
          <w:sz w:val="22"/>
        </w:rPr>
        <w:t>coordination;</w:t>
      </w:r>
    </w:p>
    <w:p>
      <w:pPr>
        <w:pStyle w:val="ListParagraph"/>
        <w:numPr>
          <w:ilvl w:val="1"/>
          <w:numId w:val="2"/>
        </w:numPr>
        <w:tabs>
          <w:tab w:pos="729" w:val="left" w:leader="none"/>
        </w:tabs>
        <w:spacing w:line="269" w:lineRule="exact" w:before="0" w:after="0"/>
        <w:ind w:left="729" w:right="0" w:hanging="360"/>
        <w:jc w:val="left"/>
        <w:rPr>
          <w:sz w:val="22"/>
        </w:rPr>
      </w:pPr>
      <w:r>
        <w:rPr>
          <w:sz w:val="22"/>
        </w:rPr>
        <w:t>Support</w:t>
      </w:r>
      <w:r>
        <w:rPr>
          <w:spacing w:val="-11"/>
          <w:sz w:val="22"/>
        </w:rPr>
        <w:t> </w:t>
      </w:r>
      <w:r>
        <w:rPr>
          <w:sz w:val="22"/>
        </w:rPr>
        <w:t>the</w:t>
      </w:r>
      <w:r>
        <w:rPr>
          <w:spacing w:val="-11"/>
          <w:sz w:val="22"/>
        </w:rPr>
        <w:t> </w:t>
      </w:r>
      <w:r>
        <w:rPr>
          <w:sz w:val="22"/>
        </w:rPr>
        <w:t>Galileo</w:t>
      </w:r>
      <w:r>
        <w:rPr>
          <w:spacing w:val="-9"/>
          <w:sz w:val="22"/>
        </w:rPr>
        <w:t> </w:t>
      </w:r>
      <w:r>
        <w:rPr>
          <w:sz w:val="22"/>
        </w:rPr>
        <w:t>Implementation</w:t>
      </w:r>
      <w:r>
        <w:rPr>
          <w:spacing w:val="-9"/>
          <w:sz w:val="22"/>
        </w:rPr>
        <w:t> </w:t>
      </w:r>
      <w:r>
        <w:rPr>
          <w:sz w:val="22"/>
        </w:rPr>
        <w:t>Team</w:t>
      </w:r>
      <w:r>
        <w:rPr>
          <w:spacing w:val="-10"/>
          <w:sz w:val="22"/>
        </w:rPr>
        <w:t> </w:t>
      </w:r>
      <w:r>
        <w:rPr>
          <w:sz w:val="22"/>
        </w:rPr>
        <w:t>business</w:t>
      </w:r>
      <w:r>
        <w:rPr>
          <w:spacing w:val="-11"/>
          <w:sz w:val="22"/>
        </w:rPr>
        <w:t> </w:t>
      </w:r>
      <w:r>
        <w:rPr>
          <w:sz w:val="22"/>
        </w:rPr>
        <w:t>continuity</w:t>
      </w:r>
      <w:r>
        <w:rPr>
          <w:spacing w:val="-9"/>
          <w:sz w:val="22"/>
        </w:rPr>
        <w:t> </w:t>
      </w:r>
      <w:r>
        <w:rPr>
          <w:spacing w:val="-2"/>
          <w:sz w:val="22"/>
        </w:rPr>
        <w:t>plan;</w:t>
      </w:r>
    </w:p>
    <w:p>
      <w:pPr>
        <w:pStyle w:val="ListParagraph"/>
        <w:numPr>
          <w:ilvl w:val="1"/>
          <w:numId w:val="2"/>
        </w:numPr>
        <w:tabs>
          <w:tab w:pos="729" w:val="left" w:leader="none"/>
        </w:tabs>
        <w:spacing w:line="269" w:lineRule="exact" w:before="0" w:after="0"/>
        <w:ind w:left="729" w:right="0" w:hanging="360"/>
        <w:jc w:val="left"/>
        <w:rPr>
          <w:sz w:val="22"/>
        </w:rPr>
      </w:pPr>
      <w:r>
        <w:rPr>
          <w:sz w:val="22"/>
        </w:rPr>
        <w:t>Support</w:t>
      </w:r>
      <w:r>
        <w:rPr>
          <w:spacing w:val="-6"/>
          <w:sz w:val="22"/>
        </w:rPr>
        <w:t> </w:t>
      </w:r>
      <w:r>
        <w:rPr>
          <w:sz w:val="22"/>
        </w:rPr>
        <w:t>any</w:t>
      </w:r>
      <w:r>
        <w:rPr>
          <w:spacing w:val="-5"/>
          <w:sz w:val="22"/>
        </w:rPr>
        <w:t> </w:t>
      </w:r>
      <w:r>
        <w:rPr>
          <w:sz w:val="22"/>
        </w:rPr>
        <w:t>other</w:t>
      </w:r>
      <w:r>
        <w:rPr>
          <w:spacing w:val="-5"/>
          <w:sz w:val="22"/>
        </w:rPr>
        <w:t> </w:t>
      </w:r>
      <w:r>
        <w:rPr>
          <w:sz w:val="22"/>
        </w:rPr>
        <w:t>activity</w:t>
      </w:r>
      <w:r>
        <w:rPr>
          <w:spacing w:val="-5"/>
          <w:sz w:val="22"/>
        </w:rPr>
        <w:t> </w:t>
      </w:r>
      <w:r>
        <w:rPr>
          <w:sz w:val="22"/>
        </w:rPr>
        <w:t>of</w:t>
      </w:r>
      <w:r>
        <w:rPr>
          <w:spacing w:val="-5"/>
          <w:sz w:val="22"/>
        </w:rPr>
        <w:t> </w:t>
      </w:r>
      <w:r>
        <w:rPr>
          <w:sz w:val="22"/>
        </w:rPr>
        <w:t>the</w:t>
      </w:r>
      <w:r>
        <w:rPr>
          <w:spacing w:val="-5"/>
          <w:sz w:val="22"/>
        </w:rPr>
        <w:t> </w:t>
      </w:r>
      <w:r>
        <w:rPr>
          <w:sz w:val="22"/>
        </w:rPr>
        <w:t>C2</w:t>
      </w:r>
      <w:r>
        <w:rPr>
          <w:spacing w:val="-4"/>
          <w:sz w:val="22"/>
        </w:rPr>
        <w:t> </w:t>
      </w:r>
      <w:r>
        <w:rPr>
          <w:sz w:val="22"/>
        </w:rPr>
        <w:t>unit</w:t>
      </w:r>
      <w:r>
        <w:rPr>
          <w:spacing w:val="-6"/>
          <w:sz w:val="22"/>
        </w:rPr>
        <w:t> </w:t>
      </w:r>
      <w:r>
        <w:rPr>
          <w:sz w:val="22"/>
        </w:rPr>
        <w:t>as</w:t>
      </w:r>
      <w:r>
        <w:rPr>
          <w:spacing w:val="-5"/>
          <w:sz w:val="22"/>
        </w:rPr>
        <w:t> </w:t>
      </w:r>
      <w:r>
        <w:rPr>
          <w:spacing w:val="-2"/>
          <w:sz w:val="22"/>
        </w:rPr>
        <w:t>necessary</w:t>
      </w:r>
    </w:p>
    <w:p>
      <w:pPr>
        <w:pStyle w:val="BodyText"/>
        <w:spacing w:before="11"/>
        <w:rPr>
          <w:sz w:val="21"/>
        </w:rPr>
      </w:pPr>
    </w:p>
    <w:p>
      <w:pPr>
        <w:pStyle w:val="ListParagraph"/>
        <w:numPr>
          <w:ilvl w:val="0"/>
          <w:numId w:val="2"/>
        </w:numPr>
        <w:tabs>
          <w:tab w:pos="796" w:val="left" w:leader="none"/>
        </w:tabs>
        <w:spacing w:line="240" w:lineRule="auto" w:before="0" w:after="0"/>
        <w:ind w:left="796" w:right="0" w:hanging="426"/>
        <w:jc w:val="left"/>
        <w:rPr>
          <w:b/>
          <w:sz w:val="24"/>
        </w:rPr>
      </w:pPr>
      <w:r>
        <w:rPr>
          <w:b/>
          <w:sz w:val="24"/>
          <w:u w:val="single"/>
        </w:rPr>
        <w:t>Main</w:t>
      </w:r>
      <w:r>
        <w:rPr>
          <w:b/>
          <w:spacing w:val="-1"/>
          <w:sz w:val="24"/>
          <w:u w:val="single"/>
        </w:rPr>
        <w:t> </w:t>
      </w:r>
      <w:r>
        <w:rPr>
          <w:b/>
          <w:spacing w:val="-2"/>
          <w:sz w:val="24"/>
          <w:u w:val="single"/>
        </w:rPr>
        <w:t>qualifications</w:t>
      </w:r>
    </w:p>
    <w:p>
      <w:pPr>
        <w:pStyle w:val="BodyText"/>
        <w:rPr>
          <w:b/>
          <w:sz w:val="16"/>
        </w:rPr>
      </w:pPr>
    </w:p>
    <w:p>
      <w:pPr>
        <w:pStyle w:val="Heading1"/>
        <w:numPr>
          <w:ilvl w:val="0"/>
          <w:numId w:val="3"/>
        </w:numPr>
        <w:tabs>
          <w:tab w:pos="1033" w:val="left" w:leader="none"/>
        </w:tabs>
        <w:spacing w:line="240" w:lineRule="auto" w:before="90" w:after="0"/>
        <w:ind w:left="1033" w:right="0" w:hanging="237"/>
        <w:jc w:val="left"/>
      </w:pPr>
      <w:r>
        <w:rPr/>
        <w:t>Eligibility</w:t>
      </w:r>
      <w:r>
        <w:rPr>
          <w:spacing w:val="-12"/>
        </w:rPr>
        <w:t> </w:t>
      </w:r>
      <w:r>
        <w:rPr>
          <w:spacing w:val="-2"/>
        </w:rPr>
        <w:t>criteria</w:t>
      </w:r>
    </w:p>
    <w:p>
      <w:pPr>
        <w:pStyle w:val="BodyText"/>
        <w:spacing w:before="1"/>
        <w:rPr>
          <w:b/>
        </w:rPr>
      </w:pPr>
    </w:p>
    <w:p>
      <w:pPr>
        <w:pStyle w:val="BodyText"/>
        <w:ind w:left="796" w:right="106"/>
        <w:jc w:val="both"/>
      </w:pPr>
      <w:r>
        <w:rPr/>
        <w:t>The following eligibility criteria must be fulfilled by the candidate in order to be seconded to the Commission. Consequently, the candidate who does not fulfil all of these criteria will be automatically eliminated from the selection process.</w:t>
      </w:r>
    </w:p>
    <w:p>
      <w:pPr>
        <w:pStyle w:val="BodyText"/>
        <w:spacing w:before="11"/>
        <w:rPr>
          <w:sz w:val="21"/>
        </w:rPr>
      </w:pPr>
    </w:p>
    <w:p>
      <w:pPr>
        <w:pStyle w:val="ListParagraph"/>
        <w:numPr>
          <w:ilvl w:val="0"/>
          <w:numId w:val="4"/>
        </w:numPr>
        <w:tabs>
          <w:tab w:pos="1078" w:val="left" w:leader="none"/>
          <w:tab w:pos="1080" w:val="left" w:leader="none"/>
        </w:tabs>
        <w:spacing w:line="240" w:lineRule="auto" w:before="0" w:after="0"/>
        <w:ind w:left="1080" w:right="108" w:hanging="284"/>
        <w:jc w:val="both"/>
        <w:rPr>
          <w:sz w:val="22"/>
        </w:rPr>
      </w:pPr>
      <w:r>
        <w:rPr>
          <w:sz w:val="22"/>
          <w:u w:val="single"/>
        </w:rPr>
        <w:t>Professional experience</w:t>
      </w:r>
      <w:r>
        <w:rPr>
          <w:sz w:val="22"/>
        </w:rPr>
        <w:t>: at least three years of professional experience in administrative, legal, scientific, technical, advisory or supervisory functions which are equivalent to those of function group AD;</w:t>
      </w:r>
    </w:p>
    <w:p>
      <w:pPr>
        <w:pStyle w:val="BodyText"/>
      </w:pPr>
    </w:p>
    <w:p>
      <w:pPr>
        <w:pStyle w:val="ListParagraph"/>
        <w:numPr>
          <w:ilvl w:val="0"/>
          <w:numId w:val="4"/>
        </w:numPr>
        <w:tabs>
          <w:tab w:pos="1078" w:val="left" w:leader="none"/>
          <w:tab w:pos="1080" w:val="left" w:leader="none"/>
        </w:tabs>
        <w:spacing w:line="240" w:lineRule="auto" w:before="1" w:after="0"/>
        <w:ind w:left="1080" w:right="109" w:hanging="284"/>
        <w:jc w:val="both"/>
        <w:rPr>
          <w:sz w:val="22"/>
        </w:rPr>
      </w:pPr>
      <w:r>
        <w:rPr>
          <w:sz w:val="22"/>
          <w:u w:val="single"/>
        </w:rPr>
        <w:t>Seniority</w:t>
      </w:r>
      <w:r>
        <w:rPr>
          <w:sz w:val="22"/>
        </w:rPr>
        <w:t>: candidates must have at least one year seniority with their employer, that means having worked for an eligible employer as described in Art. 1 of the SNE decision on a permanent or contract basis for at least one year before the secondment;</w:t>
      </w:r>
    </w:p>
    <w:p>
      <w:pPr>
        <w:pStyle w:val="BodyText"/>
        <w:spacing w:before="11"/>
        <w:rPr>
          <w:sz w:val="21"/>
        </w:rPr>
      </w:pPr>
    </w:p>
    <w:p>
      <w:pPr>
        <w:pStyle w:val="ListParagraph"/>
        <w:numPr>
          <w:ilvl w:val="0"/>
          <w:numId w:val="4"/>
        </w:numPr>
        <w:tabs>
          <w:tab w:pos="1079" w:val="left" w:leader="none"/>
        </w:tabs>
        <w:spacing w:line="240" w:lineRule="auto" w:before="0" w:after="0"/>
        <w:ind w:left="1079" w:right="106" w:hanging="283"/>
        <w:jc w:val="both"/>
        <w:rPr>
          <w:sz w:val="22"/>
        </w:rPr>
      </w:pPr>
      <w:r>
        <w:rPr>
          <w:sz w:val="22"/>
          <w:u w:val="single"/>
        </w:rPr>
        <w:t>Linguistic skills</w:t>
      </w:r>
      <w:r>
        <w:rPr>
          <w:sz w:val="22"/>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w:t>
      </w:r>
      <w:r>
        <w:rPr>
          <w:spacing w:val="80"/>
          <w:sz w:val="22"/>
        </w:rPr>
        <w:t> </w:t>
      </w:r>
      <w:r>
        <w:rPr>
          <w:spacing w:val="-2"/>
          <w:sz w:val="22"/>
        </w:rPr>
        <w:t>duties.</w:t>
      </w:r>
    </w:p>
    <w:p>
      <w:pPr>
        <w:pStyle w:val="BodyText"/>
        <w:spacing w:before="11"/>
        <w:rPr>
          <w:sz w:val="23"/>
        </w:rPr>
      </w:pPr>
    </w:p>
    <w:p>
      <w:pPr>
        <w:pStyle w:val="Heading1"/>
        <w:numPr>
          <w:ilvl w:val="0"/>
          <w:numId w:val="3"/>
        </w:numPr>
        <w:tabs>
          <w:tab w:pos="1077" w:val="left" w:leader="none"/>
        </w:tabs>
        <w:spacing w:line="240" w:lineRule="auto" w:before="0" w:after="0"/>
        <w:ind w:left="1077" w:right="0" w:hanging="281"/>
        <w:jc w:val="left"/>
      </w:pPr>
      <w:r>
        <w:rPr>
          <w:u w:val="single"/>
        </w:rPr>
        <w:t>Selection</w:t>
      </w:r>
      <w:r>
        <w:rPr>
          <w:spacing w:val="-12"/>
          <w:u w:val="single"/>
        </w:rPr>
        <w:t> </w:t>
      </w:r>
      <w:r>
        <w:rPr>
          <w:spacing w:val="-2"/>
          <w:u w:val="single"/>
        </w:rPr>
        <w:t>criteria</w:t>
      </w:r>
    </w:p>
    <w:p>
      <w:pPr>
        <w:pStyle w:val="BodyText"/>
        <w:spacing w:before="2"/>
        <w:rPr>
          <w:b/>
          <w:sz w:val="16"/>
        </w:rPr>
      </w:pPr>
    </w:p>
    <w:p>
      <w:pPr>
        <w:pStyle w:val="BodyText"/>
        <w:spacing w:before="90"/>
        <w:ind w:left="1080"/>
      </w:pPr>
      <w:r>
        <w:rPr>
          <w:spacing w:val="-2"/>
          <w:u w:val="single"/>
        </w:rPr>
        <w:t>Diploma</w:t>
      </w:r>
    </w:p>
    <w:p>
      <w:pPr>
        <w:pStyle w:val="ListParagraph"/>
        <w:numPr>
          <w:ilvl w:val="1"/>
          <w:numId w:val="3"/>
        </w:numPr>
        <w:tabs>
          <w:tab w:pos="1208" w:val="left" w:leader="none"/>
        </w:tabs>
        <w:spacing w:line="240" w:lineRule="auto" w:before="0" w:after="0"/>
        <w:ind w:left="1208" w:right="0" w:hanging="128"/>
        <w:jc w:val="left"/>
        <w:rPr>
          <w:sz w:val="22"/>
        </w:rPr>
      </w:pPr>
      <w:r>
        <w:rPr>
          <w:sz w:val="22"/>
        </w:rPr>
        <w:t>university</w:t>
      </w:r>
      <w:r>
        <w:rPr>
          <w:spacing w:val="-10"/>
          <w:sz w:val="22"/>
        </w:rPr>
        <w:t> </w:t>
      </w:r>
      <w:r>
        <w:rPr>
          <w:sz w:val="22"/>
        </w:rPr>
        <w:t>degree</w:t>
      </w:r>
      <w:r>
        <w:rPr>
          <w:spacing w:val="-11"/>
          <w:sz w:val="22"/>
        </w:rPr>
        <w:t> </w:t>
      </w:r>
      <w:r>
        <w:rPr>
          <w:spacing w:val="-5"/>
          <w:sz w:val="22"/>
        </w:rPr>
        <w:t>or</w:t>
      </w:r>
    </w:p>
    <w:p>
      <w:pPr>
        <w:pStyle w:val="ListParagraph"/>
        <w:numPr>
          <w:ilvl w:val="1"/>
          <w:numId w:val="3"/>
        </w:numPr>
        <w:tabs>
          <w:tab w:pos="1208" w:val="left" w:leader="none"/>
        </w:tabs>
        <w:spacing w:line="240" w:lineRule="auto" w:before="1" w:after="0"/>
        <w:ind w:left="1208" w:right="0" w:hanging="128"/>
        <w:jc w:val="left"/>
        <w:rPr>
          <w:sz w:val="22"/>
        </w:rPr>
      </w:pPr>
      <w:r>
        <w:rPr>
          <w:sz w:val="22"/>
        </w:rPr>
        <w:t>professional</w:t>
      </w:r>
      <w:r>
        <w:rPr>
          <w:spacing w:val="-9"/>
          <w:sz w:val="22"/>
        </w:rPr>
        <w:t> </w:t>
      </w:r>
      <w:r>
        <w:rPr>
          <w:sz w:val="22"/>
        </w:rPr>
        <w:t>training</w:t>
      </w:r>
      <w:r>
        <w:rPr>
          <w:spacing w:val="-9"/>
          <w:sz w:val="22"/>
        </w:rPr>
        <w:t> </w:t>
      </w:r>
      <w:r>
        <w:rPr>
          <w:sz w:val="22"/>
        </w:rPr>
        <w:t>or</w:t>
      </w:r>
      <w:r>
        <w:rPr>
          <w:spacing w:val="-10"/>
          <w:sz w:val="22"/>
        </w:rPr>
        <w:t> </w:t>
      </w:r>
      <w:r>
        <w:rPr>
          <w:sz w:val="22"/>
        </w:rPr>
        <w:t>professional</w:t>
      </w:r>
      <w:r>
        <w:rPr>
          <w:spacing w:val="-9"/>
          <w:sz w:val="22"/>
        </w:rPr>
        <w:t> </w:t>
      </w:r>
      <w:r>
        <w:rPr>
          <w:sz w:val="22"/>
        </w:rPr>
        <w:t>experience</w:t>
      </w:r>
      <w:r>
        <w:rPr>
          <w:spacing w:val="-10"/>
          <w:sz w:val="22"/>
        </w:rPr>
        <w:t> </w:t>
      </w:r>
      <w:r>
        <w:rPr>
          <w:sz w:val="22"/>
        </w:rPr>
        <w:t>of</w:t>
      </w:r>
      <w:r>
        <w:rPr>
          <w:spacing w:val="-8"/>
          <w:sz w:val="22"/>
        </w:rPr>
        <w:t> </w:t>
      </w:r>
      <w:r>
        <w:rPr>
          <w:sz w:val="22"/>
        </w:rPr>
        <w:t>an</w:t>
      </w:r>
      <w:r>
        <w:rPr>
          <w:spacing w:val="-9"/>
          <w:sz w:val="22"/>
        </w:rPr>
        <w:t> </w:t>
      </w:r>
      <w:r>
        <w:rPr>
          <w:sz w:val="22"/>
        </w:rPr>
        <w:t>equivalent</w:t>
      </w:r>
      <w:r>
        <w:rPr>
          <w:spacing w:val="-9"/>
          <w:sz w:val="22"/>
        </w:rPr>
        <w:t> </w:t>
      </w:r>
      <w:r>
        <w:rPr>
          <w:spacing w:val="-2"/>
          <w:sz w:val="22"/>
        </w:rPr>
        <w:t>level</w:t>
      </w:r>
    </w:p>
    <w:p>
      <w:pPr>
        <w:pStyle w:val="BodyText"/>
        <w:spacing w:before="10"/>
        <w:rPr>
          <w:sz w:val="21"/>
        </w:rPr>
      </w:pPr>
    </w:p>
    <w:p>
      <w:pPr>
        <w:pStyle w:val="BodyText"/>
        <w:spacing w:line="480" w:lineRule="auto"/>
        <w:ind w:left="1080" w:firstLine="110"/>
      </w:pPr>
      <w:r>
        <w:rPr/>
        <w:t>in</w:t>
      </w:r>
      <w:r>
        <w:rPr>
          <w:spacing w:val="-3"/>
        </w:rPr>
        <w:t> </w:t>
      </w:r>
      <w:r>
        <w:rPr/>
        <w:t>the</w:t>
      </w:r>
      <w:r>
        <w:rPr>
          <w:spacing w:val="-4"/>
        </w:rPr>
        <w:t> </w:t>
      </w:r>
      <w:r>
        <w:rPr/>
        <w:t>field(s)</w:t>
      </w:r>
      <w:r>
        <w:rPr>
          <w:spacing w:val="-3"/>
        </w:rPr>
        <w:t> </w:t>
      </w:r>
      <w:r>
        <w:rPr/>
        <w:t>:</w:t>
      </w:r>
      <w:r>
        <w:rPr>
          <w:spacing w:val="-3"/>
        </w:rPr>
        <w:t> </w:t>
      </w:r>
      <w:r>
        <w:rPr/>
        <w:t>aerospace,</w:t>
      </w:r>
      <w:r>
        <w:rPr>
          <w:spacing w:val="-2"/>
        </w:rPr>
        <w:t> </w:t>
      </w:r>
      <w:r>
        <w:rPr/>
        <w:t>telecommunications</w:t>
      </w:r>
      <w:r>
        <w:rPr>
          <w:spacing w:val="-4"/>
        </w:rPr>
        <w:t> </w:t>
      </w:r>
      <w:r>
        <w:rPr/>
        <w:t>or</w:t>
      </w:r>
      <w:r>
        <w:rPr>
          <w:spacing w:val="-3"/>
        </w:rPr>
        <w:t> </w:t>
      </w:r>
      <w:r>
        <w:rPr/>
        <w:t>electronic</w:t>
      </w:r>
      <w:r>
        <w:rPr>
          <w:spacing w:val="-4"/>
        </w:rPr>
        <w:t> </w:t>
      </w:r>
      <w:r>
        <w:rPr/>
        <w:t>engineering,</w:t>
      </w:r>
      <w:r>
        <w:rPr>
          <w:spacing w:val="-3"/>
        </w:rPr>
        <w:t> </w:t>
      </w:r>
      <w:r>
        <w:rPr/>
        <w:t>physics</w:t>
      </w:r>
      <w:r>
        <w:rPr>
          <w:spacing w:val="-4"/>
        </w:rPr>
        <w:t> </w:t>
      </w:r>
      <w:r>
        <w:rPr/>
        <w:t>or</w:t>
      </w:r>
      <w:r>
        <w:rPr>
          <w:spacing w:val="-3"/>
        </w:rPr>
        <w:t> </w:t>
      </w:r>
      <w:r>
        <w:rPr/>
        <w:t>mathematics </w:t>
      </w:r>
      <w:r>
        <w:rPr>
          <w:u w:val="single"/>
        </w:rPr>
        <w:t>Professional experience</w:t>
      </w:r>
    </w:p>
    <w:p>
      <w:pPr>
        <w:pStyle w:val="ListParagraph"/>
        <w:numPr>
          <w:ilvl w:val="1"/>
          <w:numId w:val="3"/>
        </w:numPr>
        <w:tabs>
          <w:tab w:pos="1439" w:val="left" w:leader="none"/>
        </w:tabs>
        <w:spacing w:line="252" w:lineRule="exact" w:before="1" w:after="0"/>
        <w:ind w:left="1439" w:right="0" w:hanging="359"/>
        <w:jc w:val="left"/>
        <w:rPr>
          <w:sz w:val="22"/>
        </w:rPr>
      </w:pPr>
      <w:r>
        <w:rPr>
          <w:sz w:val="22"/>
          <w:u w:val="single"/>
        </w:rPr>
        <w:t>[Experience</w:t>
      </w:r>
      <w:r>
        <w:rPr>
          <w:spacing w:val="-8"/>
          <w:sz w:val="22"/>
          <w:u w:val="single"/>
        </w:rPr>
        <w:t> </w:t>
      </w:r>
      <w:r>
        <w:rPr>
          <w:sz w:val="22"/>
          <w:u w:val="single"/>
        </w:rPr>
        <w:t>in</w:t>
      </w:r>
      <w:r>
        <w:rPr>
          <w:spacing w:val="-8"/>
          <w:sz w:val="22"/>
          <w:u w:val="single"/>
        </w:rPr>
        <w:t> </w:t>
      </w:r>
      <w:r>
        <w:rPr>
          <w:sz w:val="22"/>
          <w:u w:val="single"/>
        </w:rPr>
        <w:t>the</w:t>
      </w:r>
      <w:r>
        <w:rPr>
          <w:spacing w:val="-8"/>
          <w:sz w:val="22"/>
          <w:u w:val="single"/>
        </w:rPr>
        <w:t> </w:t>
      </w:r>
      <w:r>
        <w:rPr>
          <w:sz w:val="22"/>
          <w:u w:val="single"/>
        </w:rPr>
        <w:t>development</w:t>
      </w:r>
      <w:r>
        <w:rPr>
          <w:spacing w:val="-7"/>
          <w:sz w:val="22"/>
          <w:u w:val="single"/>
        </w:rPr>
        <w:t> </w:t>
      </w:r>
      <w:r>
        <w:rPr>
          <w:sz w:val="22"/>
          <w:u w:val="single"/>
        </w:rPr>
        <w:t>of</w:t>
      </w:r>
      <w:r>
        <w:rPr>
          <w:spacing w:val="-7"/>
          <w:sz w:val="22"/>
          <w:u w:val="single"/>
        </w:rPr>
        <w:t> </w:t>
      </w:r>
      <w:r>
        <w:rPr>
          <w:sz w:val="22"/>
          <w:u w:val="single"/>
        </w:rPr>
        <w:t>large</w:t>
      </w:r>
      <w:r>
        <w:rPr>
          <w:spacing w:val="-8"/>
          <w:sz w:val="22"/>
          <w:u w:val="single"/>
        </w:rPr>
        <w:t> </w:t>
      </w:r>
      <w:r>
        <w:rPr>
          <w:sz w:val="22"/>
          <w:u w:val="single"/>
        </w:rPr>
        <w:t>scale</w:t>
      </w:r>
      <w:r>
        <w:rPr>
          <w:spacing w:val="-6"/>
          <w:sz w:val="22"/>
          <w:u w:val="single"/>
        </w:rPr>
        <w:t> </w:t>
      </w:r>
      <w:r>
        <w:rPr>
          <w:sz w:val="22"/>
          <w:u w:val="single"/>
        </w:rPr>
        <w:t>space</w:t>
      </w:r>
      <w:r>
        <w:rPr>
          <w:spacing w:val="-6"/>
          <w:sz w:val="22"/>
          <w:u w:val="single"/>
        </w:rPr>
        <w:t> </w:t>
      </w:r>
      <w:r>
        <w:rPr>
          <w:spacing w:val="-2"/>
          <w:sz w:val="22"/>
          <w:u w:val="single"/>
        </w:rPr>
        <w:t>systems</w:t>
      </w:r>
    </w:p>
    <w:p>
      <w:pPr>
        <w:pStyle w:val="ListParagraph"/>
        <w:numPr>
          <w:ilvl w:val="1"/>
          <w:numId w:val="3"/>
        </w:numPr>
        <w:tabs>
          <w:tab w:pos="1439" w:val="left" w:leader="none"/>
        </w:tabs>
        <w:spacing w:line="252" w:lineRule="exact" w:before="0" w:after="0"/>
        <w:ind w:left="1439" w:right="0" w:hanging="359"/>
        <w:jc w:val="left"/>
        <w:rPr>
          <w:sz w:val="22"/>
        </w:rPr>
      </w:pPr>
      <w:r>
        <w:rPr>
          <w:sz w:val="22"/>
          <w:u w:val="single"/>
        </w:rPr>
        <w:t>Knowledge</w:t>
      </w:r>
      <w:r>
        <w:rPr>
          <w:spacing w:val="-10"/>
          <w:sz w:val="22"/>
          <w:u w:val="single"/>
        </w:rPr>
        <w:t> </w:t>
      </w:r>
      <w:r>
        <w:rPr>
          <w:sz w:val="22"/>
          <w:u w:val="single"/>
        </w:rPr>
        <w:t>of</w:t>
      </w:r>
      <w:r>
        <w:rPr>
          <w:spacing w:val="-8"/>
          <w:sz w:val="22"/>
          <w:u w:val="single"/>
        </w:rPr>
        <w:t> </w:t>
      </w:r>
      <w:r>
        <w:rPr>
          <w:sz w:val="22"/>
          <w:u w:val="single"/>
        </w:rPr>
        <w:t>GNSS</w:t>
      </w:r>
      <w:r>
        <w:rPr>
          <w:spacing w:val="-9"/>
          <w:sz w:val="22"/>
          <w:u w:val="single"/>
        </w:rPr>
        <w:t> </w:t>
      </w:r>
      <w:r>
        <w:rPr>
          <w:sz w:val="22"/>
          <w:u w:val="single"/>
        </w:rPr>
        <w:t>systems</w:t>
      </w:r>
      <w:r>
        <w:rPr>
          <w:spacing w:val="-9"/>
          <w:sz w:val="22"/>
          <w:u w:val="single"/>
        </w:rPr>
        <w:t> </w:t>
      </w:r>
      <w:r>
        <w:rPr>
          <w:sz w:val="22"/>
          <w:u w:val="single"/>
        </w:rPr>
        <w:t>architecture</w:t>
      </w:r>
      <w:r>
        <w:rPr>
          <w:spacing w:val="-9"/>
          <w:sz w:val="22"/>
          <w:u w:val="single"/>
        </w:rPr>
        <w:t> </w:t>
      </w:r>
      <w:r>
        <w:rPr>
          <w:sz w:val="22"/>
          <w:u w:val="single"/>
        </w:rPr>
        <w:t>and</w:t>
      </w:r>
      <w:r>
        <w:rPr>
          <w:spacing w:val="-9"/>
          <w:sz w:val="22"/>
          <w:u w:val="single"/>
        </w:rPr>
        <w:t> </w:t>
      </w:r>
      <w:r>
        <w:rPr>
          <w:spacing w:val="-2"/>
          <w:sz w:val="22"/>
          <w:u w:val="single"/>
        </w:rPr>
        <w:t>performances;</w:t>
      </w:r>
    </w:p>
    <w:p>
      <w:pPr>
        <w:pStyle w:val="ListParagraph"/>
        <w:numPr>
          <w:ilvl w:val="1"/>
          <w:numId w:val="3"/>
        </w:numPr>
        <w:tabs>
          <w:tab w:pos="1439" w:val="left" w:leader="none"/>
        </w:tabs>
        <w:spacing w:line="240" w:lineRule="auto" w:before="0" w:after="0"/>
        <w:ind w:left="1439" w:right="0" w:hanging="359"/>
        <w:jc w:val="left"/>
        <w:rPr>
          <w:sz w:val="22"/>
        </w:rPr>
      </w:pPr>
      <w:r>
        <w:rPr>
          <w:sz w:val="22"/>
          <w:u w:val="single"/>
        </w:rPr>
        <w:t>Knowledge</w:t>
      </w:r>
      <w:r>
        <w:rPr>
          <w:spacing w:val="-11"/>
          <w:sz w:val="22"/>
          <w:u w:val="single"/>
        </w:rPr>
        <w:t> </w:t>
      </w:r>
      <w:r>
        <w:rPr>
          <w:sz w:val="22"/>
          <w:u w:val="single"/>
        </w:rPr>
        <w:t>of</w:t>
      </w:r>
      <w:r>
        <w:rPr>
          <w:spacing w:val="-9"/>
          <w:sz w:val="22"/>
          <w:u w:val="single"/>
        </w:rPr>
        <w:t> </w:t>
      </w:r>
      <w:r>
        <w:rPr>
          <w:sz w:val="22"/>
          <w:u w:val="single"/>
        </w:rPr>
        <w:t>System</w:t>
      </w:r>
      <w:r>
        <w:rPr>
          <w:spacing w:val="-10"/>
          <w:sz w:val="22"/>
          <w:u w:val="single"/>
        </w:rPr>
        <w:t> </w:t>
      </w:r>
      <w:r>
        <w:rPr>
          <w:sz w:val="22"/>
          <w:u w:val="single"/>
        </w:rPr>
        <w:t>engineering</w:t>
      </w:r>
      <w:r>
        <w:rPr>
          <w:spacing w:val="-9"/>
          <w:sz w:val="22"/>
          <w:u w:val="single"/>
        </w:rPr>
        <w:t> </w:t>
      </w:r>
      <w:r>
        <w:rPr>
          <w:spacing w:val="-2"/>
          <w:sz w:val="22"/>
          <w:u w:val="single"/>
        </w:rPr>
        <w:t>processes;</w:t>
      </w:r>
    </w:p>
    <w:p>
      <w:pPr>
        <w:pStyle w:val="ListParagraph"/>
        <w:numPr>
          <w:ilvl w:val="1"/>
          <w:numId w:val="3"/>
        </w:numPr>
        <w:tabs>
          <w:tab w:pos="1439" w:val="left" w:leader="none"/>
        </w:tabs>
        <w:spacing w:line="240" w:lineRule="auto" w:before="1" w:after="0"/>
        <w:ind w:left="1439" w:right="0" w:hanging="359"/>
        <w:jc w:val="left"/>
        <w:rPr>
          <w:sz w:val="22"/>
        </w:rPr>
      </w:pPr>
      <w:r>
        <w:rPr>
          <w:sz w:val="22"/>
          <w:u w:val="single"/>
        </w:rPr>
        <w:t>Experience</w:t>
      </w:r>
      <w:r>
        <w:rPr>
          <w:spacing w:val="-11"/>
          <w:sz w:val="22"/>
          <w:u w:val="single"/>
        </w:rPr>
        <w:t> </w:t>
      </w:r>
      <w:r>
        <w:rPr>
          <w:sz w:val="22"/>
          <w:u w:val="single"/>
        </w:rPr>
        <w:t>with</w:t>
      </w:r>
      <w:r>
        <w:rPr>
          <w:spacing w:val="-10"/>
          <w:sz w:val="22"/>
          <w:u w:val="single"/>
        </w:rPr>
        <w:t> </w:t>
      </w:r>
      <w:r>
        <w:rPr>
          <w:sz w:val="22"/>
          <w:u w:val="single"/>
        </w:rPr>
        <w:t>Programme</w:t>
      </w:r>
      <w:r>
        <w:rPr>
          <w:spacing w:val="-10"/>
          <w:sz w:val="22"/>
          <w:u w:val="single"/>
        </w:rPr>
        <w:t> </w:t>
      </w:r>
      <w:r>
        <w:rPr>
          <w:sz w:val="22"/>
          <w:u w:val="single"/>
        </w:rPr>
        <w:t>and</w:t>
      </w:r>
      <w:r>
        <w:rPr>
          <w:spacing w:val="-10"/>
          <w:sz w:val="22"/>
          <w:u w:val="single"/>
        </w:rPr>
        <w:t> </w:t>
      </w:r>
      <w:r>
        <w:rPr>
          <w:sz w:val="22"/>
          <w:u w:val="single"/>
        </w:rPr>
        <w:t>Project</w:t>
      </w:r>
      <w:r>
        <w:rPr>
          <w:spacing w:val="-10"/>
          <w:sz w:val="22"/>
          <w:u w:val="single"/>
        </w:rPr>
        <w:t> </w:t>
      </w:r>
      <w:r>
        <w:rPr>
          <w:sz w:val="22"/>
          <w:u w:val="single"/>
        </w:rPr>
        <w:t>Management</w:t>
      </w:r>
      <w:r>
        <w:rPr>
          <w:spacing w:val="-8"/>
          <w:sz w:val="22"/>
          <w:u w:val="single"/>
        </w:rPr>
        <w:t> </w:t>
      </w:r>
      <w:r>
        <w:rPr>
          <w:spacing w:val="-2"/>
          <w:sz w:val="22"/>
          <w:u w:val="single"/>
        </w:rPr>
        <w:t>Processes</w:t>
      </w:r>
    </w:p>
    <w:p>
      <w:pPr>
        <w:pStyle w:val="ListParagraph"/>
        <w:numPr>
          <w:ilvl w:val="1"/>
          <w:numId w:val="3"/>
        </w:numPr>
        <w:tabs>
          <w:tab w:pos="1439" w:val="left" w:leader="none"/>
        </w:tabs>
        <w:spacing w:line="240" w:lineRule="auto" w:before="0" w:after="0"/>
        <w:ind w:left="1439" w:right="0" w:hanging="359"/>
        <w:jc w:val="left"/>
        <w:rPr>
          <w:sz w:val="22"/>
        </w:rPr>
      </w:pPr>
      <w:r>
        <w:rPr>
          <w:sz w:val="22"/>
          <w:u w:val="single"/>
        </w:rPr>
        <w:t>Proven</w:t>
      </w:r>
      <w:r>
        <w:rPr>
          <w:spacing w:val="-9"/>
          <w:sz w:val="22"/>
          <w:u w:val="single"/>
        </w:rPr>
        <w:t> </w:t>
      </w:r>
      <w:r>
        <w:rPr>
          <w:sz w:val="22"/>
          <w:u w:val="single"/>
        </w:rPr>
        <w:t>experience</w:t>
      </w:r>
      <w:r>
        <w:rPr>
          <w:spacing w:val="-9"/>
          <w:sz w:val="22"/>
          <w:u w:val="single"/>
        </w:rPr>
        <w:t> </w:t>
      </w:r>
      <w:r>
        <w:rPr>
          <w:sz w:val="22"/>
          <w:u w:val="single"/>
        </w:rPr>
        <w:t>in</w:t>
      </w:r>
      <w:r>
        <w:rPr>
          <w:spacing w:val="-8"/>
          <w:sz w:val="22"/>
          <w:u w:val="single"/>
        </w:rPr>
        <w:t> </w:t>
      </w:r>
      <w:r>
        <w:rPr>
          <w:sz w:val="22"/>
          <w:u w:val="single"/>
        </w:rPr>
        <w:t>contract</w:t>
      </w:r>
      <w:r>
        <w:rPr>
          <w:spacing w:val="-8"/>
          <w:sz w:val="22"/>
          <w:u w:val="single"/>
        </w:rPr>
        <w:t> </w:t>
      </w:r>
      <w:r>
        <w:rPr>
          <w:sz w:val="22"/>
          <w:u w:val="single"/>
        </w:rPr>
        <w:t>negotiation</w:t>
      </w:r>
      <w:r>
        <w:rPr>
          <w:spacing w:val="-8"/>
          <w:sz w:val="22"/>
          <w:u w:val="single"/>
        </w:rPr>
        <w:t> </w:t>
      </w:r>
      <w:r>
        <w:rPr>
          <w:sz w:val="22"/>
          <w:u w:val="single"/>
        </w:rPr>
        <w:t>is</w:t>
      </w:r>
      <w:r>
        <w:rPr>
          <w:spacing w:val="-9"/>
          <w:sz w:val="22"/>
          <w:u w:val="single"/>
        </w:rPr>
        <w:t> </w:t>
      </w:r>
      <w:r>
        <w:rPr>
          <w:spacing w:val="-2"/>
          <w:sz w:val="22"/>
          <w:u w:val="single"/>
        </w:rPr>
        <w:t>desirable;</w:t>
      </w:r>
    </w:p>
    <w:p>
      <w:pPr>
        <w:pStyle w:val="ListParagraph"/>
        <w:numPr>
          <w:ilvl w:val="1"/>
          <w:numId w:val="3"/>
        </w:numPr>
        <w:tabs>
          <w:tab w:pos="1439" w:val="left" w:leader="none"/>
        </w:tabs>
        <w:spacing w:line="240" w:lineRule="auto" w:before="0" w:after="0"/>
        <w:ind w:left="1439" w:right="0" w:hanging="359"/>
        <w:jc w:val="left"/>
        <w:rPr>
          <w:sz w:val="22"/>
        </w:rPr>
      </w:pPr>
      <w:r>
        <w:rPr>
          <w:sz w:val="22"/>
          <w:u w:val="single"/>
        </w:rPr>
        <w:t>Experience</w:t>
      </w:r>
      <w:r>
        <w:rPr>
          <w:spacing w:val="-8"/>
          <w:sz w:val="22"/>
          <w:u w:val="single"/>
        </w:rPr>
        <w:t> </w:t>
      </w:r>
      <w:r>
        <w:rPr>
          <w:sz w:val="22"/>
          <w:u w:val="single"/>
        </w:rPr>
        <w:t>in</w:t>
      </w:r>
      <w:r>
        <w:rPr>
          <w:spacing w:val="-6"/>
          <w:sz w:val="22"/>
          <w:u w:val="single"/>
        </w:rPr>
        <w:t> </w:t>
      </w:r>
      <w:r>
        <w:rPr>
          <w:sz w:val="22"/>
          <w:u w:val="single"/>
        </w:rPr>
        <w:t>interfacing</w:t>
      </w:r>
      <w:r>
        <w:rPr>
          <w:spacing w:val="-7"/>
          <w:sz w:val="22"/>
          <w:u w:val="single"/>
        </w:rPr>
        <w:t> </w:t>
      </w:r>
      <w:r>
        <w:rPr>
          <w:sz w:val="22"/>
          <w:u w:val="single"/>
        </w:rPr>
        <w:t>with</w:t>
      </w:r>
      <w:r>
        <w:rPr>
          <w:spacing w:val="-6"/>
          <w:sz w:val="22"/>
          <w:u w:val="single"/>
        </w:rPr>
        <w:t> </w:t>
      </w:r>
      <w:r>
        <w:rPr>
          <w:sz w:val="22"/>
          <w:u w:val="single"/>
        </w:rPr>
        <w:t>ESA</w:t>
      </w:r>
      <w:r>
        <w:rPr>
          <w:spacing w:val="-8"/>
          <w:sz w:val="22"/>
          <w:u w:val="single"/>
        </w:rPr>
        <w:t> </w:t>
      </w:r>
      <w:r>
        <w:rPr>
          <w:sz w:val="22"/>
          <w:u w:val="single"/>
        </w:rPr>
        <w:t>or</w:t>
      </w:r>
      <w:r>
        <w:rPr>
          <w:spacing w:val="-6"/>
          <w:sz w:val="22"/>
          <w:u w:val="single"/>
        </w:rPr>
        <w:t> </w:t>
      </w:r>
      <w:r>
        <w:rPr>
          <w:sz w:val="22"/>
          <w:u w:val="single"/>
        </w:rPr>
        <w:t>other</w:t>
      </w:r>
      <w:r>
        <w:rPr>
          <w:spacing w:val="-7"/>
          <w:sz w:val="22"/>
          <w:u w:val="single"/>
        </w:rPr>
        <w:t> </w:t>
      </w:r>
      <w:r>
        <w:rPr>
          <w:sz w:val="22"/>
          <w:u w:val="single"/>
        </w:rPr>
        <w:t>national</w:t>
      </w:r>
      <w:r>
        <w:rPr>
          <w:spacing w:val="-6"/>
          <w:sz w:val="22"/>
          <w:u w:val="single"/>
        </w:rPr>
        <w:t> </w:t>
      </w:r>
      <w:r>
        <w:rPr>
          <w:sz w:val="22"/>
          <w:u w:val="single"/>
        </w:rPr>
        <w:t>space</w:t>
      </w:r>
      <w:r>
        <w:rPr>
          <w:spacing w:val="-8"/>
          <w:sz w:val="22"/>
          <w:u w:val="single"/>
        </w:rPr>
        <w:t> </w:t>
      </w:r>
      <w:r>
        <w:rPr>
          <w:sz w:val="22"/>
          <w:u w:val="single"/>
        </w:rPr>
        <w:t>agencies</w:t>
      </w:r>
      <w:r>
        <w:rPr>
          <w:spacing w:val="-5"/>
          <w:sz w:val="22"/>
          <w:u w:val="single"/>
        </w:rPr>
        <w:t> </w:t>
      </w:r>
      <w:r>
        <w:rPr>
          <w:sz w:val="22"/>
          <w:u w:val="single"/>
        </w:rPr>
        <w:t>is</w:t>
      </w:r>
      <w:r>
        <w:rPr>
          <w:spacing w:val="-8"/>
          <w:sz w:val="22"/>
          <w:u w:val="single"/>
        </w:rPr>
        <w:t> </w:t>
      </w:r>
      <w:r>
        <w:rPr>
          <w:sz w:val="22"/>
          <w:u w:val="single"/>
        </w:rPr>
        <w:t>an</w:t>
      </w:r>
      <w:r>
        <w:rPr>
          <w:spacing w:val="-6"/>
          <w:sz w:val="22"/>
          <w:u w:val="single"/>
        </w:rPr>
        <w:t> </w:t>
      </w:r>
      <w:r>
        <w:rPr>
          <w:spacing w:val="-2"/>
          <w:sz w:val="22"/>
          <w:u w:val="single"/>
        </w:rPr>
        <w:t>asset</w:t>
      </w:r>
    </w:p>
    <w:p>
      <w:pPr>
        <w:pStyle w:val="ListParagraph"/>
        <w:numPr>
          <w:ilvl w:val="1"/>
          <w:numId w:val="3"/>
        </w:numPr>
        <w:tabs>
          <w:tab w:pos="1439" w:val="left" w:leader="none"/>
        </w:tabs>
        <w:spacing w:line="240" w:lineRule="auto" w:before="0" w:after="0"/>
        <w:ind w:left="1439" w:right="168" w:hanging="360"/>
        <w:jc w:val="both"/>
        <w:rPr>
          <w:sz w:val="22"/>
        </w:rPr>
      </w:pPr>
      <w:r>
        <w:rPr>
          <w:sz w:val="22"/>
        </w:rPr>
        <w:t>Personal Security Clearance to access EU Classified Information up to SECRET UE/EU SECRET classification level is required; if not yet in possession, the request will be initiated upon entry into </w:t>
      </w:r>
      <w:r>
        <w:rPr>
          <w:spacing w:val="-2"/>
          <w:sz w:val="22"/>
        </w:rPr>
        <w:t>service.</w:t>
      </w:r>
    </w:p>
    <w:p>
      <w:pPr>
        <w:pStyle w:val="BodyText"/>
      </w:pPr>
    </w:p>
    <w:p>
      <w:pPr>
        <w:pStyle w:val="BodyText"/>
        <w:ind w:left="1080"/>
      </w:pPr>
      <w:r>
        <w:rPr>
          <w:u w:val="single"/>
        </w:rPr>
        <w:t>Language(s)</w:t>
      </w:r>
      <w:r>
        <w:rPr>
          <w:spacing w:val="-9"/>
          <w:u w:val="single"/>
        </w:rPr>
        <w:t> </w:t>
      </w:r>
      <w:r>
        <w:rPr>
          <w:u w:val="single"/>
        </w:rPr>
        <w:t>necessary</w:t>
      </w:r>
      <w:r>
        <w:rPr>
          <w:spacing w:val="-8"/>
          <w:u w:val="single"/>
        </w:rPr>
        <w:t> </w:t>
      </w:r>
      <w:r>
        <w:rPr>
          <w:u w:val="single"/>
        </w:rPr>
        <w:t>for</w:t>
      </w:r>
      <w:r>
        <w:rPr>
          <w:spacing w:val="-9"/>
          <w:u w:val="single"/>
        </w:rPr>
        <w:t> </w:t>
      </w:r>
      <w:r>
        <w:rPr>
          <w:u w:val="single"/>
        </w:rPr>
        <w:t>the</w:t>
      </w:r>
      <w:r>
        <w:rPr>
          <w:spacing w:val="-9"/>
          <w:u w:val="single"/>
        </w:rPr>
        <w:t> </w:t>
      </w:r>
      <w:r>
        <w:rPr>
          <w:u w:val="single"/>
        </w:rPr>
        <w:t>performance</w:t>
      </w:r>
      <w:r>
        <w:rPr>
          <w:spacing w:val="-9"/>
          <w:u w:val="single"/>
        </w:rPr>
        <w:t> </w:t>
      </w:r>
      <w:r>
        <w:rPr>
          <w:u w:val="single"/>
        </w:rPr>
        <w:t>of</w:t>
      </w:r>
      <w:r>
        <w:rPr>
          <w:spacing w:val="-8"/>
          <w:u w:val="single"/>
        </w:rPr>
        <w:t> </w:t>
      </w:r>
      <w:r>
        <w:rPr>
          <w:spacing w:val="-2"/>
          <w:u w:val="single"/>
        </w:rPr>
        <w:t>duties</w:t>
      </w:r>
    </w:p>
    <w:p>
      <w:pPr>
        <w:pStyle w:val="BodyText"/>
        <w:spacing w:before="1"/>
        <w:rPr>
          <w:sz w:val="14"/>
        </w:rPr>
      </w:pPr>
    </w:p>
    <w:p>
      <w:pPr>
        <w:pStyle w:val="BodyText"/>
        <w:spacing w:before="90"/>
        <w:ind w:left="1080"/>
      </w:pPr>
      <w:r>
        <w:rPr>
          <w:u w:val="single"/>
        </w:rPr>
        <w:t>English,</w:t>
      </w:r>
      <w:r>
        <w:rPr>
          <w:spacing w:val="-9"/>
          <w:u w:val="single"/>
        </w:rPr>
        <w:t> </w:t>
      </w:r>
      <w:r>
        <w:rPr>
          <w:u w:val="single"/>
        </w:rPr>
        <w:t>French</w:t>
      </w:r>
      <w:r>
        <w:rPr>
          <w:spacing w:val="-9"/>
          <w:u w:val="single"/>
        </w:rPr>
        <w:t> </w:t>
      </w:r>
      <w:r>
        <w:rPr>
          <w:spacing w:val="-2"/>
          <w:u w:val="single"/>
        </w:rPr>
        <w:t>desirable</w:t>
      </w:r>
    </w:p>
    <w:p>
      <w:pPr>
        <w:spacing w:after="0"/>
        <w:sectPr>
          <w:pgSz w:w="11910" w:h="16840"/>
          <w:pgMar w:header="0" w:footer="686" w:top="1040" w:bottom="880" w:left="480" w:right="740"/>
        </w:sectPr>
      </w:pPr>
    </w:p>
    <w:p>
      <w:pPr>
        <w:pStyle w:val="ListParagraph"/>
        <w:numPr>
          <w:ilvl w:val="0"/>
          <w:numId w:val="2"/>
        </w:numPr>
        <w:tabs>
          <w:tab w:pos="796" w:val="left" w:leader="none"/>
        </w:tabs>
        <w:spacing w:line="240" w:lineRule="auto" w:before="62" w:after="0"/>
        <w:ind w:left="796" w:right="0" w:hanging="426"/>
        <w:jc w:val="left"/>
        <w:rPr>
          <w:b/>
          <w:sz w:val="24"/>
        </w:rPr>
      </w:pPr>
      <w:r>
        <w:rPr>
          <w:b/>
          <w:sz w:val="24"/>
          <w:u w:val="single"/>
        </w:rPr>
        <w:t>Submission</w:t>
      </w:r>
      <w:r>
        <w:rPr>
          <w:b/>
          <w:spacing w:val="-4"/>
          <w:sz w:val="24"/>
          <w:u w:val="single"/>
        </w:rPr>
        <w:t> </w:t>
      </w:r>
      <w:r>
        <w:rPr>
          <w:b/>
          <w:sz w:val="24"/>
          <w:u w:val="single"/>
        </w:rPr>
        <w:t>of</w:t>
      </w:r>
      <w:r>
        <w:rPr>
          <w:b/>
          <w:spacing w:val="-2"/>
          <w:sz w:val="24"/>
          <w:u w:val="single"/>
        </w:rPr>
        <w:t> </w:t>
      </w:r>
      <w:r>
        <w:rPr>
          <w:b/>
          <w:sz w:val="24"/>
          <w:u w:val="single"/>
        </w:rPr>
        <w:t>applications</w:t>
      </w:r>
      <w:r>
        <w:rPr>
          <w:b/>
          <w:spacing w:val="-3"/>
          <w:sz w:val="24"/>
          <w:u w:val="single"/>
        </w:rPr>
        <w:t> </w:t>
      </w:r>
      <w:r>
        <w:rPr>
          <w:b/>
          <w:sz w:val="24"/>
          <w:u w:val="single"/>
        </w:rPr>
        <w:t>and</w:t>
      </w:r>
      <w:r>
        <w:rPr>
          <w:b/>
          <w:spacing w:val="-2"/>
          <w:sz w:val="24"/>
          <w:u w:val="single"/>
        </w:rPr>
        <w:t> </w:t>
      </w:r>
      <w:r>
        <w:rPr>
          <w:b/>
          <w:sz w:val="24"/>
          <w:u w:val="single"/>
        </w:rPr>
        <w:t>selection</w:t>
      </w:r>
      <w:r>
        <w:rPr>
          <w:b/>
          <w:spacing w:val="-3"/>
          <w:sz w:val="24"/>
          <w:u w:val="single"/>
        </w:rPr>
        <w:t> </w:t>
      </w:r>
      <w:r>
        <w:rPr>
          <w:b/>
          <w:spacing w:val="-2"/>
          <w:sz w:val="24"/>
          <w:u w:val="single"/>
        </w:rPr>
        <w:t>procedure</w:t>
      </w:r>
    </w:p>
    <w:p>
      <w:pPr>
        <w:pStyle w:val="BodyText"/>
        <w:rPr>
          <w:b/>
          <w:sz w:val="16"/>
        </w:rPr>
      </w:pPr>
    </w:p>
    <w:p>
      <w:pPr>
        <w:spacing w:before="90"/>
        <w:ind w:left="796" w:right="284" w:firstLine="0"/>
        <w:jc w:val="both"/>
        <w:rPr>
          <w:b/>
          <w:sz w:val="22"/>
        </w:rPr>
      </w:pPr>
      <w:r>
        <w:rPr>
          <w:sz w:val="22"/>
        </w:rPr>
        <w:t>Candidates should send their application according to the </w:t>
      </w:r>
      <w:r>
        <w:rPr>
          <w:b/>
          <w:sz w:val="22"/>
        </w:rPr>
        <w:t>Europass CV format </w:t>
      </w:r>
      <w:r>
        <w:rPr>
          <w:sz w:val="22"/>
        </w:rPr>
        <w:t>(</w:t>
      </w:r>
      <w:hyperlink r:id="rId8">
        <w:r>
          <w:rPr>
            <w:color w:val="0000FF"/>
            <w:sz w:val="22"/>
            <w:u w:val="single" w:color="0000FF"/>
          </w:rPr>
          <w:t>http://europass.cedefop.europa.eu/en/documents/curriculum-vitae</w:t>
        </w:r>
      </w:hyperlink>
      <w:r>
        <w:rPr>
          <w:sz w:val="22"/>
        </w:rPr>
        <w:t>) in English, French or German </w:t>
      </w:r>
      <w:r>
        <w:rPr>
          <w:b/>
          <w:sz w:val="22"/>
          <w:u w:val="single"/>
        </w:rPr>
        <w:t>only to</w:t>
      </w:r>
      <w:r>
        <w:rPr>
          <w:b/>
          <w:spacing w:val="40"/>
          <w:sz w:val="22"/>
        </w:rPr>
        <w:t> </w:t>
      </w:r>
      <w:r>
        <w:rPr>
          <w:b/>
          <w:sz w:val="22"/>
          <w:u w:val="single"/>
        </w:rPr>
        <w:t>the Permanent Representation /</w:t>
      </w:r>
      <w:r>
        <w:rPr>
          <w:b/>
          <w:spacing w:val="-1"/>
          <w:sz w:val="22"/>
          <w:u w:val="single"/>
        </w:rPr>
        <w:t> </w:t>
      </w:r>
      <w:r>
        <w:rPr>
          <w:b/>
          <w:sz w:val="22"/>
          <w:u w:val="single"/>
        </w:rPr>
        <w:t>Diplomatic Mission to the EU</w:t>
      </w:r>
      <w:r>
        <w:rPr>
          <w:b/>
          <w:spacing w:val="-1"/>
          <w:sz w:val="22"/>
          <w:u w:val="single"/>
        </w:rPr>
        <w:t> </w:t>
      </w:r>
      <w:r>
        <w:rPr>
          <w:b/>
          <w:sz w:val="22"/>
          <w:u w:val="single"/>
        </w:rPr>
        <w:t>of their country</w:t>
      </w:r>
      <w:r>
        <w:rPr>
          <w:sz w:val="22"/>
        </w:rPr>
        <w:t>, which will forward it to the competent services of the Commission within the deadline fixed by the latter. The CV must mention the date of birth and the nationality of the candidate. </w:t>
      </w:r>
      <w:r>
        <w:rPr>
          <w:b/>
          <w:sz w:val="22"/>
        </w:rPr>
        <w:t>Not respecting this procedure or deadlines will automatically invalidate the application.</w:t>
      </w:r>
    </w:p>
    <w:p>
      <w:pPr>
        <w:pStyle w:val="BodyText"/>
        <w:spacing w:before="1"/>
        <w:rPr>
          <w:b/>
        </w:rPr>
      </w:pPr>
    </w:p>
    <w:p>
      <w:pPr>
        <w:pStyle w:val="BodyText"/>
        <w:ind w:left="796"/>
      </w:pPr>
      <w:r>
        <w:rPr/>
        <w:t>Candidates</w:t>
      </w:r>
      <w:r>
        <w:rPr>
          <w:spacing w:val="40"/>
        </w:rPr>
        <w:t> </w:t>
      </w:r>
      <w:r>
        <w:rPr/>
        <w:t>are</w:t>
      </w:r>
      <w:r>
        <w:rPr>
          <w:spacing w:val="40"/>
        </w:rPr>
        <w:t> </w:t>
      </w:r>
      <w:r>
        <w:rPr/>
        <w:t>asked</w:t>
      </w:r>
      <w:r>
        <w:rPr>
          <w:spacing w:val="40"/>
        </w:rPr>
        <w:t> </w:t>
      </w:r>
      <w:r>
        <w:rPr/>
        <w:t>not</w:t>
      </w:r>
      <w:r>
        <w:rPr>
          <w:spacing w:val="40"/>
        </w:rPr>
        <w:t> </w:t>
      </w:r>
      <w:r>
        <w:rPr/>
        <w:t>to</w:t>
      </w:r>
      <w:r>
        <w:rPr>
          <w:spacing w:val="40"/>
        </w:rPr>
        <w:t> </w:t>
      </w:r>
      <w:r>
        <w:rPr/>
        <w:t>add</w:t>
      </w:r>
      <w:r>
        <w:rPr>
          <w:spacing w:val="40"/>
        </w:rPr>
        <w:t> </w:t>
      </w:r>
      <w:r>
        <w:rPr/>
        <w:t>any</w:t>
      </w:r>
      <w:r>
        <w:rPr>
          <w:spacing w:val="40"/>
        </w:rPr>
        <w:t> </w:t>
      </w:r>
      <w:r>
        <w:rPr/>
        <w:t>other</w:t>
      </w:r>
      <w:r>
        <w:rPr>
          <w:spacing w:val="40"/>
        </w:rPr>
        <w:t> </w:t>
      </w:r>
      <w:r>
        <w:rPr/>
        <w:t>documents</w:t>
      </w:r>
      <w:r>
        <w:rPr>
          <w:spacing w:val="40"/>
        </w:rPr>
        <w:t> </w:t>
      </w:r>
      <w:r>
        <w:rPr/>
        <w:t>(such</w:t>
      </w:r>
      <w:r>
        <w:rPr>
          <w:spacing w:val="40"/>
        </w:rPr>
        <w:t> </w:t>
      </w:r>
      <w:r>
        <w:rPr/>
        <w:t>as</w:t>
      </w:r>
      <w:r>
        <w:rPr>
          <w:spacing w:val="40"/>
        </w:rPr>
        <w:t> </w:t>
      </w:r>
      <w:r>
        <w:rPr/>
        <w:t>copy</w:t>
      </w:r>
      <w:r>
        <w:rPr>
          <w:spacing w:val="40"/>
        </w:rPr>
        <w:t> </w:t>
      </w:r>
      <w:r>
        <w:rPr/>
        <w:t>of</w:t>
      </w:r>
      <w:r>
        <w:rPr>
          <w:spacing w:val="40"/>
        </w:rPr>
        <w:t> </w:t>
      </w:r>
      <w:r>
        <w:rPr/>
        <w:t>passport,</w:t>
      </w:r>
      <w:r>
        <w:rPr>
          <w:spacing w:val="40"/>
        </w:rPr>
        <w:t> </w:t>
      </w:r>
      <w:r>
        <w:rPr/>
        <w:t>copy</w:t>
      </w:r>
      <w:r>
        <w:rPr>
          <w:spacing w:val="40"/>
        </w:rPr>
        <w:t> </w:t>
      </w:r>
      <w:r>
        <w:rPr/>
        <w:t>of</w:t>
      </w:r>
      <w:r>
        <w:rPr>
          <w:spacing w:val="40"/>
        </w:rPr>
        <w:t> </w:t>
      </w:r>
      <w:r>
        <w:rPr/>
        <w:t>degrees</w:t>
      </w:r>
      <w:r>
        <w:rPr>
          <w:spacing w:val="40"/>
        </w:rPr>
        <w:t> </w:t>
      </w:r>
      <w:r>
        <w:rPr/>
        <w:t>or certificate of professional experience, etc.). If necessary, these will be requested at a later stage.</w:t>
      </w:r>
    </w:p>
    <w:p>
      <w:pPr>
        <w:pStyle w:val="BodyText"/>
        <w:ind w:left="796"/>
      </w:pPr>
      <w:r>
        <w:rPr/>
        <w:t>Candidates</w:t>
      </w:r>
      <w:r>
        <w:rPr>
          <w:spacing w:val="-7"/>
        </w:rPr>
        <w:t> </w:t>
      </w:r>
      <w:r>
        <w:rPr/>
        <w:t>will</w:t>
      </w:r>
      <w:r>
        <w:rPr>
          <w:spacing w:val="-6"/>
        </w:rPr>
        <w:t> </w:t>
      </w:r>
      <w:r>
        <w:rPr/>
        <w:t>be</w:t>
      </w:r>
      <w:r>
        <w:rPr>
          <w:spacing w:val="-7"/>
        </w:rPr>
        <w:t> </w:t>
      </w:r>
      <w:r>
        <w:rPr/>
        <w:t>informed</w:t>
      </w:r>
      <w:r>
        <w:rPr>
          <w:spacing w:val="-6"/>
        </w:rPr>
        <w:t> </w:t>
      </w:r>
      <w:r>
        <w:rPr/>
        <w:t>of</w:t>
      </w:r>
      <w:r>
        <w:rPr>
          <w:spacing w:val="-6"/>
        </w:rPr>
        <w:t> </w:t>
      </w:r>
      <w:r>
        <w:rPr/>
        <w:t>the</w:t>
      </w:r>
      <w:r>
        <w:rPr>
          <w:spacing w:val="-6"/>
        </w:rPr>
        <w:t> </w:t>
      </w:r>
      <w:r>
        <w:rPr/>
        <w:t>follow-up</w:t>
      </w:r>
      <w:r>
        <w:rPr>
          <w:spacing w:val="-6"/>
        </w:rPr>
        <w:t> </w:t>
      </w:r>
      <w:r>
        <w:rPr/>
        <w:t>of</w:t>
      </w:r>
      <w:r>
        <w:rPr>
          <w:spacing w:val="-6"/>
        </w:rPr>
        <w:t> </w:t>
      </w:r>
      <w:r>
        <w:rPr/>
        <w:t>their</w:t>
      </w:r>
      <w:r>
        <w:rPr>
          <w:spacing w:val="-7"/>
        </w:rPr>
        <w:t> </w:t>
      </w:r>
      <w:r>
        <w:rPr/>
        <w:t>application</w:t>
      </w:r>
      <w:r>
        <w:rPr>
          <w:spacing w:val="-6"/>
        </w:rPr>
        <w:t> </w:t>
      </w:r>
      <w:r>
        <w:rPr/>
        <w:t>by</w:t>
      </w:r>
      <w:r>
        <w:rPr>
          <w:spacing w:val="-5"/>
        </w:rPr>
        <w:t> </w:t>
      </w:r>
      <w:r>
        <w:rPr/>
        <w:t>the</w:t>
      </w:r>
      <w:r>
        <w:rPr>
          <w:spacing w:val="-7"/>
        </w:rPr>
        <w:t> </w:t>
      </w:r>
      <w:r>
        <w:rPr/>
        <w:t>unit</w:t>
      </w:r>
      <w:r>
        <w:rPr>
          <w:spacing w:val="-6"/>
        </w:rPr>
        <w:t> </w:t>
      </w:r>
      <w:r>
        <w:rPr>
          <w:spacing w:val="-2"/>
        </w:rPr>
        <w:t>concerned.</w:t>
      </w:r>
    </w:p>
    <w:p>
      <w:pPr>
        <w:pStyle w:val="ListParagraph"/>
        <w:numPr>
          <w:ilvl w:val="0"/>
          <w:numId w:val="2"/>
        </w:numPr>
        <w:tabs>
          <w:tab w:pos="796" w:val="left" w:leader="none"/>
        </w:tabs>
        <w:spacing w:line="240" w:lineRule="auto" w:before="1" w:after="0"/>
        <w:ind w:left="796" w:right="0" w:hanging="426"/>
        <w:jc w:val="left"/>
        <w:rPr>
          <w:b/>
          <w:sz w:val="24"/>
        </w:rPr>
      </w:pPr>
      <w:r>
        <w:rPr>
          <w:b/>
          <w:sz w:val="24"/>
          <w:u w:val="single"/>
        </w:rPr>
        <w:t>Conditions</w:t>
      </w:r>
      <w:r>
        <w:rPr>
          <w:b/>
          <w:spacing w:val="-2"/>
          <w:sz w:val="24"/>
          <w:u w:val="single"/>
        </w:rPr>
        <w:t> </w:t>
      </w:r>
      <w:r>
        <w:rPr>
          <w:b/>
          <w:sz w:val="24"/>
          <w:u w:val="single"/>
        </w:rPr>
        <w:t>of</w:t>
      </w:r>
      <w:r>
        <w:rPr>
          <w:b/>
          <w:spacing w:val="-2"/>
          <w:sz w:val="24"/>
          <w:u w:val="single"/>
        </w:rPr>
        <w:t> </w:t>
      </w:r>
      <w:r>
        <w:rPr>
          <w:b/>
          <w:sz w:val="24"/>
          <w:u w:val="single"/>
        </w:rPr>
        <w:t>the</w:t>
      </w:r>
      <w:r>
        <w:rPr>
          <w:b/>
          <w:spacing w:val="-1"/>
          <w:sz w:val="24"/>
          <w:u w:val="single"/>
        </w:rPr>
        <w:t> </w:t>
      </w:r>
      <w:r>
        <w:rPr>
          <w:b/>
          <w:spacing w:val="-2"/>
          <w:sz w:val="24"/>
          <w:u w:val="single"/>
        </w:rPr>
        <w:t>secondment</w:t>
      </w:r>
    </w:p>
    <w:p>
      <w:pPr>
        <w:pStyle w:val="BodyText"/>
        <w:spacing w:before="1"/>
        <w:rPr>
          <w:b/>
          <w:sz w:val="16"/>
        </w:rPr>
      </w:pPr>
    </w:p>
    <w:p>
      <w:pPr>
        <w:spacing w:before="90"/>
        <w:ind w:left="796" w:right="283" w:firstLine="0"/>
        <w:jc w:val="both"/>
        <w:rPr>
          <w:sz w:val="22"/>
        </w:rPr>
      </w:pPr>
      <w:r>
        <w:rPr>
          <w:sz w:val="22"/>
        </w:rPr>
        <w:t>The secondment will be governed by the </w:t>
      </w:r>
      <w:r>
        <w:rPr>
          <w:b/>
          <w:sz w:val="22"/>
        </w:rPr>
        <w:t>Commission Decision C(2008)6866 of 12/11/2008 </w:t>
      </w:r>
      <w:r>
        <w:rPr>
          <w:sz w:val="22"/>
        </w:rPr>
        <w:t>laying down rules on the secondment to the Commission of national experts and national experts in professional training (SNE Decision).</w:t>
      </w:r>
    </w:p>
    <w:p>
      <w:pPr>
        <w:pStyle w:val="BodyText"/>
        <w:ind w:left="796" w:right="284"/>
        <w:jc w:val="both"/>
      </w:pPr>
      <w:r>
        <w:rPr/>
        <w:t>The SNE will remain employed and remunerated by his/her employer during the secondment. He/she will equally remain covered by the national social security system.</w:t>
      </w:r>
    </w:p>
    <w:p>
      <w:pPr>
        <w:pStyle w:val="BodyText"/>
        <w:ind w:left="796" w:right="284"/>
        <w:jc w:val="both"/>
      </w:pPr>
      <w:r>
        <w:rPr/>
        <w:t>Unless for cost-free SNE, allowances may be granted by the Commission to SNE fulfilling the conditions provided for in Art. 17 of the SNE decision.</w:t>
      </w:r>
    </w:p>
    <w:p>
      <w:pPr>
        <w:pStyle w:val="BodyText"/>
      </w:pPr>
    </w:p>
    <w:p>
      <w:pPr>
        <w:pStyle w:val="BodyText"/>
        <w:ind w:left="796" w:right="284"/>
        <w:jc w:val="both"/>
      </w:pPr>
      <w:r>
        <w:rPr/>
        <w:t>During the secondment, SNE are subject to confidentiality, loyalty and absence of conflict of interest obligations, as provided for in Art. 6 and 7 of the SNE Decision.</w:t>
      </w:r>
    </w:p>
    <w:p>
      <w:pPr>
        <w:pStyle w:val="BodyText"/>
        <w:ind w:left="796"/>
        <w:jc w:val="both"/>
      </w:pPr>
      <w:r>
        <w:rPr/>
        <w:t>If</w:t>
      </w:r>
      <w:r>
        <w:rPr>
          <w:spacing w:val="-7"/>
        </w:rPr>
        <w:t> </w:t>
      </w:r>
      <w:r>
        <w:rPr/>
        <w:t>any</w:t>
      </w:r>
      <w:r>
        <w:rPr>
          <w:spacing w:val="-7"/>
        </w:rPr>
        <w:t> </w:t>
      </w:r>
      <w:r>
        <w:rPr/>
        <w:t>document</w:t>
      </w:r>
      <w:r>
        <w:rPr>
          <w:spacing w:val="-6"/>
        </w:rPr>
        <w:t> </w:t>
      </w:r>
      <w:r>
        <w:rPr/>
        <w:t>is</w:t>
      </w:r>
      <w:r>
        <w:rPr>
          <w:spacing w:val="-8"/>
        </w:rPr>
        <w:t> </w:t>
      </w:r>
      <w:r>
        <w:rPr/>
        <w:t>inexact,</w:t>
      </w:r>
      <w:r>
        <w:rPr>
          <w:spacing w:val="-6"/>
        </w:rPr>
        <w:t> </w:t>
      </w:r>
      <w:r>
        <w:rPr/>
        <w:t>incomplete</w:t>
      </w:r>
      <w:r>
        <w:rPr>
          <w:spacing w:val="-8"/>
        </w:rPr>
        <w:t> </w:t>
      </w:r>
      <w:r>
        <w:rPr/>
        <w:t>or</w:t>
      </w:r>
      <w:r>
        <w:rPr>
          <w:spacing w:val="-6"/>
        </w:rPr>
        <w:t> </w:t>
      </w:r>
      <w:r>
        <w:rPr/>
        <w:t>missing,</w:t>
      </w:r>
      <w:r>
        <w:rPr>
          <w:spacing w:val="-7"/>
        </w:rPr>
        <w:t> </w:t>
      </w:r>
      <w:r>
        <w:rPr/>
        <w:t>the</w:t>
      </w:r>
      <w:r>
        <w:rPr>
          <w:spacing w:val="-7"/>
        </w:rPr>
        <w:t> </w:t>
      </w:r>
      <w:r>
        <w:rPr/>
        <w:t>application</w:t>
      </w:r>
      <w:r>
        <w:rPr>
          <w:spacing w:val="-8"/>
        </w:rPr>
        <w:t> </w:t>
      </w:r>
      <w:r>
        <w:rPr/>
        <w:t>may</w:t>
      </w:r>
      <w:r>
        <w:rPr>
          <w:spacing w:val="-6"/>
        </w:rPr>
        <w:t> </w:t>
      </w:r>
      <w:r>
        <w:rPr/>
        <w:t>be</w:t>
      </w:r>
      <w:r>
        <w:rPr>
          <w:spacing w:val="-8"/>
        </w:rPr>
        <w:t> </w:t>
      </w:r>
      <w:r>
        <w:rPr>
          <w:spacing w:val="-2"/>
        </w:rPr>
        <w:t>cancelled.</w:t>
      </w:r>
    </w:p>
    <w:p>
      <w:pPr>
        <w:pStyle w:val="BodyText"/>
      </w:pPr>
    </w:p>
    <w:p>
      <w:pPr>
        <w:pStyle w:val="BodyText"/>
        <w:ind w:left="796" w:right="282"/>
        <w:jc w:val="both"/>
      </w:pPr>
      <w:r>
        <w:rPr/>
        <w:t>Staff posted in a </w:t>
      </w:r>
      <w:r>
        <w:rPr>
          <w:b/>
        </w:rPr>
        <w:t>European Union Delegation </w:t>
      </w:r>
      <w:r>
        <w:rPr/>
        <w:t>are required to have a security clearance (up to SECRET UE/EU</w:t>
      </w:r>
      <w:r>
        <w:rPr>
          <w:spacing w:val="-2"/>
        </w:rPr>
        <w:t> </w:t>
      </w:r>
      <w:r>
        <w:rPr/>
        <w:t>SECRET</w:t>
      </w:r>
      <w:r>
        <w:rPr>
          <w:spacing w:val="-2"/>
        </w:rPr>
        <w:t> </w:t>
      </w:r>
      <w:r>
        <w:rPr/>
        <w:t>level</w:t>
      </w:r>
      <w:r>
        <w:rPr>
          <w:spacing w:val="-2"/>
        </w:rPr>
        <w:t> </w:t>
      </w:r>
      <w:r>
        <w:rPr/>
        <w:t>according</w:t>
      </w:r>
      <w:r>
        <w:rPr>
          <w:spacing w:val="-1"/>
        </w:rPr>
        <w:t> </w:t>
      </w:r>
      <w:r>
        <w:rPr/>
        <w:t>to</w:t>
      </w:r>
      <w:r>
        <w:rPr>
          <w:spacing w:val="-1"/>
        </w:rPr>
        <w:t> </w:t>
      </w:r>
      <w:r>
        <w:rPr/>
        <w:t>Commission</w:t>
      </w:r>
      <w:r>
        <w:rPr>
          <w:spacing w:val="-1"/>
        </w:rPr>
        <w:t> </w:t>
      </w:r>
      <w:r>
        <w:rPr/>
        <w:t>Decision</w:t>
      </w:r>
      <w:r>
        <w:rPr>
          <w:spacing w:val="-1"/>
        </w:rPr>
        <w:t> </w:t>
      </w:r>
      <w:r>
        <w:rPr/>
        <w:t>(EU,</w:t>
      </w:r>
      <w:r>
        <w:rPr>
          <w:spacing w:val="-2"/>
        </w:rPr>
        <w:t> </w:t>
      </w:r>
      <w:r>
        <w:rPr/>
        <w:t>Euratom)</w:t>
      </w:r>
      <w:r>
        <w:rPr>
          <w:spacing w:val="-2"/>
        </w:rPr>
        <w:t> </w:t>
      </w:r>
      <w:r>
        <w:rPr/>
        <w:t>2015/444</w:t>
      </w:r>
      <w:r>
        <w:rPr>
          <w:spacing w:val="-3"/>
        </w:rPr>
        <w:t> </w:t>
      </w:r>
      <w:r>
        <w:rPr/>
        <w:t>of</w:t>
      </w:r>
      <w:r>
        <w:rPr>
          <w:spacing w:val="-2"/>
        </w:rPr>
        <w:t> </w:t>
      </w:r>
      <w:r>
        <w:rPr/>
        <w:t>13</w:t>
      </w:r>
      <w:r>
        <w:rPr>
          <w:spacing w:val="-1"/>
        </w:rPr>
        <w:t> </w:t>
      </w:r>
      <w:r>
        <w:rPr/>
        <w:t>March</w:t>
      </w:r>
      <w:r>
        <w:rPr>
          <w:spacing w:val="-1"/>
        </w:rPr>
        <w:t> </w:t>
      </w:r>
      <w:r>
        <w:rPr/>
        <w:t>2015,</w:t>
      </w:r>
      <w:r>
        <w:rPr>
          <w:spacing w:val="-3"/>
        </w:rPr>
        <w:t> </w:t>
      </w:r>
      <w:r>
        <w:rPr/>
        <w:t>OJ</w:t>
      </w:r>
      <w:r>
        <w:rPr>
          <w:spacing w:val="-4"/>
        </w:rPr>
        <w:t> </w:t>
      </w:r>
      <w:r>
        <w:rPr/>
        <w:t>L 72, 17.03.2015, p. 53).</w:t>
      </w:r>
    </w:p>
    <w:p>
      <w:pPr>
        <w:pStyle w:val="BodyText"/>
        <w:ind w:left="796" w:right="110"/>
        <w:jc w:val="both"/>
      </w:pPr>
      <w:r>
        <w:rPr/>
        <w:t>The selected candidate has the obligation to launch the vetting procedure before getting the secondment </w:t>
      </w:r>
      <w:r>
        <w:rPr>
          <w:spacing w:val="-2"/>
        </w:rPr>
        <w:t>confirmation.</w:t>
      </w:r>
    </w:p>
    <w:p>
      <w:pPr>
        <w:pStyle w:val="BodyText"/>
        <w:spacing w:before="1"/>
        <w:rPr>
          <w:sz w:val="24"/>
        </w:rPr>
      </w:pPr>
    </w:p>
    <w:p>
      <w:pPr>
        <w:pStyle w:val="ListParagraph"/>
        <w:numPr>
          <w:ilvl w:val="0"/>
          <w:numId w:val="2"/>
        </w:numPr>
        <w:tabs>
          <w:tab w:pos="796" w:val="left" w:leader="none"/>
        </w:tabs>
        <w:spacing w:line="240" w:lineRule="auto" w:before="0" w:after="0"/>
        <w:ind w:left="796" w:right="0" w:hanging="426"/>
        <w:jc w:val="left"/>
        <w:rPr>
          <w:b/>
          <w:sz w:val="24"/>
        </w:rPr>
      </w:pPr>
      <w:r>
        <w:rPr>
          <w:b/>
          <w:sz w:val="24"/>
          <w:u w:val="single"/>
        </w:rPr>
        <w:t>Processing</w:t>
      </w:r>
      <w:r>
        <w:rPr>
          <w:b/>
          <w:spacing w:val="-4"/>
          <w:sz w:val="24"/>
          <w:u w:val="single"/>
        </w:rPr>
        <w:t> </w:t>
      </w:r>
      <w:r>
        <w:rPr>
          <w:b/>
          <w:sz w:val="24"/>
          <w:u w:val="single"/>
        </w:rPr>
        <w:t>of</w:t>
      </w:r>
      <w:r>
        <w:rPr>
          <w:b/>
          <w:spacing w:val="-1"/>
          <w:sz w:val="24"/>
          <w:u w:val="single"/>
        </w:rPr>
        <w:t> </w:t>
      </w:r>
      <w:r>
        <w:rPr>
          <w:b/>
          <w:sz w:val="24"/>
          <w:u w:val="single"/>
        </w:rPr>
        <w:t>personal</w:t>
      </w:r>
      <w:r>
        <w:rPr>
          <w:b/>
          <w:spacing w:val="-2"/>
          <w:sz w:val="24"/>
          <w:u w:val="single"/>
        </w:rPr>
        <w:t> </w:t>
      </w:r>
      <w:r>
        <w:rPr>
          <w:b/>
          <w:spacing w:val="-4"/>
          <w:sz w:val="24"/>
          <w:u w:val="single"/>
        </w:rPr>
        <w:t>data</w:t>
      </w:r>
    </w:p>
    <w:p>
      <w:pPr>
        <w:pStyle w:val="BodyText"/>
        <w:rPr>
          <w:b/>
          <w:sz w:val="16"/>
        </w:rPr>
      </w:pPr>
    </w:p>
    <w:p>
      <w:pPr>
        <w:pStyle w:val="BodyText"/>
        <w:spacing w:before="90"/>
        <w:ind w:left="796" w:right="283"/>
        <w:jc w:val="both"/>
      </w:pPr>
      <w:r>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(EU) 2018/1725.</w:t>
      </w:r>
    </w:p>
    <w:p>
      <w:pPr>
        <w:pStyle w:val="BodyText"/>
        <w:spacing w:before="1"/>
        <w:ind w:left="796" w:right="284"/>
        <w:jc w:val="both"/>
      </w:pPr>
      <w:r>
        <w:rPr/>
        <w:t>Data is kept by the competent services for 10 years after the secondment (2 years for not selected or not seconded experts).</w:t>
      </w:r>
    </w:p>
    <w:p>
      <w:pPr>
        <w:pStyle w:val="BodyText"/>
        <w:ind w:left="796" w:right="282"/>
        <w:jc w:val="both"/>
      </w:pPr>
      <w:r>
        <w:rPr/>
        <w:t>You have specific rights as a ‘data subject’ under Chapter III (Articles 14-25) of Regulation (EU)</w:t>
      </w:r>
      <w:r>
        <w:rPr>
          <w:spacing w:val="40"/>
        </w:rPr>
        <w:t> </w:t>
      </w:r>
      <w:r>
        <w:rPr/>
        <w:t>2018/1725, in particular the right to access, rectify or erase your personal data and the right to restrict the processing of your personal data. Where applicable, you also have the right to object to the processing or the right to data portability.</w:t>
      </w:r>
    </w:p>
    <w:p>
      <w:pPr>
        <w:pStyle w:val="BodyText"/>
        <w:ind w:left="796" w:right="282"/>
        <w:jc w:val="both"/>
      </w:pPr>
      <w:r>
        <w:rPr/>
        <w:t>You can exercise your rights by contacting the Data Controller, or in case of conflict the Data Protection Officer. If necessary, you can also address the European Data Protection Supervisor. Their contact information is given below.</w:t>
      </w:r>
    </w:p>
    <w:p>
      <w:pPr>
        <w:pStyle w:val="BodyText"/>
      </w:pPr>
    </w:p>
    <w:p>
      <w:pPr>
        <w:pStyle w:val="Heading1"/>
        <w:ind w:left="796" w:firstLine="0"/>
        <w:jc w:val="both"/>
      </w:pPr>
      <w:r>
        <w:rPr>
          <w:u w:val="single"/>
        </w:rPr>
        <w:t>Contact</w:t>
      </w:r>
      <w:r>
        <w:rPr>
          <w:spacing w:val="-10"/>
          <w:u w:val="single"/>
        </w:rPr>
        <w:t> </w:t>
      </w:r>
      <w:r>
        <w:rPr>
          <w:spacing w:val="-2"/>
          <w:u w:val="single"/>
        </w:rPr>
        <w:t>information</w:t>
      </w:r>
    </w:p>
    <w:p>
      <w:pPr>
        <w:pStyle w:val="BodyText"/>
        <w:rPr>
          <w:b/>
        </w:rPr>
      </w:pPr>
    </w:p>
    <w:p>
      <w:pPr>
        <w:pStyle w:val="ListParagraph"/>
        <w:numPr>
          <w:ilvl w:val="0"/>
          <w:numId w:val="5"/>
        </w:numPr>
        <w:tabs>
          <w:tab w:pos="1077" w:val="left" w:leader="none"/>
        </w:tabs>
        <w:spacing w:line="268" w:lineRule="exact" w:before="0" w:after="0"/>
        <w:ind w:left="1077" w:right="0" w:hanging="281"/>
        <w:jc w:val="left"/>
        <w:rPr>
          <w:b/>
          <w:sz w:val="22"/>
        </w:rPr>
      </w:pPr>
      <w:r>
        <w:rPr>
          <w:b/>
          <w:sz w:val="22"/>
        </w:rPr>
        <w:t>The</w:t>
      </w:r>
      <w:r>
        <w:rPr>
          <w:b/>
          <w:spacing w:val="-7"/>
          <w:sz w:val="22"/>
        </w:rPr>
        <w:t> </w:t>
      </w:r>
      <w:r>
        <w:rPr>
          <w:b/>
          <w:sz w:val="22"/>
        </w:rPr>
        <w:t>Data</w:t>
      </w:r>
      <w:r>
        <w:rPr>
          <w:b/>
          <w:spacing w:val="-5"/>
          <w:sz w:val="22"/>
        </w:rPr>
        <w:t> </w:t>
      </w:r>
      <w:r>
        <w:rPr>
          <w:b/>
          <w:spacing w:val="-2"/>
          <w:sz w:val="22"/>
        </w:rPr>
        <w:t>Controller</w:t>
      </w:r>
    </w:p>
    <w:p>
      <w:pPr>
        <w:pStyle w:val="BodyText"/>
        <w:ind w:left="1080"/>
      </w:pPr>
      <w:r>
        <w:rPr/>
        <w:t>If</w:t>
      </w:r>
      <w:r>
        <w:rPr>
          <w:spacing w:val="21"/>
        </w:rPr>
        <w:t> </w:t>
      </w:r>
      <w:r>
        <w:rPr/>
        <w:t>you</w:t>
      </w:r>
      <w:r>
        <w:rPr>
          <w:spacing w:val="20"/>
        </w:rPr>
        <w:t> </w:t>
      </w:r>
      <w:r>
        <w:rPr/>
        <w:t>would</w:t>
      </w:r>
      <w:r>
        <w:rPr>
          <w:spacing w:val="20"/>
        </w:rPr>
        <w:t> </w:t>
      </w:r>
      <w:r>
        <w:rPr/>
        <w:t>like</w:t>
      </w:r>
      <w:r>
        <w:rPr>
          <w:spacing w:val="20"/>
        </w:rPr>
        <w:t> </w:t>
      </w:r>
      <w:r>
        <w:rPr/>
        <w:t>to</w:t>
      </w:r>
      <w:r>
        <w:rPr>
          <w:spacing w:val="21"/>
        </w:rPr>
        <w:t> </w:t>
      </w:r>
      <w:r>
        <w:rPr/>
        <w:t>exercise</w:t>
      </w:r>
      <w:r>
        <w:rPr>
          <w:spacing w:val="20"/>
        </w:rPr>
        <w:t> </w:t>
      </w:r>
      <w:r>
        <w:rPr/>
        <w:t>your</w:t>
      </w:r>
      <w:r>
        <w:rPr>
          <w:spacing w:val="21"/>
        </w:rPr>
        <w:t> </w:t>
      </w:r>
      <w:r>
        <w:rPr/>
        <w:t>rights</w:t>
      </w:r>
      <w:r>
        <w:rPr>
          <w:spacing w:val="20"/>
        </w:rPr>
        <w:t> </w:t>
      </w:r>
      <w:r>
        <w:rPr/>
        <w:t>under</w:t>
      </w:r>
      <w:r>
        <w:rPr>
          <w:spacing w:val="21"/>
        </w:rPr>
        <w:t> </w:t>
      </w:r>
      <w:r>
        <w:rPr/>
        <w:t>Regulation</w:t>
      </w:r>
      <w:r>
        <w:rPr>
          <w:spacing w:val="21"/>
        </w:rPr>
        <w:t> </w:t>
      </w:r>
      <w:r>
        <w:rPr/>
        <w:t>(EU)</w:t>
      </w:r>
      <w:r>
        <w:rPr>
          <w:spacing w:val="21"/>
        </w:rPr>
        <w:t> </w:t>
      </w:r>
      <w:r>
        <w:rPr/>
        <w:t>2018/1725,</w:t>
      </w:r>
      <w:r>
        <w:rPr>
          <w:spacing w:val="21"/>
        </w:rPr>
        <w:t> </w:t>
      </w:r>
      <w:r>
        <w:rPr/>
        <w:t>or if</w:t>
      </w:r>
      <w:r>
        <w:rPr>
          <w:spacing w:val="21"/>
        </w:rPr>
        <w:t> </w:t>
      </w:r>
      <w:r>
        <w:rPr/>
        <w:t>you</w:t>
      </w:r>
      <w:r>
        <w:rPr>
          <w:spacing w:val="20"/>
        </w:rPr>
        <w:t> </w:t>
      </w:r>
      <w:r>
        <w:rPr/>
        <w:t>have</w:t>
      </w:r>
      <w:r>
        <w:rPr>
          <w:spacing w:val="20"/>
        </w:rPr>
        <w:t> </w:t>
      </w:r>
      <w:r>
        <w:rPr/>
        <w:t>comments, questions</w:t>
      </w:r>
      <w:r>
        <w:rPr>
          <w:spacing w:val="-5"/>
        </w:rPr>
        <w:t> </w:t>
      </w:r>
      <w:r>
        <w:rPr/>
        <w:t>or</w:t>
      </w:r>
      <w:r>
        <w:rPr>
          <w:spacing w:val="-5"/>
        </w:rPr>
        <w:t> </w:t>
      </w:r>
      <w:r>
        <w:rPr/>
        <w:t>concerns,</w:t>
      </w:r>
      <w:r>
        <w:rPr>
          <w:spacing w:val="-4"/>
        </w:rPr>
        <w:t> </w:t>
      </w:r>
      <w:r>
        <w:rPr/>
        <w:t>or</w:t>
      </w:r>
      <w:r>
        <w:rPr>
          <w:spacing w:val="-5"/>
        </w:rPr>
        <w:t> </w:t>
      </w:r>
      <w:r>
        <w:rPr/>
        <w:t>if</w:t>
      </w:r>
      <w:r>
        <w:rPr>
          <w:spacing w:val="-5"/>
        </w:rPr>
        <w:t> </w:t>
      </w:r>
      <w:r>
        <w:rPr/>
        <w:t>you</w:t>
      </w:r>
      <w:r>
        <w:rPr>
          <w:spacing w:val="-3"/>
        </w:rPr>
        <w:t> </w:t>
      </w:r>
      <w:r>
        <w:rPr/>
        <w:t>would</w:t>
      </w:r>
      <w:r>
        <w:rPr>
          <w:spacing w:val="-4"/>
        </w:rPr>
        <w:t> </w:t>
      </w:r>
      <w:r>
        <w:rPr/>
        <w:t>like</w:t>
      </w:r>
      <w:r>
        <w:rPr>
          <w:spacing w:val="-5"/>
        </w:rPr>
        <w:t> </w:t>
      </w:r>
      <w:r>
        <w:rPr/>
        <w:t>to</w:t>
      </w:r>
      <w:r>
        <w:rPr>
          <w:spacing w:val="-3"/>
        </w:rPr>
        <w:t> </w:t>
      </w:r>
      <w:r>
        <w:rPr/>
        <w:t>submit</w:t>
      </w:r>
      <w:r>
        <w:rPr>
          <w:spacing w:val="-5"/>
        </w:rPr>
        <w:t> </w:t>
      </w:r>
      <w:r>
        <w:rPr/>
        <w:t>a</w:t>
      </w:r>
      <w:r>
        <w:rPr>
          <w:spacing w:val="-4"/>
        </w:rPr>
        <w:t> </w:t>
      </w:r>
      <w:r>
        <w:rPr/>
        <w:t>complaint</w:t>
      </w:r>
      <w:r>
        <w:rPr>
          <w:spacing w:val="-4"/>
        </w:rPr>
        <w:t> </w:t>
      </w:r>
      <w:r>
        <w:rPr/>
        <w:t>regarding</w:t>
      </w:r>
      <w:r>
        <w:rPr>
          <w:spacing w:val="-4"/>
        </w:rPr>
        <w:t> </w:t>
      </w:r>
      <w:r>
        <w:rPr/>
        <w:t>the</w:t>
      </w:r>
      <w:r>
        <w:rPr>
          <w:spacing w:val="-5"/>
        </w:rPr>
        <w:t> </w:t>
      </w:r>
      <w:r>
        <w:rPr/>
        <w:t>collection</w:t>
      </w:r>
      <w:r>
        <w:rPr>
          <w:spacing w:val="-4"/>
        </w:rPr>
        <w:t> </w:t>
      </w:r>
      <w:r>
        <w:rPr/>
        <w:t>and</w:t>
      </w:r>
      <w:r>
        <w:rPr>
          <w:spacing w:val="-3"/>
        </w:rPr>
        <w:t> </w:t>
      </w:r>
      <w:r>
        <w:rPr/>
        <w:t>use</w:t>
      </w:r>
      <w:r>
        <w:rPr>
          <w:spacing w:val="-5"/>
        </w:rPr>
        <w:t> </w:t>
      </w:r>
      <w:r>
        <w:rPr/>
        <w:t>of</w:t>
      </w:r>
      <w:r>
        <w:rPr>
          <w:spacing w:val="-4"/>
        </w:rPr>
        <w:t> your</w:t>
      </w:r>
    </w:p>
    <w:p>
      <w:pPr>
        <w:spacing w:after="0"/>
        <w:sectPr>
          <w:pgSz w:w="11910" w:h="16840"/>
          <w:pgMar w:header="0" w:footer="686" w:top="1560" w:bottom="880" w:left="480" w:right="740"/>
        </w:sectPr>
      </w:pPr>
    </w:p>
    <w:p>
      <w:pPr>
        <w:pStyle w:val="BodyText"/>
        <w:spacing w:before="75"/>
        <w:ind w:left="1080" w:right="287"/>
        <w:jc w:val="both"/>
      </w:pPr>
      <w:r>
        <w:rPr/>
        <w:t>personal data, please feel free to contact the Data Controller, HR.DDG.B.4, </w:t>
      </w:r>
      <w:hyperlink r:id="rId9">
        <w:r>
          <w:rPr>
            <w:color w:val="0000FF"/>
            <w:u w:val="single" w:color="0000FF"/>
          </w:rPr>
          <w:t>HR-MAIL-</w:t>
        </w:r>
      </w:hyperlink>
      <w:r>
        <w:rPr>
          <w:color w:val="0000FF"/>
        </w:rPr>
        <w:t> </w:t>
      </w:r>
      <w:hyperlink r:id="rId9">
        <w:r>
          <w:rPr>
            <w:color w:val="0000FF"/>
            <w:spacing w:val="-2"/>
            <w:u w:val="single" w:color="0000FF"/>
          </w:rPr>
          <w:t>B4@ec.europa.eu</w:t>
        </w:r>
        <w:r>
          <w:rPr>
            <w:spacing w:val="-2"/>
          </w:rPr>
          <w:t>.</w:t>
        </w:r>
      </w:hyperlink>
    </w:p>
    <w:p>
      <w:pPr>
        <w:pStyle w:val="BodyText"/>
        <w:spacing w:before="11"/>
        <w:rPr>
          <w:sz w:val="21"/>
        </w:rPr>
      </w:pPr>
    </w:p>
    <w:p>
      <w:pPr>
        <w:pStyle w:val="Heading1"/>
        <w:numPr>
          <w:ilvl w:val="0"/>
          <w:numId w:val="5"/>
        </w:numPr>
        <w:tabs>
          <w:tab w:pos="1077" w:val="left" w:leader="none"/>
        </w:tabs>
        <w:spacing w:line="240" w:lineRule="auto" w:before="0" w:after="0"/>
        <w:ind w:left="1077" w:right="0" w:hanging="281"/>
        <w:jc w:val="both"/>
      </w:pPr>
      <w:r>
        <w:rPr/>
        <w:t>The</w:t>
      </w:r>
      <w:r>
        <w:rPr>
          <w:spacing w:val="-8"/>
        </w:rPr>
        <w:t> </w:t>
      </w:r>
      <w:r>
        <w:rPr/>
        <w:t>Data</w:t>
      </w:r>
      <w:r>
        <w:rPr>
          <w:spacing w:val="-6"/>
        </w:rPr>
        <w:t> </w:t>
      </w:r>
      <w:r>
        <w:rPr/>
        <w:t>Protection</w:t>
      </w:r>
      <w:r>
        <w:rPr>
          <w:spacing w:val="-6"/>
        </w:rPr>
        <w:t> </w:t>
      </w:r>
      <w:r>
        <w:rPr/>
        <w:t>Officer</w:t>
      </w:r>
      <w:r>
        <w:rPr>
          <w:spacing w:val="-7"/>
        </w:rPr>
        <w:t> </w:t>
      </w:r>
      <w:r>
        <w:rPr/>
        <w:t>(DPO)</w:t>
      </w:r>
      <w:r>
        <w:rPr>
          <w:spacing w:val="-7"/>
        </w:rPr>
        <w:t> </w:t>
      </w:r>
      <w:r>
        <w:rPr/>
        <w:t>of</w:t>
      </w:r>
      <w:r>
        <w:rPr>
          <w:spacing w:val="-5"/>
        </w:rPr>
        <w:t> </w:t>
      </w:r>
      <w:r>
        <w:rPr/>
        <w:t>the</w:t>
      </w:r>
      <w:r>
        <w:rPr>
          <w:spacing w:val="-7"/>
        </w:rPr>
        <w:t> </w:t>
      </w:r>
      <w:r>
        <w:rPr>
          <w:spacing w:val="-2"/>
        </w:rPr>
        <w:t>Commission</w:t>
      </w:r>
    </w:p>
    <w:p>
      <w:pPr>
        <w:pStyle w:val="BodyText"/>
        <w:ind w:left="1080" w:right="286"/>
        <w:jc w:val="both"/>
      </w:pPr>
      <w:r>
        <w:rPr/>
        <w:t>You may contact the Data Protection Officer (</w:t>
      </w:r>
      <w:hyperlink r:id="rId10">
        <w:r>
          <w:rPr>
            <w:color w:val="0000FF"/>
            <w:u w:val="single" w:color="0000FF"/>
          </w:rPr>
          <w:t>DATA-PROTECTION-OFFICER@ec.europa.eu</w:t>
        </w:r>
      </w:hyperlink>
      <w:r>
        <w:rPr>
          <w:u w:val="single" w:color="0000FF"/>
        </w:rPr>
        <w:t>) </w:t>
      </w:r>
      <w:r>
        <w:rPr/>
        <w:t>with regard to issues related to the processing of your personal data under Regulation (EU) 2018/1725.</w:t>
      </w:r>
    </w:p>
    <w:p>
      <w:pPr>
        <w:pStyle w:val="BodyText"/>
      </w:pPr>
    </w:p>
    <w:p>
      <w:pPr>
        <w:pStyle w:val="Heading1"/>
        <w:numPr>
          <w:ilvl w:val="0"/>
          <w:numId w:val="5"/>
        </w:numPr>
        <w:tabs>
          <w:tab w:pos="1077" w:val="left" w:leader="none"/>
        </w:tabs>
        <w:spacing w:line="240" w:lineRule="auto" w:before="1" w:after="0"/>
        <w:ind w:left="1077" w:right="0" w:hanging="281"/>
        <w:jc w:val="both"/>
      </w:pPr>
      <w:r>
        <w:rPr/>
        <w:t>The</w:t>
      </w:r>
      <w:r>
        <w:rPr>
          <w:spacing w:val="-11"/>
        </w:rPr>
        <w:t> </w:t>
      </w:r>
      <w:r>
        <w:rPr/>
        <w:t>European</w:t>
      </w:r>
      <w:r>
        <w:rPr>
          <w:spacing w:val="-10"/>
        </w:rPr>
        <w:t> </w:t>
      </w:r>
      <w:r>
        <w:rPr/>
        <w:t>Data</w:t>
      </w:r>
      <w:r>
        <w:rPr>
          <w:spacing w:val="-10"/>
        </w:rPr>
        <w:t> </w:t>
      </w:r>
      <w:r>
        <w:rPr/>
        <w:t>Protection</w:t>
      </w:r>
      <w:r>
        <w:rPr>
          <w:spacing w:val="-9"/>
        </w:rPr>
        <w:t> </w:t>
      </w:r>
      <w:r>
        <w:rPr/>
        <w:t>Supervisor</w:t>
      </w:r>
      <w:r>
        <w:rPr>
          <w:spacing w:val="-11"/>
        </w:rPr>
        <w:t> </w:t>
      </w:r>
      <w:r>
        <w:rPr>
          <w:spacing w:val="-2"/>
        </w:rPr>
        <w:t>(EDPS)</w:t>
      </w:r>
    </w:p>
    <w:p>
      <w:pPr>
        <w:pStyle w:val="BodyText"/>
        <w:ind w:left="1080" w:right="280"/>
        <w:jc w:val="both"/>
      </w:pPr>
      <w:r>
        <w:rPr/>
        <mc:AlternateContent>
          <mc:Choice Requires="wps">
            <w:drawing>
              <wp:anchor distT="0" distB="0" distL="0" distR="0" allowOverlap="1" layoutInCell="1" locked="0" behindDoc="0" simplePos="0" relativeHeight="15729152">
                <wp:simplePos x="0" y="0"/>
                <wp:positionH relativeFrom="page">
                  <wp:posOffset>2923032</wp:posOffset>
                </wp:positionH>
                <wp:positionV relativeFrom="paragraph">
                  <wp:posOffset>305689</wp:posOffset>
                </wp:positionV>
                <wp:extent cx="46990" cy="698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6990" cy="6985"/>
                        </a:xfrm>
                        <a:custGeom>
                          <a:avLst/>
                          <a:gdLst/>
                          <a:ahLst/>
                          <a:cxnLst/>
                          <a:rect l="l" t="t" r="r" b="b"/>
                          <a:pathLst>
                            <a:path w="46990" h="6985">
                              <a:moveTo>
                                <a:pt x="46481" y="0"/>
                              </a:moveTo>
                              <a:lnTo>
                                <a:pt x="0" y="0"/>
                              </a:lnTo>
                              <a:lnTo>
                                <a:pt x="0" y="6857"/>
                              </a:lnTo>
                              <a:lnTo>
                                <a:pt x="46481" y="6857"/>
                              </a:lnTo>
                              <a:lnTo>
                                <a:pt x="464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0.160004pt;margin-top:24.070074pt;width:3.66pt;height:.54pt;mso-position-horizontal-relative:page;mso-position-vertical-relative:paragraph;z-index:15729152" id="docshape3" filled="true" fillcolor="#000000" stroked="false">
                <v:fill type="solid"/>
                <w10:wrap type="none"/>
              </v:rect>
            </w:pict>
          </mc:Fallback>
        </mc:AlternateContent>
      </w:r>
      <w:r>
        <w:rPr/>
        <w:t>You have the right to have recourse (i.e. you can lodge a complaint) to the European Data Protection Supervisor</w:t>
      </w:r>
      <w:r>
        <w:rPr>
          <w:u w:val="single"/>
        </w:rPr>
        <w:t> (</w:t>
      </w:r>
      <w:hyperlink r:id="rId11">
        <w:r>
          <w:rPr>
            <w:color w:val="0000FF"/>
            <w:u w:val="single" w:color="000000"/>
          </w:rPr>
          <w:t>edps@edps.europa.eu</w:t>
        </w:r>
      </w:hyperlink>
      <w:r>
        <w:rPr/>
        <w:t>) if you consider that your rights under Regulation (EU) 2018/1725 have been infringed as a result of the processing of your personal data by the Data Controller.</w:t>
      </w:r>
    </w:p>
    <w:p>
      <w:pPr>
        <w:pStyle w:val="BodyText"/>
        <w:spacing w:line="252" w:lineRule="exact"/>
        <w:ind w:left="1080"/>
        <w:jc w:val="both"/>
      </w:pPr>
      <w:r>
        <w:rPr/>
        <w:t>To</w:t>
      </w:r>
      <w:r>
        <w:rPr>
          <w:spacing w:val="-7"/>
        </w:rPr>
        <w:t> </w:t>
      </w:r>
      <w:r>
        <w:rPr/>
        <w:t>the</w:t>
      </w:r>
      <w:r>
        <w:rPr>
          <w:spacing w:val="-7"/>
        </w:rPr>
        <w:t> </w:t>
      </w:r>
      <w:r>
        <w:rPr/>
        <w:t>attention</w:t>
      </w:r>
      <w:r>
        <w:rPr>
          <w:spacing w:val="-7"/>
        </w:rPr>
        <w:t> </w:t>
      </w:r>
      <w:r>
        <w:rPr/>
        <w:t>of</w:t>
      </w:r>
      <w:r>
        <w:rPr>
          <w:spacing w:val="-6"/>
        </w:rPr>
        <w:t> </w:t>
      </w:r>
      <w:r>
        <w:rPr/>
        <w:t>candidates</w:t>
      </w:r>
      <w:r>
        <w:rPr>
          <w:spacing w:val="-7"/>
        </w:rPr>
        <w:t> </w:t>
      </w:r>
      <w:r>
        <w:rPr/>
        <w:t>from</w:t>
      </w:r>
      <w:r>
        <w:rPr>
          <w:spacing w:val="-8"/>
        </w:rPr>
        <w:t> </w:t>
      </w:r>
      <w:r>
        <w:rPr/>
        <w:t>third</w:t>
      </w:r>
      <w:r>
        <w:rPr>
          <w:spacing w:val="-6"/>
        </w:rPr>
        <w:t> </w:t>
      </w:r>
      <w:r>
        <w:rPr/>
        <w:t>countries:</w:t>
      </w:r>
      <w:r>
        <w:rPr>
          <w:spacing w:val="-7"/>
        </w:rPr>
        <w:t> </w:t>
      </w:r>
      <w:r>
        <w:rPr/>
        <w:t>your</w:t>
      </w:r>
      <w:r>
        <w:rPr>
          <w:spacing w:val="-6"/>
        </w:rPr>
        <w:t> </w:t>
      </w:r>
      <w:r>
        <w:rPr/>
        <w:t>personal</w:t>
      </w:r>
      <w:r>
        <w:rPr>
          <w:spacing w:val="-7"/>
        </w:rPr>
        <w:t> </w:t>
      </w:r>
      <w:r>
        <w:rPr/>
        <w:t>data</w:t>
      </w:r>
      <w:r>
        <w:rPr>
          <w:spacing w:val="-7"/>
        </w:rPr>
        <w:t> </w:t>
      </w:r>
      <w:r>
        <w:rPr/>
        <w:t>can</w:t>
      </w:r>
      <w:r>
        <w:rPr>
          <w:spacing w:val="-6"/>
        </w:rPr>
        <w:t> </w:t>
      </w:r>
      <w:r>
        <w:rPr/>
        <w:t>be</w:t>
      </w:r>
      <w:r>
        <w:rPr>
          <w:spacing w:val="-8"/>
        </w:rPr>
        <w:t> </w:t>
      </w:r>
      <w:r>
        <w:rPr/>
        <w:t>used</w:t>
      </w:r>
      <w:r>
        <w:rPr>
          <w:spacing w:val="-6"/>
        </w:rPr>
        <w:t> </w:t>
      </w:r>
      <w:r>
        <w:rPr/>
        <w:t>for</w:t>
      </w:r>
      <w:r>
        <w:rPr>
          <w:spacing w:val="-7"/>
        </w:rPr>
        <w:t> </w:t>
      </w:r>
      <w:r>
        <w:rPr/>
        <w:t>necessary</w:t>
      </w:r>
      <w:r>
        <w:rPr>
          <w:spacing w:val="-6"/>
        </w:rPr>
        <w:t> </w:t>
      </w:r>
      <w:r>
        <w:rPr>
          <w:spacing w:val="-2"/>
        </w:rPr>
        <w:t>checks.</w:t>
      </w:r>
    </w:p>
    <w:sectPr>
      <w:pgSz w:w="11910" w:h="16840"/>
      <w:pgMar w:header="0" w:footer="686" w:top="1040" w:bottom="880" w:left="4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2">
    <w:altName w:val="Wingdings 2"/>
    <w:charset w:val="2"/>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90048">
              <wp:simplePos x="0" y="0"/>
              <wp:positionH relativeFrom="page">
                <wp:posOffset>6321044</wp:posOffset>
              </wp:positionH>
              <wp:positionV relativeFrom="page">
                <wp:posOffset>10116932</wp:posOffset>
              </wp:positionV>
              <wp:extent cx="712470" cy="1377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12470" cy="137795"/>
                      </a:xfrm>
                      <a:prstGeom prst="rect">
                        <a:avLst/>
                      </a:prstGeom>
                    </wps:spPr>
                    <wps:txbx>
                      <w:txbxContent>
                        <w:p>
                          <w:pPr>
                            <w:spacing w:before="13"/>
                            <w:ind w:left="20" w:right="0" w:firstLine="0"/>
                            <w:jc w:val="left"/>
                            <w:rPr>
                              <w:sz w:val="16"/>
                            </w:rPr>
                          </w:pPr>
                          <w:r>
                            <w:rPr>
                              <w:sz w:val="16"/>
                            </w:rPr>
                            <w:t>Version</w:t>
                          </w:r>
                          <w:r>
                            <w:rPr>
                              <w:spacing w:val="-10"/>
                              <w:sz w:val="16"/>
                            </w:rPr>
                            <w:t> </w:t>
                          </w:r>
                          <w:r>
                            <w:rPr>
                              <w:sz w:val="16"/>
                            </w:rPr>
                            <w:t>09-</w:t>
                          </w:r>
                          <w:r>
                            <w:rPr>
                              <w:spacing w:val="-4"/>
                              <w:sz w:val="16"/>
                            </w:rPr>
                            <w:t>2019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7.720001pt;margin-top:796.608887pt;width:56.1pt;height:10.85pt;mso-position-horizontal-relative:page;mso-position-vertical-relative:page;z-index:-15826432" type="#_x0000_t202" id="docshape1" filled="false" stroked="false">
              <v:textbox inset="0,0,0,0">
                <w:txbxContent>
                  <w:p>
                    <w:pPr>
                      <w:spacing w:before="13"/>
                      <w:ind w:left="20" w:right="0" w:firstLine="0"/>
                      <w:jc w:val="left"/>
                      <w:rPr>
                        <w:sz w:val="16"/>
                      </w:rPr>
                    </w:pPr>
                    <w:r>
                      <w:rPr>
                        <w:sz w:val="16"/>
                      </w:rPr>
                      <w:t>Version</w:t>
                    </w:r>
                    <w:r>
                      <w:rPr>
                        <w:spacing w:val="-10"/>
                        <w:sz w:val="16"/>
                      </w:rPr>
                      <w:t> </w:t>
                    </w:r>
                    <w:r>
                      <w:rPr>
                        <w:sz w:val="16"/>
                      </w:rPr>
                      <w:t>09-</w:t>
                    </w:r>
                    <w:r>
                      <w:rPr>
                        <w:spacing w:val="-4"/>
                        <w:sz w:val="16"/>
                      </w:rPr>
                      <w:t>2019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078" w:hanging="283"/>
      </w:pPr>
      <w:rPr>
        <w:rFonts w:hint="default" w:ascii="Verdana" w:hAnsi="Verdana" w:eastAsia="Verdana" w:cs="Verdana"/>
        <w:b w:val="0"/>
        <w:bCs w:val="0"/>
        <w:i w:val="0"/>
        <w:iCs w:val="0"/>
        <w:spacing w:val="0"/>
        <w:w w:val="99"/>
        <w:sz w:val="22"/>
        <w:szCs w:val="22"/>
        <w:lang w:val="en-US" w:eastAsia="en-US" w:bidi="ar-SA"/>
      </w:rPr>
    </w:lvl>
    <w:lvl w:ilvl="1">
      <w:start w:val="0"/>
      <w:numFmt w:val="bullet"/>
      <w:lvlText w:val="•"/>
      <w:lvlJc w:val="left"/>
      <w:pPr>
        <w:ind w:left="2040" w:hanging="283"/>
      </w:pPr>
      <w:rPr>
        <w:rFonts w:hint="default"/>
        <w:lang w:val="en-US" w:eastAsia="en-US" w:bidi="ar-SA"/>
      </w:rPr>
    </w:lvl>
    <w:lvl w:ilvl="2">
      <w:start w:val="0"/>
      <w:numFmt w:val="bullet"/>
      <w:lvlText w:val="•"/>
      <w:lvlJc w:val="left"/>
      <w:pPr>
        <w:ind w:left="3001" w:hanging="283"/>
      </w:pPr>
      <w:rPr>
        <w:rFonts w:hint="default"/>
        <w:lang w:val="en-US" w:eastAsia="en-US" w:bidi="ar-SA"/>
      </w:rPr>
    </w:lvl>
    <w:lvl w:ilvl="3">
      <w:start w:val="0"/>
      <w:numFmt w:val="bullet"/>
      <w:lvlText w:val="•"/>
      <w:lvlJc w:val="left"/>
      <w:pPr>
        <w:ind w:left="3961" w:hanging="283"/>
      </w:pPr>
      <w:rPr>
        <w:rFonts w:hint="default"/>
        <w:lang w:val="en-US" w:eastAsia="en-US" w:bidi="ar-SA"/>
      </w:rPr>
    </w:lvl>
    <w:lvl w:ilvl="4">
      <w:start w:val="0"/>
      <w:numFmt w:val="bullet"/>
      <w:lvlText w:val="•"/>
      <w:lvlJc w:val="left"/>
      <w:pPr>
        <w:ind w:left="4922" w:hanging="283"/>
      </w:pPr>
      <w:rPr>
        <w:rFonts w:hint="default"/>
        <w:lang w:val="en-US" w:eastAsia="en-US" w:bidi="ar-SA"/>
      </w:rPr>
    </w:lvl>
    <w:lvl w:ilvl="5">
      <w:start w:val="0"/>
      <w:numFmt w:val="bullet"/>
      <w:lvlText w:val="•"/>
      <w:lvlJc w:val="left"/>
      <w:pPr>
        <w:ind w:left="5883" w:hanging="283"/>
      </w:pPr>
      <w:rPr>
        <w:rFonts w:hint="default"/>
        <w:lang w:val="en-US" w:eastAsia="en-US" w:bidi="ar-SA"/>
      </w:rPr>
    </w:lvl>
    <w:lvl w:ilvl="6">
      <w:start w:val="0"/>
      <w:numFmt w:val="bullet"/>
      <w:lvlText w:val="•"/>
      <w:lvlJc w:val="left"/>
      <w:pPr>
        <w:ind w:left="6843" w:hanging="283"/>
      </w:pPr>
      <w:rPr>
        <w:rFonts w:hint="default"/>
        <w:lang w:val="en-US" w:eastAsia="en-US" w:bidi="ar-SA"/>
      </w:rPr>
    </w:lvl>
    <w:lvl w:ilvl="7">
      <w:start w:val="0"/>
      <w:numFmt w:val="bullet"/>
      <w:lvlText w:val="•"/>
      <w:lvlJc w:val="left"/>
      <w:pPr>
        <w:ind w:left="7804" w:hanging="283"/>
      </w:pPr>
      <w:rPr>
        <w:rFonts w:hint="default"/>
        <w:lang w:val="en-US" w:eastAsia="en-US" w:bidi="ar-SA"/>
      </w:rPr>
    </w:lvl>
    <w:lvl w:ilvl="8">
      <w:start w:val="0"/>
      <w:numFmt w:val="bullet"/>
      <w:lvlText w:val="•"/>
      <w:lvlJc w:val="left"/>
      <w:pPr>
        <w:ind w:left="8765" w:hanging="283"/>
      </w:pPr>
      <w:rPr>
        <w:rFonts w:hint="default"/>
        <w:lang w:val="en-US" w:eastAsia="en-US" w:bidi="ar-SA"/>
      </w:rPr>
    </w:lvl>
  </w:abstractNum>
  <w:abstractNum w:abstractNumId="3">
    <w:multiLevelType w:val="hybridMultilevel"/>
    <w:lvl w:ilvl="0">
      <w:start w:val="0"/>
      <w:numFmt w:val="bullet"/>
      <w:lvlText w:val="•"/>
      <w:lvlJc w:val="left"/>
      <w:pPr>
        <w:ind w:left="1080" w:hanging="284"/>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040" w:hanging="284"/>
      </w:pPr>
      <w:rPr>
        <w:rFonts w:hint="default"/>
        <w:lang w:val="en-US" w:eastAsia="en-US" w:bidi="ar-SA"/>
      </w:rPr>
    </w:lvl>
    <w:lvl w:ilvl="2">
      <w:start w:val="0"/>
      <w:numFmt w:val="bullet"/>
      <w:lvlText w:val="•"/>
      <w:lvlJc w:val="left"/>
      <w:pPr>
        <w:ind w:left="3001" w:hanging="284"/>
      </w:pPr>
      <w:rPr>
        <w:rFonts w:hint="default"/>
        <w:lang w:val="en-US" w:eastAsia="en-US" w:bidi="ar-SA"/>
      </w:rPr>
    </w:lvl>
    <w:lvl w:ilvl="3">
      <w:start w:val="0"/>
      <w:numFmt w:val="bullet"/>
      <w:lvlText w:val="•"/>
      <w:lvlJc w:val="left"/>
      <w:pPr>
        <w:ind w:left="3961" w:hanging="284"/>
      </w:pPr>
      <w:rPr>
        <w:rFonts w:hint="default"/>
        <w:lang w:val="en-US" w:eastAsia="en-US" w:bidi="ar-SA"/>
      </w:rPr>
    </w:lvl>
    <w:lvl w:ilvl="4">
      <w:start w:val="0"/>
      <w:numFmt w:val="bullet"/>
      <w:lvlText w:val="•"/>
      <w:lvlJc w:val="left"/>
      <w:pPr>
        <w:ind w:left="4922" w:hanging="284"/>
      </w:pPr>
      <w:rPr>
        <w:rFonts w:hint="default"/>
        <w:lang w:val="en-US" w:eastAsia="en-US" w:bidi="ar-SA"/>
      </w:rPr>
    </w:lvl>
    <w:lvl w:ilvl="5">
      <w:start w:val="0"/>
      <w:numFmt w:val="bullet"/>
      <w:lvlText w:val="•"/>
      <w:lvlJc w:val="left"/>
      <w:pPr>
        <w:ind w:left="5883" w:hanging="284"/>
      </w:pPr>
      <w:rPr>
        <w:rFonts w:hint="default"/>
        <w:lang w:val="en-US" w:eastAsia="en-US" w:bidi="ar-SA"/>
      </w:rPr>
    </w:lvl>
    <w:lvl w:ilvl="6">
      <w:start w:val="0"/>
      <w:numFmt w:val="bullet"/>
      <w:lvlText w:val="•"/>
      <w:lvlJc w:val="left"/>
      <w:pPr>
        <w:ind w:left="6843" w:hanging="284"/>
      </w:pPr>
      <w:rPr>
        <w:rFonts w:hint="default"/>
        <w:lang w:val="en-US" w:eastAsia="en-US" w:bidi="ar-SA"/>
      </w:rPr>
    </w:lvl>
    <w:lvl w:ilvl="7">
      <w:start w:val="0"/>
      <w:numFmt w:val="bullet"/>
      <w:lvlText w:val="•"/>
      <w:lvlJc w:val="left"/>
      <w:pPr>
        <w:ind w:left="7804" w:hanging="284"/>
      </w:pPr>
      <w:rPr>
        <w:rFonts w:hint="default"/>
        <w:lang w:val="en-US" w:eastAsia="en-US" w:bidi="ar-SA"/>
      </w:rPr>
    </w:lvl>
    <w:lvl w:ilvl="8">
      <w:start w:val="0"/>
      <w:numFmt w:val="bullet"/>
      <w:lvlText w:val="•"/>
      <w:lvlJc w:val="left"/>
      <w:pPr>
        <w:ind w:left="8765" w:hanging="284"/>
      </w:pPr>
      <w:rPr>
        <w:rFonts w:hint="default"/>
        <w:lang w:val="en-US" w:eastAsia="en-US" w:bidi="ar-SA"/>
      </w:rPr>
    </w:lvl>
  </w:abstractNum>
  <w:abstractNum w:abstractNumId="2">
    <w:multiLevelType w:val="hybridMultilevel"/>
    <w:lvl w:ilvl="0">
      <w:start w:val="1"/>
      <w:numFmt w:val="lowerLetter"/>
      <w:lvlText w:val="%1)"/>
      <w:lvlJc w:val="left"/>
      <w:pPr>
        <w:ind w:left="1035" w:hanging="239"/>
        <w:jc w:val="left"/>
      </w:pPr>
      <w:rPr>
        <w:rFonts w:hint="default" w:ascii="Times New Roman" w:hAnsi="Times New Roman" w:eastAsia="Times New Roman" w:cs="Times New Roman"/>
        <w:b/>
        <w:bCs/>
        <w:i w:val="0"/>
        <w:iCs w:val="0"/>
        <w:spacing w:val="0"/>
        <w:w w:val="99"/>
        <w:sz w:val="22"/>
        <w:szCs w:val="22"/>
        <w:lang w:val="en-US" w:eastAsia="en-US" w:bidi="ar-SA"/>
      </w:rPr>
    </w:lvl>
    <w:lvl w:ilvl="1">
      <w:start w:val="0"/>
      <w:numFmt w:val="bullet"/>
      <w:lvlText w:val="-"/>
      <w:lvlJc w:val="left"/>
      <w:pPr>
        <w:ind w:left="1439" w:hanging="129"/>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2467" w:hanging="129"/>
      </w:pPr>
      <w:rPr>
        <w:rFonts w:hint="default"/>
        <w:lang w:val="en-US" w:eastAsia="en-US" w:bidi="ar-SA"/>
      </w:rPr>
    </w:lvl>
    <w:lvl w:ilvl="3">
      <w:start w:val="0"/>
      <w:numFmt w:val="bullet"/>
      <w:lvlText w:val="•"/>
      <w:lvlJc w:val="left"/>
      <w:pPr>
        <w:ind w:left="3494" w:hanging="129"/>
      </w:pPr>
      <w:rPr>
        <w:rFonts w:hint="default"/>
        <w:lang w:val="en-US" w:eastAsia="en-US" w:bidi="ar-SA"/>
      </w:rPr>
    </w:lvl>
    <w:lvl w:ilvl="4">
      <w:start w:val="0"/>
      <w:numFmt w:val="bullet"/>
      <w:lvlText w:val="•"/>
      <w:lvlJc w:val="left"/>
      <w:pPr>
        <w:ind w:left="4522" w:hanging="129"/>
      </w:pPr>
      <w:rPr>
        <w:rFonts w:hint="default"/>
        <w:lang w:val="en-US" w:eastAsia="en-US" w:bidi="ar-SA"/>
      </w:rPr>
    </w:lvl>
    <w:lvl w:ilvl="5">
      <w:start w:val="0"/>
      <w:numFmt w:val="bullet"/>
      <w:lvlText w:val="•"/>
      <w:lvlJc w:val="left"/>
      <w:pPr>
        <w:ind w:left="5549" w:hanging="129"/>
      </w:pPr>
      <w:rPr>
        <w:rFonts w:hint="default"/>
        <w:lang w:val="en-US" w:eastAsia="en-US" w:bidi="ar-SA"/>
      </w:rPr>
    </w:lvl>
    <w:lvl w:ilvl="6">
      <w:start w:val="0"/>
      <w:numFmt w:val="bullet"/>
      <w:lvlText w:val="•"/>
      <w:lvlJc w:val="left"/>
      <w:pPr>
        <w:ind w:left="6576" w:hanging="129"/>
      </w:pPr>
      <w:rPr>
        <w:rFonts w:hint="default"/>
        <w:lang w:val="en-US" w:eastAsia="en-US" w:bidi="ar-SA"/>
      </w:rPr>
    </w:lvl>
    <w:lvl w:ilvl="7">
      <w:start w:val="0"/>
      <w:numFmt w:val="bullet"/>
      <w:lvlText w:val="•"/>
      <w:lvlJc w:val="left"/>
      <w:pPr>
        <w:ind w:left="7604" w:hanging="129"/>
      </w:pPr>
      <w:rPr>
        <w:rFonts w:hint="default"/>
        <w:lang w:val="en-US" w:eastAsia="en-US" w:bidi="ar-SA"/>
      </w:rPr>
    </w:lvl>
    <w:lvl w:ilvl="8">
      <w:start w:val="0"/>
      <w:numFmt w:val="bullet"/>
      <w:lvlText w:val="•"/>
      <w:lvlJc w:val="left"/>
      <w:pPr>
        <w:ind w:left="8631" w:hanging="129"/>
      </w:pPr>
      <w:rPr>
        <w:rFonts w:hint="default"/>
        <w:lang w:val="en-US" w:eastAsia="en-US" w:bidi="ar-SA"/>
      </w:rPr>
    </w:lvl>
  </w:abstractNum>
  <w:abstractNum w:abstractNumId="0">
    <w:multiLevelType w:val="hybridMultilevel"/>
    <w:lvl w:ilvl="0">
      <w:start w:val="0"/>
      <w:numFmt w:val="bullet"/>
      <w:lvlText w:val=""/>
      <w:lvlJc w:val="left"/>
      <w:pPr>
        <w:ind w:left="543" w:hanging="376"/>
      </w:pPr>
      <w:rPr>
        <w:rFonts w:hint="default" w:ascii="Wingdings 2" w:hAnsi="Wingdings 2" w:eastAsia="Wingdings 2" w:cs="Wingdings 2"/>
        <w:spacing w:val="0"/>
        <w:w w:val="99"/>
        <w:lang w:val="en-US" w:eastAsia="en-US" w:bidi="ar-SA"/>
      </w:rPr>
    </w:lvl>
    <w:lvl w:ilvl="1">
      <w:start w:val="0"/>
      <w:numFmt w:val="bullet"/>
      <w:lvlText w:val=""/>
      <w:lvlJc w:val="left"/>
      <w:pPr>
        <w:ind w:left="1090" w:hanging="275"/>
      </w:pPr>
      <w:rPr>
        <w:rFonts w:hint="default" w:ascii="Wingdings 2" w:hAnsi="Wingdings 2" w:eastAsia="Wingdings 2" w:cs="Wingdings 2"/>
        <w:b/>
        <w:bCs/>
        <w:i w:val="0"/>
        <w:iCs w:val="0"/>
        <w:spacing w:val="0"/>
        <w:w w:val="99"/>
        <w:sz w:val="24"/>
        <w:szCs w:val="24"/>
        <w:lang w:val="en-US" w:eastAsia="en-US" w:bidi="ar-SA"/>
      </w:rPr>
    </w:lvl>
    <w:lvl w:ilvl="2">
      <w:start w:val="0"/>
      <w:numFmt w:val="bullet"/>
      <w:lvlText w:val="•"/>
      <w:lvlJc w:val="left"/>
      <w:pPr>
        <w:ind w:left="2083" w:hanging="275"/>
      </w:pPr>
      <w:rPr>
        <w:rFonts w:hint="default"/>
        <w:lang w:val="en-US" w:eastAsia="en-US" w:bidi="ar-SA"/>
      </w:rPr>
    </w:lvl>
    <w:lvl w:ilvl="3">
      <w:start w:val="0"/>
      <w:numFmt w:val="bullet"/>
      <w:lvlText w:val="•"/>
      <w:lvlJc w:val="left"/>
      <w:pPr>
        <w:ind w:left="3066" w:hanging="275"/>
      </w:pPr>
      <w:rPr>
        <w:rFonts w:hint="default"/>
        <w:lang w:val="en-US" w:eastAsia="en-US" w:bidi="ar-SA"/>
      </w:rPr>
    </w:lvl>
    <w:lvl w:ilvl="4">
      <w:start w:val="0"/>
      <w:numFmt w:val="bullet"/>
      <w:lvlText w:val="•"/>
      <w:lvlJc w:val="left"/>
      <w:pPr>
        <w:ind w:left="4049" w:hanging="275"/>
      </w:pPr>
      <w:rPr>
        <w:rFonts w:hint="default"/>
        <w:lang w:val="en-US" w:eastAsia="en-US" w:bidi="ar-SA"/>
      </w:rPr>
    </w:lvl>
    <w:lvl w:ilvl="5">
      <w:start w:val="0"/>
      <w:numFmt w:val="bullet"/>
      <w:lvlText w:val="•"/>
      <w:lvlJc w:val="left"/>
      <w:pPr>
        <w:ind w:left="5032" w:hanging="275"/>
      </w:pPr>
      <w:rPr>
        <w:rFonts w:hint="default"/>
        <w:lang w:val="en-US" w:eastAsia="en-US" w:bidi="ar-SA"/>
      </w:rPr>
    </w:lvl>
    <w:lvl w:ilvl="6">
      <w:start w:val="0"/>
      <w:numFmt w:val="bullet"/>
      <w:lvlText w:val="•"/>
      <w:lvlJc w:val="left"/>
      <w:pPr>
        <w:ind w:left="6015" w:hanging="275"/>
      </w:pPr>
      <w:rPr>
        <w:rFonts w:hint="default"/>
        <w:lang w:val="en-US" w:eastAsia="en-US" w:bidi="ar-SA"/>
      </w:rPr>
    </w:lvl>
    <w:lvl w:ilvl="7">
      <w:start w:val="0"/>
      <w:numFmt w:val="bullet"/>
      <w:lvlText w:val="•"/>
      <w:lvlJc w:val="left"/>
      <w:pPr>
        <w:ind w:left="6998" w:hanging="275"/>
      </w:pPr>
      <w:rPr>
        <w:rFonts w:hint="default"/>
        <w:lang w:val="en-US" w:eastAsia="en-US" w:bidi="ar-SA"/>
      </w:rPr>
    </w:lvl>
    <w:lvl w:ilvl="8">
      <w:start w:val="0"/>
      <w:numFmt w:val="bullet"/>
      <w:lvlText w:val="•"/>
      <w:lvlJc w:val="left"/>
      <w:pPr>
        <w:ind w:left="7981" w:hanging="275"/>
      </w:pPr>
      <w:rPr>
        <w:rFonts w:hint="default"/>
        <w:lang w:val="en-US" w:eastAsia="en-US" w:bidi="ar-SA"/>
      </w:rPr>
    </w:lvl>
  </w:abstractNum>
  <w:abstractNum w:abstractNumId="1">
    <w:multiLevelType w:val="hybridMultilevel"/>
    <w:lvl w:ilvl="0">
      <w:start w:val="1"/>
      <w:numFmt w:val="decimal"/>
      <w:lvlText w:val="%1."/>
      <w:lvlJc w:val="left"/>
      <w:pPr>
        <w:ind w:left="796" w:hanging="426"/>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730" w:hanging="360"/>
      </w:pPr>
      <w:rPr>
        <w:rFonts w:hint="default" w:ascii="Symbol" w:hAnsi="Symbol" w:eastAsia="Symbol" w:cs="Symbol"/>
        <w:b w:val="0"/>
        <w:bCs w:val="0"/>
        <w:i w:val="0"/>
        <w:iCs w:val="0"/>
        <w:spacing w:val="0"/>
        <w:w w:val="99"/>
        <w:sz w:val="22"/>
        <w:szCs w:val="22"/>
        <w:lang w:val="en-US" w:eastAsia="en-US" w:bidi="ar-SA"/>
      </w:rPr>
    </w:lvl>
    <w:lvl w:ilvl="2">
      <w:start w:val="0"/>
      <w:numFmt w:val="bullet"/>
      <w:lvlText w:val="•"/>
      <w:lvlJc w:val="left"/>
      <w:pPr>
        <w:ind w:left="1898" w:hanging="360"/>
      </w:pPr>
      <w:rPr>
        <w:rFonts w:hint="default"/>
        <w:lang w:val="en-US" w:eastAsia="en-US" w:bidi="ar-SA"/>
      </w:rPr>
    </w:lvl>
    <w:lvl w:ilvl="3">
      <w:start w:val="0"/>
      <w:numFmt w:val="bullet"/>
      <w:lvlText w:val="•"/>
      <w:lvlJc w:val="left"/>
      <w:pPr>
        <w:ind w:left="2996" w:hanging="360"/>
      </w:pPr>
      <w:rPr>
        <w:rFonts w:hint="default"/>
        <w:lang w:val="en-US" w:eastAsia="en-US" w:bidi="ar-SA"/>
      </w:rPr>
    </w:lvl>
    <w:lvl w:ilvl="4">
      <w:start w:val="0"/>
      <w:numFmt w:val="bullet"/>
      <w:lvlText w:val="•"/>
      <w:lvlJc w:val="left"/>
      <w:pPr>
        <w:ind w:left="4095" w:hanging="360"/>
      </w:pPr>
      <w:rPr>
        <w:rFonts w:hint="default"/>
        <w:lang w:val="en-US" w:eastAsia="en-US" w:bidi="ar-SA"/>
      </w:rPr>
    </w:lvl>
    <w:lvl w:ilvl="5">
      <w:start w:val="0"/>
      <w:numFmt w:val="bullet"/>
      <w:lvlText w:val="•"/>
      <w:lvlJc w:val="left"/>
      <w:pPr>
        <w:ind w:left="5193" w:hanging="360"/>
      </w:pPr>
      <w:rPr>
        <w:rFonts w:hint="default"/>
        <w:lang w:val="en-US" w:eastAsia="en-US" w:bidi="ar-SA"/>
      </w:rPr>
    </w:lvl>
    <w:lvl w:ilvl="6">
      <w:start w:val="0"/>
      <w:numFmt w:val="bullet"/>
      <w:lvlText w:val="•"/>
      <w:lvlJc w:val="left"/>
      <w:pPr>
        <w:ind w:left="6292" w:hanging="360"/>
      </w:pPr>
      <w:rPr>
        <w:rFonts w:hint="default"/>
        <w:lang w:val="en-US" w:eastAsia="en-US" w:bidi="ar-SA"/>
      </w:rPr>
    </w:lvl>
    <w:lvl w:ilvl="7">
      <w:start w:val="0"/>
      <w:numFmt w:val="bullet"/>
      <w:lvlText w:val="•"/>
      <w:lvlJc w:val="left"/>
      <w:pPr>
        <w:ind w:left="7390" w:hanging="360"/>
      </w:pPr>
      <w:rPr>
        <w:rFonts w:hint="default"/>
        <w:lang w:val="en-US" w:eastAsia="en-US" w:bidi="ar-SA"/>
      </w:rPr>
    </w:lvl>
    <w:lvl w:ilvl="8">
      <w:start w:val="0"/>
      <w:numFmt w:val="bullet"/>
      <w:lvlText w:val="•"/>
      <w:lvlJc w:val="left"/>
      <w:pPr>
        <w:ind w:left="8489" w:hanging="360"/>
      </w:pPr>
      <w:rPr>
        <w:rFonts w:hint="default"/>
        <w:lang w:val="en-US" w:eastAsia="en-US" w:bidi="ar-SA"/>
      </w:rPr>
    </w:lvl>
  </w:abstractNum>
  <w:num w:numId="5">
    <w:abstractNumId w:val="4"/>
  </w:num>
  <w:num w:numId="4">
    <w:abstractNumId w:val="3"/>
  </w:num>
  <w:num w:numId="3">
    <w:abstractNumId w:val="2"/>
  </w: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77" w:hanging="281"/>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14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Paul.flament@ec.europa.eu" TargetMode="External"/><Relationship Id="rId8" Type="http://schemas.openxmlformats.org/officeDocument/2006/relationships/hyperlink" Target="http://europass.cedefop.europa.eu/en/documents/curriculum-vitae" TargetMode="External"/><Relationship Id="rId9" Type="http://schemas.openxmlformats.org/officeDocument/2006/relationships/hyperlink" Target="mailto:HR-MAIL-B4@ec.europa.eu" TargetMode="External"/><Relationship Id="rId10" Type="http://schemas.openxmlformats.org/officeDocument/2006/relationships/hyperlink" Target="mailto:DATA-PROTECTION-OFFICER@ec.europa.eu" TargetMode="External"/><Relationship Id="rId11" Type="http://schemas.openxmlformats.org/officeDocument/2006/relationships/hyperlink" Target="mailto:edps@edps.europa.eu"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European Commission</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dcterms:created xsi:type="dcterms:W3CDTF">2023-09-13T16:50:17Z</dcterms:created>
  <dcterms:modified xsi:type="dcterms:W3CDTF">2023-09-13T16:50:17Z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Acrobat PDFMaker 23 for Word</vt:lpwstr>
  </property>
  <property fmtid="{D5CDD505-2E9C-101B-9397-08002B2CF9AE}" pid="4" name="LastSaved">
    <vt:filetime>2023-09-13T00:00:00Z</vt:filetime>
  </property>
  <property fmtid="{D5CDD505-2E9C-101B-9397-08002B2CF9AE}" pid="5" name="MSIP_Label_6bd9ddd1-4d20-43f6-abfa-fc3c07406f94_ActionId">
    <vt:lpwstr>81af34b7-6141-4de9-9c24-099c9fb8c208</vt:lpwstr>
  </property>
  <property fmtid="{D5CDD505-2E9C-101B-9397-08002B2CF9AE}" pid="6" name="MSIP_Label_6bd9ddd1-4d20-43f6-abfa-fc3c07406f94_ContentBits">
    <vt:lpwstr>0</vt:lpwstr>
  </property>
  <property fmtid="{D5CDD505-2E9C-101B-9397-08002B2CF9AE}" pid="7" name="MSIP_Label_6bd9ddd1-4d20-43f6-abfa-fc3c07406f94_Enabled">
    <vt:lpwstr>true</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etDate">
    <vt:lpwstr>2023-08-16T08:36:11Z</vt:lpwstr>
  </property>
  <property fmtid="{D5CDD505-2E9C-101B-9397-08002B2CF9AE}" pid="11" name="MSIP_Label_6bd9ddd1-4d20-43f6-abfa-fc3c07406f94_SiteId">
    <vt:lpwstr>b24c8b06-522c-46fe-9080-70926f8dddb1</vt:lpwstr>
  </property>
  <property fmtid="{D5CDD505-2E9C-101B-9397-08002B2CF9AE}" pid="12" name="Producer">
    <vt:lpwstr>Adobe PDF Library 23.3.45</vt:lpwstr>
  </property>
  <property fmtid="{D5CDD505-2E9C-101B-9397-08002B2CF9AE}" pid="13" name="SourceModified">
    <vt:lpwstr>D:20230913092926</vt:lpwstr>
  </property>
</Properties>
</file>