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B560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71FBAEB" w:rsidR="00B65513" w:rsidRPr="0007110E" w:rsidRDefault="00F35CBB" w:rsidP="00E82667">
                <w:pPr>
                  <w:tabs>
                    <w:tab w:val="left" w:pos="426"/>
                  </w:tabs>
                  <w:spacing w:before="120"/>
                  <w:rPr>
                    <w:bCs/>
                    <w:lang w:val="en-IE" w:eastAsia="en-GB"/>
                  </w:rPr>
                </w:pPr>
                <w:r>
                  <w:rPr>
                    <w:bCs/>
                    <w:lang w:val="en-IE" w:eastAsia="en-GB"/>
                  </w:rPr>
                  <w:t xml:space="preserve">DG INTPA D1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398838D" w:rsidR="00D96984" w:rsidRPr="0007110E" w:rsidRDefault="00F35CBB" w:rsidP="00E82667">
                <w:pPr>
                  <w:tabs>
                    <w:tab w:val="left" w:pos="426"/>
                  </w:tabs>
                  <w:spacing w:before="120"/>
                  <w:rPr>
                    <w:bCs/>
                    <w:lang w:val="en-IE" w:eastAsia="en-GB"/>
                  </w:rPr>
                </w:pPr>
                <w:r>
                  <w:rPr>
                    <w:rFonts w:ascii="Arial" w:hAnsi="Arial" w:cs="Arial"/>
                    <w:color w:val="535353"/>
                    <w:sz w:val="20"/>
                    <w:shd w:val="clear" w:color="auto" w:fill="F8F8F8"/>
                  </w:rPr>
                  <w:t>351514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8876A41" w:rsidR="00E21DBD" w:rsidRPr="0007110E" w:rsidRDefault="00BA2CAF" w:rsidP="00E82667">
                <w:pPr>
                  <w:tabs>
                    <w:tab w:val="left" w:pos="426"/>
                  </w:tabs>
                  <w:spacing w:before="120"/>
                  <w:rPr>
                    <w:bCs/>
                    <w:lang w:val="en-IE" w:eastAsia="en-GB"/>
                  </w:rPr>
                </w:pPr>
                <w:r>
                  <w:rPr>
                    <w:bCs/>
                    <w:lang w:val="en-IE" w:eastAsia="en-GB"/>
                  </w:rPr>
                  <w:t>Nicolas</w:t>
                </w:r>
                <w:r w:rsidR="00F66FE7">
                  <w:rPr>
                    <w:bCs/>
                    <w:lang w:val="en-IE" w:eastAsia="en-GB"/>
                  </w:rPr>
                  <w:t xml:space="preserve"> STOETZEL</w:t>
                </w:r>
              </w:p>
            </w:sdtContent>
          </w:sdt>
          <w:p w14:paraId="34CF737A" w14:textId="2BEF56B7" w:rsidR="00E21DBD" w:rsidRPr="0007110E" w:rsidRDefault="00FB560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35CBB">
                  <w:rPr>
                    <w:bCs/>
                    <w:lang w:val="en-IE" w:eastAsia="en-GB"/>
                  </w:rPr>
                  <w:t>II</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14C4E8CE" w:rsidR="00E21DBD" w:rsidRPr="0007110E" w:rsidRDefault="00FB560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35CB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35CB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3973E6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B628D1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B560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B560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B560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EE0FFF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DEA5ECA"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9" type="#_x0000_t75" style="width:108pt;height:21.75pt" o:ole="">
                  <v:imagedata r:id="rId23" o:title=""/>
                </v:shape>
                <w:control r:id="rId24" w:name="OptionButton2" w:shapeid="_x0000_i1049"/>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37C930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2-26T00:00:00Z">
                  <w:dateFormat w:val="dd-MM-yyyy"/>
                  <w:lid w:val="fr-BE"/>
                  <w:storeMappedDataAs w:val="dateTime"/>
                  <w:calendar w:val="gregorian"/>
                </w:date>
              </w:sdtPr>
              <w:sdtEndPr/>
              <w:sdtContent>
                <w:r w:rsidR="00FB5604">
                  <w:rPr>
                    <w:bCs/>
                    <w:lang w:val="fr-BE" w:eastAsia="en-GB"/>
                  </w:rPr>
                  <w:t>26-02-2024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B8F86F9" w14:textId="7F1D91FF" w:rsidR="00FD7765" w:rsidRDefault="00FD7765" w:rsidP="00FD7765">
          <w:pPr>
            <w:spacing w:after="0"/>
          </w:pPr>
          <w:r>
            <w:t xml:space="preserve">Unit INTPA.D.1 is the centre of gravity for the Team Europe policy and approach and coordinates the different workstrands under the Global Gateway strategy for the Commission. The unit is therefore the main inter-face on these issues for other Commission services, the EEAS, Member States and numerous international partners. </w:t>
          </w:r>
        </w:p>
        <w:p w14:paraId="1C39BE39" w14:textId="77777777" w:rsidR="00FD7765" w:rsidRDefault="00FD7765" w:rsidP="00FD7765">
          <w:r>
            <w:t>In particular, the unit coordinates:</w:t>
          </w:r>
        </w:p>
        <w:p w14:paraId="6E435A49" w14:textId="77777777" w:rsidR="00FD7765" w:rsidRDefault="00FD7765" w:rsidP="00FD7765">
          <w:r>
            <w:lastRenderedPageBreak/>
            <w:t xml:space="preserve">(1) a capitals-based Team Europe (Managing regular EU Director-Generals meeting; establishing a network/informal expert group on Team Europe; dialogue with Member States (MS) capitals), </w:t>
          </w:r>
        </w:p>
        <w:p w14:paraId="28EB8A99" w14:textId="77777777" w:rsidR="00FD7765" w:rsidRDefault="00FD7765" w:rsidP="00FD7765">
          <w:r>
            <w:t xml:space="preserve">(2) a Brussels-based Team Europe (reporting on Team Europe including elements of ODA reporting and monitoring; closer relations with European networks of MS agencies and financing institutions, such as Practitioners’ Network and European Development Finance Institutions (EDFI), Joint European Financiers for International Cooperation (JEFIC), EIB and EBRD; </w:t>
          </w:r>
        </w:p>
        <w:p w14:paraId="6F30CE98" w14:textId="77777777" w:rsidR="00FD7765" w:rsidRDefault="00FD7765" w:rsidP="00FD7765">
          <w:r>
            <w:t>(3) a partner country level Team Europe (support in designing Team Europe Initiatives; support to accelerate the Team Europe approach at country level).</w:t>
          </w:r>
        </w:p>
        <w:p w14:paraId="3E729435" w14:textId="77777777" w:rsidR="00FD7765" w:rsidRDefault="00FD7765" w:rsidP="00FD7765">
          <w:r>
            <w:t xml:space="preserve">(4) the Global Gateway secretariat for the Commission (RELEX working group, support to Member States and their public actors on understanding Global Gateway, Global Gateway Platform)  </w:t>
          </w:r>
        </w:p>
        <w:p w14:paraId="4CAC79D0" w14:textId="77777777" w:rsidR="00FD7765" w:rsidRDefault="00FD7765" w:rsidP="00FD7765">
          <w:r>
            <w:t>(5) centre of expertise for development effectiveness (transparency; ownership; inclusiveness; results) and its implementation by the EU and MS, ensuring notably that the EU is a visible leader on transparency (OECD, IATI, Team Europe Aid Explorer).</w:t>
          </w:r>
        </w:p>
        <w:p w14:paraId="59DD0438" w14:textId="0FCA021F" w:rsidR="00E21DBD" w:rsidRDefault="00FD7765" w:rsidP="00FD7765">
          <w:pPr>
            <w:rPr>
              <w:lang w:val="en-US" w:eastAsia="en-GB"/>
            </w:rPr>
          </w:pPr>
          <w:r>
            <w:t>The secondee will contribute to the work of Unit INTPA.D.1 to support the implementation of Global Gateway in a Team Europe approach in general. This will be a policy-orientated role, with a high degree of strategic thinking and liaison with a wide group of stakeholders needed within the Commission, European Institutions and Member States and their respective agencies and financing institutions.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0"/>
          <w:lang w:val="en-GB" w:eastAsia="en-GB"/>
        </w:rPr>
        <w:id w:val="-723136291"/>
        <w:placeholder>
          <w:docPart w:val="84FB87486BC94E5EB76E972E1BD8265B"/>
        </w:placeholder>
      </w:sdtPr>
      <w:sdtEndPr/>
      <w:sdtContent>
        <w:p w14:paraId="7689600E" w14:textId="38CE5370" w:rsidR="00850A9B" w:rsidRPr="00850A9B" w:rsidRDefault="00D228E0" w:rsidP="00850A9B">
          <w:pPr>
            <w:pStyle w:val="BodyText"/>
            <w:kinsoku w:val="0"/>
            <w:overflowPunct w:val="0"/>
            <w:spacing w:before="22"/>
            <w:ind w:right="196"/>
            <w:rPr>
              <w:rFonts w:ascii="Arial" w:eastAsiaTheme="minorEastAsia" w:hAnsi="Arial" w:cs="Arial"/>
              <w:sz w:val="20"/>
              <w:lang w:val="en-IE"/>
            </w:rPr>
          </w:pPr>
          <w:r>
            <w:rPr>
              <w:lang w:eastAsia="en-GB"/>
            </w:rPr>
            <w:t>We propose an interesting and diverse policy role in a unit w</w:t>
          </w:r>
          <w:r w:rsidR="00850A9B">
            <w:rPr>
              <w:lang w:eastAsia="en-GB"/>
            </w:rPr>
            <w:t>hich plays a key role in promoting the Team Europe approach, supporting the roll out of the Global Gateway and the implementation of Team Europe Initiatives and promoting development effectiveness. The post holder would be expected to:</w:t>
          </w:r>
        </w:p>
        <w:p w14:paraId="5EA19278"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121" w:after="0"/>
            <w:ind w:right="405"/>
            <w:jc w:val="left"/>
            <w:rPr>
              <w:rFonts w:ascii="Arial" w:eastAsiaTheme="minorEastAsia" w:hAnsi="Arial" w:cs="Arial"/>
              <w:i/>
              <w:iCs/>
              <w:spacing w:val="-2"/>
              <w:sz w:val="20"/>
              <w:lang w:val="en-IE"/>
            </w:rPr>
          </w:pPr>
          <w:r w:rsidRPr="00850A9B">
            <w:rPr>
              <w:rFonts w:ascii="Arial" w:eastAsiaTheme="minorEastAsia" w:hAnsi="Arial" w:cs="Arial"/>
              <w:i/>
              <w:iCs/>
              <w:sz w:val="20"/>
              <w:lang w:val="en-IE"/>
            </w:rPr>
            <w:t>Contribute to the elaboration of EU policies concerning effective development policy including</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working</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better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together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between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EU</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Member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States</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at</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both</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country</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 xml:space="preserve">HQ </w:t>
          </w:r>
          <w:r w:rsidRPr="00850A9B">
            <w:rPr>
              <w:rFonts w:ascii="Arial" w:eastAsiaTheme="minorEastAsia" w:hAnsi="Arial" w:cs="Arial"/>
              <w:i/>
              <w:iCs/>
              <w:spacing w:val="-2"/>
              <w:sz w:val="20"/>
              <w:lang w:val="en-IE"/>
            </w:rPr>
            <w:t>level.</w:t>
          </w:r>
        </w:p>
        <w:p w14:paraId="777CEC64"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3" w:after="0"/>
            <w:ind w:right="556"/>
            <w:jc w:val="left"/>
            <w:rPr>
              <w:rFonts w:ascii="Arial" w:eastAsiaTheme="minorEastAsia" w:hAnsi="Arial" w:cs="Arial"/>
              <w:i/>
              <w:iCs/>
              <w:sz w:val="20"/>
              <w:lang w:val="en-IE"/>
            </w:rPr>
          </w:pPr>
          <w:r w:rsidRPr="00850A9B">
            <w:rPr>
              <w:rFonts w:ascii="Arial" w:eastAsiaTheme="minorEastAsia" w:hAnsi="Arial" w:cs="Arial"/>
              <w:i/>
              <w:iCs/>
              <w:sz w:val="20"/>
              <w:lang w:val="en-IE"/>
            </w:rPr>
            <w:t>Support</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unit's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overall</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policy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formulation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Global</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Gateway,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notably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following</w:t>
          </w:r>
          <w:r w:rsidRPr="00850A9B">
            <w:rPr>
              <w:rFonts w:ascii="Arial" w:eastAsiaTheme="minorEastAsia" w:hAnsi="Arial" w:cs="Arial"/>
              <w:i/>
              <w:iCs/>
              <w:spacing w:val="-4"/>
              <w:sz w:val="20"/>
              <w:lang w:val="en-IE"/>
            </w:rPr>
            <w:t xml:space="preserve"> the mobilisation of EU tools to leverage invetsments</w:t>
          </w:r>
          <w:r w:rsidRPr="00850A9B">
            <w:rPr>
              <w:rFonts w:ascii="Arial" w:eastAsiaTheme="minorEastAsia" w:hAnsi="Arial" w:cs="Arial"/>
              <w:i/>
              <w:iCs/>
              <w:sz w:val="20"/>
              <w:lang w:val="en-IE"/>
            </w:rPr>
            <w:t xml:space="preserve"> </w:t>
          </w:r>
        </w:p>
        <w:p w14:paraId="0E85C0A0"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3" w:after="0"/>
            <w:ind w:right="516"/>
            <w:jc w:val="left"/>
            <w:rPr>
              <w:rFonts w:ascii="Arial" w:eastAsiaTheme="minorEastAsia" w:hAnsi="Arial" w:cs="Arial"/>
              <w:i/>
              <w:iCs/>
              <w:sz w:val="20"/>
              <w:lang w:val="en-IE"/>
            </w:rPr>
          </w:pPr>
          <w:r w:rsidRPr="00850A9B">
            <w:rPr>
              <w:rFonts w:ascii="Arial" w:eastAsiaTheme="minorEastAsia" w:hAnsi="Arial" w:cs="Arial"/>
              <w:i/>
              <w:iCs/>
              <w:sz w:val="20"/>
              <w:lang w:val="en-IE"/>
            </w:rPr>
            <w:t>Contribute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to</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implementation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development</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effectiveness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through</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working</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Team Europe (EU, Member States, European financing institutions), in the implementation of Global Gateway.</w:t>
          </w:r>
        </w:p>
        <w:p w14:paraId="513E63B7"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121" w:after="0"/>
            <w:ind w:right="205"/>
            <w:jc w:val="left"/>
            <w:rPr>
              <w:rFonts w:ascii="Arial" w:eastAsiaTheme="minorEastAsia" w:hAnsi="Arial" w:cs="Arial"/>
              <w:i/>
              <w:iCs/>
              <w:sz w:val="20"/>
              <w:lang w:val="en-IE"/>
            </w:rPr>
          </w:pPr>
          <w:r w:rsidRPr="00850A9B">
            <w:rPr>
              <w:rFonts w:ascii="Arial" w:eastAsiaTheme="minorEastAsia" w:hAnsi="Arial" w:cs="Arial"/>
              <w:i/>
              <w:iCs/>
              <w:sz w:val="20"/>
              <w:lang w:val="en-IE"/>
            </w:rPr>
            <w:t>Maintain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relations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with</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authorities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Member</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States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other</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stakeholders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development effectiveness, Global Gateway, Team Europe approach and related issues</w:t>
          </w:r>
        </w:p>
        <w:p w14:paraId="6184560B"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2" w:after="0"/>
            <w:ind w:right="301"/>
            <w:jc w:val="left"/>
            <w:rPr>
              <w:rFonts w:ascii="Arial" w:eastAsiaTheme="minorEastAsia" w:hAnsi="Arial" w:cs="Arial"/>
              <w:i/>
              <w:iCs/>
              <w:sz w:val="20"/>
              <w:lang w:val="en-IE"/>
            </w:rPr>
          </w:pPr>
          <w:r w:rsidRPr="00850A9B">
            <w:rPr>
              <w:rFonts w:ascii="Arial" w:eastAsiaTheme="minorEastAsia" w:hAnsi="Arial" w:cs="Arial"/>
              <w:i/>
              <w:iCs/>
              <w:sz w:val="20"/>
              <w:lang w:val="en-IE"/>
            </w:rPr>
            <w:t>Contribute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to</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unit's</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work</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to</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further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raise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visibility</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Global</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Gateway</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through</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a</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range of medias and channels</w:t>
          </w:r>
        </w:p>
        <w:p w14:paraId="08E0BC2E"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121" w:after="0"/>
            <w:ind w:right="372"/>
            <w:jc w:val="left"/>
            <w:rPr>
              <w:rFonts w:ascii="Arial" w:eastAsiaTheme="minorEastAsia" w:hAnsi="Arial" w:cs="Arial"/>
              <w:i/>
              <w:iCs/>
              <w:sz w:val="20"/>
              <w:lang w:val="en-IE"/>
            </w:rPr>
          </w:pPr>
          <w:r w:rsidRPr="00850A9B">
            <w:rPr>
              <w:rFonts w:ascii="Arial" w:eastAsiaTheme="minorEastAsia" w:hAnsi="Arial" w:cs="Arial"/>
              <w:i/>
              <w:iCs/>
              <w:sz w:val="20"/>
              <w:lang w:val="en-IE"/>
            </w:rPr>
            <w:t>Coordinate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with</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associated</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services</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for</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policy</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formulation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and</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implementation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in</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4"/>
              <w:sz w:val="20"/>
              <w:lang w:val="en-IE"/>
            </w:rPr>
            <w:t xml:space="preserve"> </w:t>
          </w:r>
          <w:r w:rsidRPr="00850A9B">
            <w:rPr>
              <w:rFonts w:ascii="Arial" w:eastAsiaTheme="minorEastAsia" w:hAnsi="Arial" w:cs="Arial"/>
              <w:i/>
              <w:iCs/>
              <w:sz w:val="20"/>
              <w:lang w:val="en-IE"/>
            </w:rPr>
            <w:t>areas of competence</w:t>
          </w:r>
        </w:p>
        <w:p w14:paraId="309FE11E" w14:textId="77777777" w:rsidR="00850A9B" w:rsidRPr="00850A9B" w:rsidRDefault="00850A9B" w:rsidP="00850A9B">
          <w:pPr>
            <w:widowControl w:val="0"/>
            <w:numPr>
              <w:ilvl w:val="0"/>
              <w:numId w:val="34"/>
            </w:numPr>
            <w:tabs>
              <w:tab w:val="left" w:pos="938"/>
            </w:tabs>
            <w:kinsoku w:val="0"/>
            <w:overflowPunct w:val="0"/>
            <w:autoSpaceDE w:val="0"/>
            <w:autoSpaceDN w:val="0"/>
            <w:adjustRightInd w:val="0"/>
            <w:spacing w:before="2" w:after="0"/>
            <w:ind w:right="1050"/>
            <w:jc w:val="left"/>
            <w:rPr>
              <w:rFonts w:ascii="Arial" w:eastAsiaTheme="minorEastAsia" w:hAnsi="Arial" w:cs="Arial"/>
              <w:i/>
              <w:iCs/>
              <w:spacing w:val="-2"/>
              <w:sz w:val="20"/>
              <w:lang w:val="en-IE"/>
            </w:rPr>
          </w:pPr>
          <w:r w:rsidRPr="00850A9B">
            <w:rPr>
              <w:rFonts w:ascii="Arial" w:eastAsiaTheme="minorEastAsia" w:hAnsi="Arial" w:cs="Arial"/>
              <w:i/>
              <w:iCs/>
              <w:sz w:val="20"/>
              <w:lang w:val="en-IE"/>
            </w:rPr>
            <w:t>Focal</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point</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for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relation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with</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certain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Member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States,</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under</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the</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supervision</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of</w:t>
          </w:r>
          <w:r w:rsidRPr="00850A9B">
            <w:rPr>
              <w:rFonts w:ascii="Arial" w:eastAsiaTheme="minorEastAsia" w:hAnsi="Arial" w:cs="Arial"/>
              <w:i/>
              <w:iCs/>
              <w:spacing w:val="-3"/>
              <w:sz w:val="20"/>
              <w:lang w:val="en-IE"/>
            </w:rPr>
            <w:t xml:space="preserve"> </w:t>
          </w:r>
          <w:r w:rsidRPr="00850A9B">
            <w:rPr>
              <w:rFonts w:ascii="Arial" w:eastAsiaTheme="minorEastAsia" w:hAnsi="Arial" w:cs="Arial"/>
              <w:i/>
              <w:iCs/>
              <w:sz w:val="20"/>
              <w:lang w:val="en-IE"/>
            </w:rPr>
            <w:t xml:space="preserve">an </w:t>
          </w:r>
          <w:r w:rsidRPr="00850A9B">
            <w:rPr>
              <w:rFonts w:ascii="Arial" w:eastAsiaTheme="minorEastAsia" w:hAnsi="Arial" w:cs="Arial"/>
              <w:i/>
              <w:iCs/>
              <w:spacing w:val="-2"/>
              <w:sz w:val="20"/>
              <w:lang w:val="en-IE"/>
            </w:rPr>
            <w:t>administrator</w:t>
          </w:r>
        </w:p>
        <w:p w14:paraId="24368931" w14:textId="151E116A" w:rsidR="00D228E0" w:rsidRPr="00FB5604" w:rsidRDefault="00850A9B" w:rsidP="00C504C7">
          <w:pPr>
            <w:widowControl w:val="0"/>
            <w:numPr>
              <w:ilvl w:val="0"/>
              <w:numId w:val="34"/>
            </w:numPr>
            <w:tabs>
              <w:tab w:val="left" w:pos="937"/>
            </w:tabs>
            <w:kinsoku w:val="0"/>
            <w:overflowPunct w:val="0"/>
            <w:autoSpaceDE w:val="0"/>
            <w:autoSpaceDN w:val="0"/>
            <w:adjustRightInd w:val="0"/>
            <w:spacing w:before="3" w:after="0"/>
            <w:ind w:left="937" w:hanging="399"/>
            <w:jc w:val="left"/>
            <w:rPr>
              <w:lang w:val="en-US" w:eastAsia="en-GB"/>
            </w:rPr>
          </w:pPr>
          <w:r w:rsidRPr="00FB5604">
            <w:rPr>
              <w:rFonts w:ascii="Arial" w:eastAsiaTheme="minorEastAsia" w:hAnsi="Arial" w:cs="Arial"/>
              <w:i/>
              <w:iCs/>
              <w:sz w:val="20"/>
              <w:lang w:val="en-IE"/>
            </w:rPr>
            <w:t xml:space="preserve">Contribute and prepare inputs to briefings and Global Gateway horizontal </w:t>
          </w:r>
          <w:r w:rsidRPr="00FB5604">
            <w:rPr>
              <w:rFonts w:ascii="Arial" w:eastAsiaTheme="minorEastAsia" w:hAnsi="Arial" w:cs="Arial"/>
              <w:i/>
              <w:iCs/>
              <w:spacing w:val="-2"/>
              <w:sz w:val="20"/>
              <w:lang w:val="en-IE"/>
            </w:rPr>
            <w:t>issues.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15464ABE" w14:textId="77777777" w:rsidR="00BA2CAF" w:rsidRPr="00AF7D78" w:rsidRDefault="00BA2CAF" w:rsidP="00BA2CAF">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44AE056F" w14:textId="77777777" w:rsidR="00BA2CAF" w:rsidRPr="00AF7D78" w:rsidRDefault="00BA2CAF" w:rsidP="00BA2CAF">
          <w:pPr>
            <w:tabs>
              <w:tab w:val="left" w:pos="709"/>
            </w:tabs>
            <w:spacing w:after="0"/>
            <w:ind w:left="709" w:right="1317"/>
            <w:rPr>
              <w:lang w:val="en-US" w:eastAsia="en-GB"/>
            </w:rPr>
          </w:pPr>
          <w:r w:rsidRPr="00AF7D78">
            <w:rPr>
              <w:lang w:val="en-US" w:eastAsia="en-GB"/>
            </w:rPr>
            <w:t xml:space="preserve">- university degree or </w:t>
          </w:r>
        </w:p>
        <w:p w14:paraId="631345D2" w14:textId="77777777" w:rsidR="00BA2CAF" w:rsidRPr="00AF7D78" w:rsidRDefault="00BA2CAF" w:rsidP="00BA2CAF">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756A629A" w14:textId="77777777" w:rsidR="00BA2CAF" w:rsidRPr="00AF7D78" w:rsidRDefault="00BA2CAF" w:rsidP="00BA2CAF">
          <w:pPr>
            <w:tabs>
              <w:tab w:val="left" w:pos="709"/>
            </w:tabs>
            <w:spacing w:after="0"/>
            <w:ind w:left="709" w:right="1317"/>
            <w:rPr>
              <w:lang w:val="en-US" w:eastAsia="en-GB"/>
            </w:rPr>
          </w:pPr>
        </w:p>
        <w:p w14:paraId="0D559B92" w14:textId="789DD84D" w:rsidR="00BA2CAF" w:rsidRDefault="00BA2CAF" w:rsidP="00BA2CAF">
          <w:pPr>
            <w:tabs>
              <w:tab w:val="left" w:pos="709"/>
            </w:tabs>
            <w:spacing w:after="0"/>
            <w:ind w:left="709" w:right="60"/>
            <w:rPr>
              <w:lang w:val="en-US" w:eastAsia="en-GB"/>
            </w:rPr>
          </w:pPr>
          <w:r w:rsidRPr="00AF7D78">
            <w:rPr>
              <w:lang w:val="en-US" w:eastAsia="en-GB"/>
            </w:rPr>
            <w:t xml:space="preserve">  in the field(s) :</w:t>
          </w:r>
        </w:p>
        <w:p w14:paraId="5A7FF1EA" w14:textId="054CD445" w:rsidR="00FD7765" w:rsidRPr="00AF7D78" w:rsidRDefault="00FD7765" w:rsidP="00BA2CAF">
          <w:pPr>
            <w:tabs>
              <w:tab w:val="left" w:pos="709"/>
            </w:tabs>
            <w:spacing w:after="0"/>
            <w:ind w:left="709" w:right="60"/>
            <w:rPr>
              <w:lang w:val="en-US" w:eastAsia="en-GB"/>
            </w:rPr>
          </w:pPr>
          <w:r w:rsidRPr="00FD7765">
            <w:rPr>
              <w:lang w:val="en-US" w:eastAsia="en-GB"/>
            </w:rPr>
            <w:t>Economics/EU studies and politics (general), international development and international relations</w:t>
          </w:r>
        </w:p>
        <w:p w14:paraId="67D2A1B2" w14:textId="77777777" w:rsidR="00BA2CAF" w:rsidRPr="00FD7765" w:rsidRDefault="00BA2CAF" w:rsidP="00BA2CAF">
          <w:pPr>
            <w:tabs>
              <w:tab w:val="left" w:pos="709"/>
            </w:tabs>
            <w:spacing w:after="0"/>
            <w:ind w:left="709" w:right="60"/>
            <w:rPr>
              <w:lang w:eastAsia="en-GB"/>
            </w:rPr>
          </w:pPr>
        </w:p>
        <w:p w14:paraId="169209F3" w14:textId="77777777" w:rsidR="00BA2CAF" w:rsidRPr="00AF7D78" w:rsidRDefault="00BA2CAF" w:rsidP="00BA2CAF">
          <w:pPr>
            <w:tabs>
              <w:tab w:val="left" w:pos="709"/>
            </w:tabs>
            <w:spacing w:after="0"/>
            <w:ind w:left="709" w:right="60"/>
            <w:rPr>
              <w:u w:val="single"/>
              <w:lang w:val="en-US" w:eastAsia="en-GB"/>
            </w:rPr>
          </w:pPr>
          <w:r w:rsidRPr="00AF7D78">
            <w:rPr>
              <w:u w:val="single"/>
              <w:lang w:val="en-US" w:eastAsia="en-GB"/>
            </w:rPr>
            <w:t>Professional experience</w:t>
          </w:r>
        </w:p>
        <w:p w14:paraId="7B947269" w14:textId="642D0A77" w:rsidR="00BA2CAF" w:rsidRDefault="00BA2CAF" w:rsidP="00BA2CAF">
          <w:pPr>
            <w:tabs>
              <w:tab w:val="left" w:pos="709"/>
            </w:tabs>
            <w:spacing w:after="0"/>
            <w:ind w:left="709" w:right="60"/>
            <w:rPr>
              <w:u w:val="single"/>
              <w:lang w:val="en-US" w:eastAsia="en-GB"/>
            </w:rPr>
          </w:pPr>
        </w:p>
        <w:p w14:paraId="051CA493" w14:textId="77777777" w:rsidR="00FD7765" w:rsidRDefault="00FD7765" w:rsidP="00BA2CAF">
          <w:pPr>
            <w:tabs>
              <w:tab w:val="left" w:pos="709"/>
            </w:tabs>
            <w:spacing w:after="0"/>
            <w:ind w:left="709" w:right="60"/>
          </w:pPr>
          <w:r w:rsidRPr="00A61375">
            <w:t>Very good knowledge of development policy and in particular of EU policies as well as relevant experience in development co-operation is required, with experience in the field a strong advantage. Experience of contributing to policy and strategy formulation and drafting of briefings and other related documents is essential. A good grasp of international relations and processes would be an asset. The candidate should be able to integrate well into a team handling a number of important initiatives, working closely with senior management, other Commission DGs and the EEAS. The candidate should be prepared to work autonomously, take initiative as required and be able to work well under pressure.</w:t>
          </w:r>
        </w:p>
        <w:p w14:paraId="257142F6" w14:textId="77777777" w:rsidR="00FD7765" w:rsidRDefault="00FD7765" w:rsidP="00BA2CAF">
          <w:pPr>
            <w:tabs>
              <w:tab w:val="left" w:pos="709"/>
            </w:tabs>
            <w:spacing w:after="0"/>
            <w:ind w:left="709" w:right="60"/>
          </w:pPr>
        </w:p>
        <w:p w14:paraId="06C32585" w14:textId="77777777" w:rsidR="00FD7765" w:rsidRPr="00AF7D78" w:rsidRDefault="00FD7765" w:rsidP="00FD7765">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549BB6B9" w14:textId="77777777" w:rsidR="00FD7765" w:rsidRDefault="00FD7765" w:rsidP="00BA2CAF">
          <w:pPr>
            <w:tabs>
              <w:tab w:val="left" w:pos="709"/>
            </w:tabs>
            <w:spacing w:after="0"/>
            <w:ind w:left="709" w:right="60"/>
          </w:pPr>
        </w:p>
        <w:p w14:paraId="51994EDB" w14:textId="27B5DC69" w:rsidR="002E40A9" w:rsidRPr="00AF7D78" w:rsidRDefault="00FD7765" w:rsidP="00FB5604">
          <w:pPr>
            <w:tabs>
              <w:tab w:val="left" w:pos="709"/>
            </w:tabs>
            <w:spacing w:after="0"/>
            <w:ind w:left="709" w:right="60"/>
            <w:rPr>
              <w:lang w:val="en-US" w:eastAsia="en-GB"/>
            </w:rPr>
          </w:pPr>
          <w:r w:rsidRPr="00FD7765">
            <w:t>Excellent command of English (both written and spoken); knowledge of French or other EU official languages would be considered an asset</w:t>
          </w:r>
          <w: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0000402"/>
    <w:multiLevelType w:val="multilevel"/>
    <w:tmpl w:val="FFFFFFFF"/>
    <w:lvl w:ilvl="0">
      <w:numFmt w:val="bullet"/>
      <w:lvlText w:val="•"/>
      <w:lvlJc w:val="left"/>
      <w:pPr>
        <w:ind w:left="938" w:hanging="400"/>
      </w:pPr>
      <w:rPr>
        <w:rFonts w:ascii="Arial" w:hAnsi="Arial"/>
        <w:b w:val="0"/>
        <w:i/>
        <w:spacing w:val="0"/>
        <w:w w:val="100"/>
        <w:sz w:val="20"/>
      </w:rPr>
    </w:lvl>
    <w:lvl w:ilvl="1">
      <w:numFmt w:val="bullet"/>
      <w:lvlText w:val="◦"/>
      <w:lvlJc w:val="left"/>
      <w:pPr>
        <w:ind w:left="1338" w:hanging="400"/>
      </w:pPr>
      <w:rPr>
        <w:rFonts w:ascii="Calibri" w:hAnsi="Calibri"/>
        <w:b w:val="0"/>
        <w:i/>
        <w:spacing w:val="0"/>
        <w:w w:val="282"/>
        <w:position w:val="1"/>
        <w:sz w:val="20"/>
      </w:rPr>
    </w:lvl>
    <w:lvl w:ilvl="2">
      <w:numFmt w:val="bullet"/>
      <w:lvlText w:val="▪"/>
      <w:lvlJc w:val="left"/>
      <w:pPr>
        <w:ind w:left="1738" w:hanging="400"/>
      </w:pPr>
      <w:rPr>
        <w:rFonts w:ascii="Calibri" w:hAnsi="Calibri"/>
        <w:b w:val="0"/>
        <w:i/>
        <w:spacing w:val="0"/>
        <w:w w:val="282"/>
        <w:position w:val="1"/>
        <w:sz w:val="20"/>
      </w:rPr>
    </w:lvl>
    <w:lvl w:ilvl="3">
      <w:numFmt w:val="bullet"/>
      <w:lvlText w:val="•"/>
      <w:lvlJc w:val="left"/>
      <w:pPr>
        <w:ind w:left="2685" w:hanging="400"/>
      </w:pPr>
    </w:lvl>
    <w:lvl w:ilvl="4">
      <w:numFmt w:val="bullet"/>
      <w:lvlText w:val="•"/>
      <w:lvlJc w:val="left"/>
      <w:pPr>
        <w:ind w:left="3631" w:hanging="400"/>
      </w:pPr>
    </w:lvl>
    <w:lvl w:ilvl="5">
      <w:numFmt w:val="bullet"/>
      <w:lvlText w:val="•"/>
      <w:lvlJc w:val="left"/>
      <w:pPr>
        <w:ind w:left="4577" w:hanging="400"/>
      </w:pPr>
    </w:lvl>
    <w:lvl w:ilvl="6">
      <w:numFmt w:val="bullet"/>
      <w:lvlText w:val="•"/>
      <w:lvlJc w:val="left"/>
      <w:pPr>
        <w:ind w:left="5522" w:hanging="400"/>
      </w:pPr>
    </w:lvl>
    <w:lvl w:ilvl="7">
      <w:numFmt w:val="bullet"/>
      <w:lvlText w:val="•"/>
      <w:lvlJc w:val="left"/>
      <w:pPr>
        <w:ind w:left="6468" w:hanging="400"/>
      </w:pPr>
    </w:lvl>
    <w:lvl w:ilvl="8">
      <w:numFmt w:val="bullet"/>
      <w:lvlText w:val="•"/>
      <w:lvlJc w:val="left"/>
      <w:pPr>
        <w:ind w:left="7414" w:hanging="400"/>
      </w:p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606764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76034"/>
    <w:rsid w:val="00510E34"/>
    <w:rsid w:val="005168AD"/>
    <w:rsid w:val="0058240F"/>
    <w:rsid w:val="00592CD5"/>
    <w:rsid w:val="005D1B85"/>
    <w:rsid w:val="00665583"/>
    <w:rsid w:val="00693BC6"/>
    <w:rsid w:val="00696070"/>
    <w:rsid w:val="007E531E"/>
    <w:rsid w:val="007F02AC"/>
    <w:rsid w:val="007F7012"/>
    <w:rsid w:val="00850A9B"/>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A2CAF"/>
    <w:rsid w:val="00C06724"/>
    <w:rsid w:val="00C3254D"/>
    <w:rsid w:val="00C504C7"/>
    <w:rsid w:val="00C75BA4"/>
    <w:rsid w:val="00CB5B61"/>
    <w:rsid w:val="00CD2C5A"/>
    <w:rsid w:val="00D0015C"/>
    <w:rsid w:val="00D03CF4"/>
    <w:rsid w:val="00D12BB0"/>
    <w:rsid w:val="00D228E0"/>
    <w:rsid w:val="00D7090C"/>
    <w:rsid w:val="00D84D53"/>
    <w:rsid w:val="00D96984"/>
    <w:rsid w:val="00DD41ED"/>
    <w:rsid w:val="00DF1E49"/>
    <w:rsid w:val="00E21DBD"/>
    <w:rsid w:val="00E342CB"/>
    <w:rsid w:val="00E41704"/>
    <w:rsid w:val="00E44D7F"/>
    <w:rsid w:val="00E82667"/>
    <w:rsid w:val="00EB3147"/>
    <w:rsid w:val="00F35CBB"/>
    <w:rsid w:val="00F4683D"/>
    <w:rsid w:val="00F6462F"/>
    <w:rsid w:val="00F66FE7"/>
    <w:rsid w:val="00F91B73"/>
    <w:rsid w:val="00F93413"/>
    <w:rsid w:val="00FB5604"/>
    <w:rsid w:val="00FD740F"/>
    <w:rsid w:val="00FD7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FE3FF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D374C1"/>
    <w:rsid w:val="00ED10DB"/>
    <w:rsid w:val="00FE3F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6AE35A-A4C1-488B-8A80-41955AE84979}">
  <ds:schemaRefs>
    <ds:schemaRef ds:uri="a41a97bf-0494-41d8-ba3d-259bd7771890"/>
    <ds:schemaRef ds:uri="http://schemas.microsoft.com/office/infopath/2007/PartnerControls"/>
    <ds:schemaRef ds:uri="http://schemas.microsoft.com/office/2006/documentManagement/types"/>
    <ds:schemaRef ds:uri="http://purl.org/dc/elements/1.1/"/>
    <ds:schemaRef ds:uri="http://www.w3.org/XML/1998/namespace"/>
    <ds:schemaRef ds:uri="1929b814-5a78-4bdc-9841-d8b9ef424f65"/>
    <ds:schemaRef ds:uri="08927195-b699-4be0-9ee2-6c66dc215b5a"/>
    <ds:schemaRef ds:uri="http://schemas.microsoft.com/sharepoint/v3/fields"/>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5</Pages>
  <Words>1363</Words>
  <Characters>7663</Characters>
  <Application>Microsoft Office Word</Application>
  <DocSecurity>0</DocSecurity>
  <PresentationFormat>Microsoft Word 14.0</PresentationFormat>
  <Lines>182</Lines>
  <Paragraphs>82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2023-12-05T13:09:00Z</dcterms:created>
  <dcterms:modified xsi:type="dcterms:W3CDTF">2023-12-05T13:12:00Z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