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92E1D" w:rsidRDefault="00692E1D">
      <w:pPr>
        <w:jc w:val="center"/>
        <w:rPr>
          <w:rFonts w:ascii="Times New Roman" w:eastAsia="Times New Roman" w:hAnsi="Times New Roman" w:cs="Times New Roman"/>
          <w:b/>
        </w:rPr>
      </w:pPr>
    </w:p>
    <w:p w14:paraId="00000002" w14:textId="77777777" w:rsidR="00692E1D" w:rsidRDefault="00692E1D">
      <w:pPr>
        <w:jc w:val="center"/>
        <w:rPr>
          <w:rFonts w:ascii="Times New Roman" w:eastAsia="Times New Roman" w:hAnsi="Times New Roman" w:cs="Times New Roman"/>
          <w:b/>
        </w:rPr>
      </w:pPr>
    </w:p>
    <w:p w14:paraId="00000003" w14:textId="77777777" w:rsidR="00692E1D" w:rsidRDefault="00692E1D">
      <w:pPr>
        <w:jc w:val="center"/>
        <w:rPr>
          <w:rFonts w:ascii="Times New Roman" w:eastAsia="Times New Roman" w:hAnsi="Times New Roman" w:cs="Times New Roman"/>
          <w:b/>
        </w:rPr>
      </w:pPr>
    </w:p>
    <w:p w14:paraId="00000004" w14:textId="77777777" w:rsidR="00692E1D" w:rsidRDefault="00692E1D">
      <w:pPr>
        <w:jc w:val="center"/>
        <w:rPr>
          <w:rFonts w:ascii="Times New Roman" w:eastAsia="Times New Roman" w:hAnsi="Times New Roman" w:cs="Times New Roman"/>
          <w:b/>
        </w:rPr>
      </w:pPr>
    </w:p>
    <w:p w14:paraId="00000005" w14:textId="77777777" w:rsidR="00692E1D" w:rsidRDefault="00692E1D">
      <w:pPr>
        <w:jc w:val="center"/>
        <w:rPr>
          <w:rFonts w:ascii="Times New Roman" w:eastAsia="Times New Roman" w:hAnsi="Times New Roman" w:cs="Times New Roman"/>
          <w:b/>
        </w:rPr>
      </w:pPr>
    </w:p>
    <w:p w14:paraId="00000006" w14:textId="77777777" w:rsidR="00692E1D" w:rsidRDefault="00692E1D">
      <w:pPr>
        <w:jc w:val="center"/>
        <w:rPr>
          <w:rFonts w:ascii="Times New Roman" w:eastAsia="Times New Roman" w:hAnsi="Times New Roman" w:cs="Times New Roman"/>
          <w:b/>
        </w:rPr>
      </w:pPr>
    </w:p>
    <w:p w14:paraId="00000007" w14:textId="77777777" w:rsidR="00692E1D" w:rsidRDefault="009A36CA">
      <w:pPr>
        <w:pBdr>
          <w:top w:val="nil"/>
          <w:left w:val="nil"/>
          <w:bottom w:val="nil"/>
          <w:right w:val="nil"/>
          <w:between w:val="nil"/>
        </w:pBdr>
        <w:spacing w:after="102" w:line="259"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Allegato 3 del Disciplinare di Gara </w:t>
      </w:r>
    </w:p>
    <w:p w14:paraId="00000008" w14:textId="77777777" w:rsidR="00692E1D" w:rsidRDefault="00692E1D">
      <w:pPr>
        <w:pBdr>
          <w:top w:val="nil"/>
          <w:left w:val="nil"/>
          <w:bottom w:val="nil"/>
          <w:right w:val="nil"/>
          <w:between w:val="nil"/>
        </w:pBdr>
        <w:spacing w:after="102" w:line="259" w:lineRule="auto"/>
        <w:jc w:val="center"/>
        <w:rPr>
          <w:rFonts w:ascii="Times New Roman" w:eastAsia="Times New Roman" w:hAnsi="Times New Roman" w:cs="Times New Roman"/>
          <w:b/>
          <w:color w:val="000000"/>
          <w:sz w:val="22"/>
          <w:szCs w:val="22"/>
        </w:rPr>
      </w:pPr>
    </w:p>
    <w:p w14:paraId="00000009" w14:textId="77777777" w:rsidR="00692E1D" w:rsidRDefault="009A36CA">
      <w:pPr>
        <w:pBdr>
          <w:top w:val="nil"/>
          <w:left w:val="nil"/>
          <w:bottom w:val="nil"/>
          <w:right w:val="nil"/>
          <w:between w:val="nil"/>
        </w:pBdr>
        <w:spacing w:after="102" w:line="259"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 SCHEMA DI PRESENTAZIONE DELL’OFFERTA TECNICA</w:t>
      </w:r>
    </w:p>
    <w:p w14:paraId="0000000A" w14:textId="77777777" w:rsidR="00692E1D" w:rsidRDefault="00692E1D">
      <w:pPr>
        <w:pBdr>
          <w:top w:val="nil"/>
          <w:left w:val="nil"/>
          <w:bottom w:val="nil"/>
          <w:right w:val="nil"/>
          <w:between w:val="nil"/>
        </w:pBdr>
        <w:spacing w:after="102" w:line="259" w:lineRule="auto"/>
        <w:jc w:val="center"/>
        <w:rPr>
          <w:rFonts w:ascii="Times New Roman" w:eastAsia="Times New Roman" w:hAnsi="Times New Roman" w:cs="Times New Roman"/>
          <w:b/>
          <w:color w:val="000000"/>
          <w:sz w:val="22"/>
          <w:szCs w:val="22"/>
        </w:rPr>
      </w:pPr>
    </w:p>
    <w:p w14:paraId="0000000B" w14:textId="77777777" w:rsidR="00692E1D" w:rsidRDefault="00692E1D">
      <w:pPr>
        <w:pBdr>
          <w:top w:val="nil"/>
          <w:left w:val="nil"/>
          <w:bottom w:val="nil"/>
          <w:right w:val="nil"/>
          <w:between w:val="nil"/>
        </w:pBdr>
        <w:spacing w:after="102" w:line="259" w:lineRule="auto"/>
        <w:jc w:val="center"/>
        <w:rPr>
          <w:rFonts w:ascii="Times New Roman" w:eastAsia="Times New Roman" w:hAnsi="Times New Roman" w:cs="Times New Roman"/>
          <w:b/>
          <w:color w:val="000000"/>
          <w:sz w:val="22"/>
          <w:szCs w:val="22"/>
        </w:rPr>
      </w:pPr>
    </w:p>
    <w:p w14:paraId="0000000C" w14:textId="77777777" w:rsidR="00692E1D" w:rsidRDefault="009A36CA">
      <w:pPr>
        <w:pBdr>
          <w:top w:val="nil"/>
          <w:left w:val="nil"/>
          <w:bottom w:val="nil"/>
          <w:right w:val="nil"/>
          <w:between w:val="nil"/>
        </w:pBdr>
        <w:spacing w:after="102" w:line="259" w:lineRule="auto"/>
        <w:ind w:left="231" w:hanging="10"/>
        <w:jc w:val="center"/>
        <w:rPr>
          <w:rFonts w:ascii="Times New Roman" w:eastAsia="Times New Roman" w:hAnsi="Times New Roman" w:cs="Times New Roman"/>
          <w:b/>
          <w:color w:val="000000"/>
          <w:sz w:val="30"/>
          <w:szCs w:val="30"/>
        </w:rPr>
      </w:pPr>
      <w:r>
        <w:rPr>
          <w:rFonts w:ascii="Times New Roman" w:eastAsia="Times New Roman" w:hAnsi="Times New Roman" w:cs="Times New Roman"/>
          <w:color w:val="000000"/>
          <w:sz w:val="30"/>
          <w:szCs w:val="30"/>
        </w:rPr>
        <w:t>Procedura aperta per l’affidamento di un contratto pubblico di servizi di ideazione e produzione della campagna pubblicitaria, pianificazione, acquisto e controllo degli spazi media, per l’attuazione del Progetto “Il Turismo delle Radici - Una Strategia In</w:t>
      </w:r>
      <w:r>
        <w:rPr>
          <w:rFonts w:ascii="Times New Roman" w:eastAsia="Times New Roman" w:hAnsi="Times New Roman" w:cs="Times New Roman"/>
          <w:color w:val="000000"/>
          <w:sz w:val="30"/>
          <w:szCs w:val="30"/>
        </w:rPr>
        <w:t>tegrata per la ripresa del settore del Turismo nell’Italia Post Covid-19”, con il criterio dell’offerta economicamente più vantaggiosa, sulla base del miglior rapporto qualità/prezzo</w:t>
      </w:r>
    </w:p>
    <w:p w14:paraId="0000000D" w14:textId="77777777" w:rsidR="00692E1D" w:rsidRDefault="009A36CA">
      <w:pPr>
        <w:pBdr>
          <w:top w:val="nil"/>
          <w:left w:val="nil"/>
          <w:bottom w:val="nil"/>
          <w:right w:val="nil"/>
          <w:between w:val="nil"/>
        </w:pBdr>
        <w:spacing w:after="102" w:line="259" w:lineRule="auto"/>
        <w:jc w:val="center"/>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30"/>
          <w:szCs w:val="30"/>
        </w:rPr>
        <w:t>CUP J51B21005910006</w:t>
      </w:r>
    </w:p>
    <w:p w14:paraId="0000000E" w14:textId="77777777" w:rsidR="00692E1D" w:rsidRPr="00803665" w:rsidRDefault="009A36CA">
      <w:pPr>
        <w:pBdr>
          <w:top w:val="nil"/>
          <w:left w:val="nil"/>
          <w:bottom w:val="nil"/>
          <w:right w:val="nil"/>
          <w:between w:val="nil"/>
        </w:pBdr>
        <w:spacing w:after="102" w:line="259" w:lineRule="auto"/>
        <w:jc w:val="center"/>
        <w:rPr>
          <w:rFonts w:ascii="Times New Roman" w:eastAsia="Times New Roman" w:hAnsi="Times New Roman" w:cs="Times New Roman"/>
          <w:color w:val="000000"/>
          <w:sz w:val="30"/>
          <w:szCs w:val="30"/>
        </w:rPr>
      </w:pPr>
      <w:r w:rsidRPr="00803665">
        <w:rPr>
          <w:rFonts w:ascii="Times New Roman" w:eastAsia="Times New Roman" w:hAnsi="Times New Roman" w:cs="Times New Roman"/>
          <w:color w:val="000000"/>
          <w:sz w:val="30"/>
          <w:szCs w:val="30"/>
        </w:rPr>
        <w:t>CIG A01ED746AE</w:t>
      </w:r>
    </w:p>
    <w:p w14:paraId="0000000F" w14:textId="77777777" w:rsidR="00692E1D" w:rsidRDefault="00692E1D">
      <w:pPr>
        <w:pBdr>
          <w:top w:val="nil"/>
          <w:left w:val="nil"/>
          <w:bottom w:val="nil"/>
          <w:right w:val="nil"/>
          <w:between w:val="nil"/>
        </w:pBdr>
        <w:spacing w:after="102" w:line="259" w:lineRule="auto"/>
        <w:jc w:val="center"/>
        <w:rPr>
          <w:rFonts w:ascii="Times New Roman" w:eastAsia="Times New Roman" w:hAnsi="Times New Roman" w:cs="Times New Roman"/>
          <w:b/>
          <w:color w:val="000000"/>
          <w:sz w:val="22"/>
          <w:szCs w:val="22"/>
        </w:rPr>
      </w:pPr>
    </w:p>
    <w:p w14:paraId="00000010" w14:textId="77777777" w:rsidR="00692E1D" w:rsidRDefault="009A36CA">
      <w:pPr>
        <w:pStyle w:val="Titolo1"/>
        <w:rPr>
          <w:rFonts w:ascii="Times New Roman" w:eastAsia="Times New Roman" w:hAnsi="Times New Roman" w:cs="Times New Roman"/>
        </w:rPr>
      </w:pPr>
      <w:r>
        <w:rPr>
          <w:rFonts w:ascii="Times New Roman" w:eastAsia="Times New Roman" w:hAnsi="Times New Roman" w:cs="Times New Roman"/>
        </w:rPr>
        <w:lastRenderedPageBreak/>
        <w:t>OFFERTA TECNICA</w:t>
      </w:r>
    </w:p>
    <w:p w14:paraId="00000011" w14:textId="77777777" w:rsidR="00692E1D" w:rsidRDefault="009A36CA">
      <w:pPr>
        <w:keepNext/>
        <w:keepLines/>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L’operatore economico dovrà presentare tutta la documentazione di seguito richiesta, firmata digitalmente, come di seguito indicato:</w:t>
      </w:r>
    </w:p>
    <w:p w14:paraId="00000012" w14:textId="77777777" w:rsidR="00692E1D" w:rsidRDefault="009A36CA">
      <w:pPr>
        <w:keepNext/>
        <w:keepLines/>
        <w:widowControl w:val="0"/>
        <w:numPr>
          <w:ilvl w:val="1"/>
          <w:numId w:val="1"/>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caso di operatore economico singolo, dal legale rappresentante dell’operatore economico medesimo;</w:t>
      </w:r>
    </w:p>
    <w:p w14:paraId="00000013" w14:textId="77777777" w:rsidR="00692E1D" w:rsidRDefault="009A36CA">
      <w:pPr>
        <w:keepNext/>
        <w:keepLines/>
        <w:widowControl w:val="0"/>
        <w:numPr>
          <w:ilvl w:val="1"/>
          <w:numId w:val="1"/>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caso di R.T. o cons</w:t>
      </w:r>
      <w:r>
        <w:rPr>
          <w:rFonts w:ascii="Times New Roman" w:eastAsia="Times New Roman" w:hAnsi="Times New Roman" w:cs="Times New Roman"/>
          <w:color w:val="000000"/>
          <w:sz w:val="22"/>
          <w:szCs w:val="22"/>
        </w:rPr>
        <w:t>orzi ordinari o GEIE costituiti, dal legale rappresentante della mandataria/capofila;</w:t>
      </w:r>
    </w:p>
    <w:p w14:paraId="00000014" w14:textId="77777777" w:rsidR="00692E1D" w:rsidRDefault="009A36CA">
      <w:pPr>
        <w:keepNext/>
        <w:keepLines/>
        <w:widowControl w:val="0"/>
        <w:numPr>
          <w:ilvl w:val="1"/>
          <w:numId w:val="1"/>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caso di R.T. o consorzi ordinario GEIE non ancora costituiti, dal legale rappresentante da di ciascun mandante;</w:t>
      </w:r>
    </w:p>
    <w:p w14:paraId="00000015" w14:textId="77777777" w:rsidR="00692E1D" w:rsidRDefault="009A36CA">
      <w:pPr>
        <w:keepNext/>
        <w:keepLines/>
        <w:widowControl w:val="0"/>
        <w:numPr>
          <w:ilvl w:val="1"/>
          <w:numId w:val="1"/>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caso di consorzio di cooperative e imprese artigiane</w:t>
      </w:r>
      <w:r>
        <w:rPr>
          <w:rFonts w:ascii="Times New Roman" w:eastAsia="Times New Roman" w:hAnsi="Times New Roman" w:cs="Times New Roman"/>
          <w:color w:val="000000"/>
          <w:sz w:val="22"/>
          <w:szCs w:val="22"/>
        </w:rPr>
        <w:t xml:space="preserve"> o di consorzio stabile, dal legale rappresentante del consorzio;</w:t>
      </w:r>
    </w:p>
    <w:p w14:paraId="00000016" w14:textId="77777777" w:rsidR="00692E1D" w:rsidRDefault="009A36CA">
      <w:pPr>
        <w:keepNext/>
        <w:keepLines/>
        <w:widowControl w:val="0"/>
        <w:numPr>
          <w:ilvl w:val="1"/>
          <w:numId w:val="1"/>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caso di aggregazione di retisti se la rete è dotata di un organo comune con potere di rappresentanza e soggettività giuridica, dal legale rappresentante del solo operatore economico che r</w:t>
      </w:r>
      <w:r>
        <w:rPr>
          <w:rFonts w:ascii="Times New Roman" w:eastAsia="Times New Roman" w:hAnsi="Times New Roman" w:cs="Times New Roman"/>
          <w:color w:val="000000"/>
          <w:sz w:val="22"/>
          <w:szCs w:val="22"/>
        </w:rPr>
        <w:t xml:space="preserve">iveste la funzione di organo comune dell’organo comune; </w:t>
      </w:r>
    </w:p>
    <w:p w14:paraId="00000017" w14:textId="77777777" w:rsidR="00692E1D" w:rsidRDefault="009A36CA">
      <w:pPr>
        <w:keepNext/>
        <w:keepLines/>
        <w:widowControl w:val="0"/>
        <w:numPr>
          <w:ilvl w:val="1"/>
          <w:numId w:val="1"/>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caso di aggregazione di retisti se la rete è dotata di un organo comune con potere di rappresentanza ma è priva di soggettività giuridica, dal legale rappresentante dell’impresa che riveste le fun</w:t>
      </w:r>
      <w:r>
        <w:rPr>
          <w:rFonts w:ascii="Times New Roman" w:eastAsia="Times New Roman" w:hAnsi="Times New Roman" w:cs="Times New Roman"/>
          <w:color w:val="000000"/>
          <w:sz w:val="22"/>
          <w:szCs w:val="22"/>
        </w:rPr>
        <w:t>zioni di organo comune nonché da ognuno dei retisti che partecipa alla gara;</w:t>
      </w:r>
    </w:p>
    <w:p w14:paraId="00000018" w14:textId="77777777" w:rsidR="00692E1D" w:rsidRDefault="009A36CA">
      <w:pPr>
        <w:keepNext/>
        <w:keepLines/>
        <w:widowControl w:val="0"/>
        <w:numPr>
          <w:ilvl w:val="1"/>
          <w:numId w:val="1"/>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caso di aggregazione di retisti se la rete è dotata di un organo comune privo del potere di rappresentanza o se la rete è sprovvista di organo comune, oppure se l’organo comune</w:t>
      </w:r>
      <w:r>
        <w:rPr>
          <w:rFonts w:ascii="Times New Roman" w:eastAsia="Times New Roman" w:hAnsi="Times New Roman" w:cs="Times New Roman"/>
          <w:color w:val="000000"/>
          <w:sz w:val="22"/>
          <w:szCs w:val="22"/>
        </w:rPr>
        <w:t xml:space="preserve"> è privo dei requisiti di qualificazione richiesti per assumere la veste di mandataria, la domanda di partecipazione deve essere sottoscritta dal retista che riveste la qualifica di mandatario, ovvero, in caso di partecipazione nelle forme del raggruppamen</w:t>
      </w:r>
      <w:r>
        <w:rPr>
          <w:rFonts w:ascii="Times New Roman" w:eastAsia="Times New Roman" w:hAnsi="Times New Roman" w:cs="Times New Roman"/>
          <w:color w:val="000000"/>
          <w:sz w:val="22"/>
          <w:szCs w:val="22"/>
        </w:rPr>
        <w:t>to da costituirsi, da ognuno dei retisti che partecipa alla gara.</w:t>
      </w:r>
    </w:p>
    <w:p w14:paraId="00000019" w14:textId="77777777" w:rsidR="00692E1D" w:rsidRDefault="00692E1D">
      <w:pPr>
        <w:keepNext/>
        <w:keepLines/>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p>
    <w:p w14:paraId="0000001A" w14:textId="77777777" w:rsidR="00692E1D" w:rsidRDefault="009A36CA">
      <w:pPr>
        <w:keepNext/>
        <w:keepLines/>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u w:val="single"/>
        </w:rPr>
        <w:t>Documentazione relativa all’offerta tecnica</w:t>
      </w:r>
    </w:p>
    <w:p w14:paraId="0000001B" w14:textId="77777777" w:rsidR="00692E1D" w:rsidRDefault="009A36CA">
      <w:pPr>
        <w:keepNext/>
        <w:keepLines/>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Come indicato al punto 15 del Disciplinare, a pena di esclusione, la documentazione da inserire nella Busta Tecnica dovrà contenere l’offerta t</w:t>
      </w:r>
      <w:r>
        <w:rPr>
          <w:rFonts w:ascii="Times New Roman" w:eastAsia="Times New Roman" w:hAnsi="Times New Roman" w:cs="Times New Roman"/>
          <w:color w:val="000000"/>
          <w:sz w:val="22"/>
          <w:szCs w:val="22"/>
        </w:rPr>
        <w:t>ecnica.</w:t>
      </w:r>
    </w:p>
    <w:p w14:paraId="0000001C" w14:textId="77777777" w:rsidR="00692E1D" w:rsidRDefault="009A36CA">
      <w:pPr>
        <w:keepNext/>
        <w:keepLines/>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L’offerta tecnica deve rispettare le caratteristiche minime stabilite nel Capitolato tecnico e quanto previsto dal Disciplinare di gara.</w:t>
      </w:r>
    </w:p>
    <w:p w14:paraId="0000001D" w14:textId="77777777" w:rsidR="00692E1D" w:rsidRDefault="009A36CA">
      <w:pPr>
        <w:keepNext/>
        <w:keepLines/>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L’offerta tecnica dovrà essere composta da</w:t>
      </w:r>
      <w:r>
        <w:rPr>
          <w:rFonts w:ascii="Times New Roman" w:eastAsia="Times New Roman" w:hAnsi="Times New Roman" w:cs="Times New Roman"/>
          <w:color w:val="000000"/>
          <w:sz w:val="22"/>
          <w:szCs w:val="22"/>
        </w:rPr>
        <w:t>:</w:t>
      </w:r>
    </w:p>
    <w:p w14:paraId="0000001E" w14:textId="77777777" w:rsidR="00692E1D" w:rsidRDefault="009A36CA">
      <w:pPr>
        <w:keepNext/>
        <w:keepLines/>
        <w:widowControl w:val="0"/>
        <w:numPr>
          <w:ilvl w:val="0"/>
          <w:numId w:val="2"/>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una Relazione tecnica (si suggerisce di presentare un unico documento .pdf</w:t>
      </w:r>
      <w:r>
        <w:rPr>
          <w:rFonts w:ascii="Times New Roman" w:eastAsia="Times New Roman" w:hAnsi="Times New Roman" w:cs="Times New Roman"/>
          <w:color w:val="000000"/>
          <w:sz w:val="22"/>
          <w:szCs w:val="22"/>
          <w:vertAlign w:val="superscript"/>
        </w:rPr>
        <w:footnoteReference w:id="1"/>
      </w:r>
      <w:r>
        <w:rPr>
          <w:rFonts w:ascii="Times New Roman" w:eastAsia="Times New Roman" w:hAnsi="Times New Roman" w:cs="Times New Roman"/>
          <w:color w:val="000000"/>
          <w:sz w:val="22"/>
          <w:szCs w:val="22"/>
        </w:rPr>
        <w:t>), come specificato di seguito, suddivisa in paragrafi, con la quale si illustrano i criteri e sub-criteri di valutazione tecnica indicati nel Disciplinare al punto 17.1 “Criteri di</w:t>
      </w:r>
      <w:r>
        <w:rPr>
          <w:rFonts w:ascii="Times New Roman" w:eastAsia="Times New Roman" w:hAnsi="Times New Roman" w:cs="Times New Roman"/>
          <w:color w:val="000000"/>
          <w:sz w:val="22"/>
          <w:szCs w:val="22"/>
        </w:rPr>
        <w:t xml:space="preserve"> valutazione dell’offerta tecnica”;</w:t>
      </w:r>
    </w:p>
    <w:p w14:paraId="0000001F" w14:textId="77777777" w:rsidR="00692E1D" w:rsidRDefault="009A36CA">
      <w:pPr>
        <w:keepNext/>
        <w:keepLines/>
        <w:widowControl w:val="0"/>
        <w:numPr>
          <w:ilvl w:val="0"/>
          <w:numId w:val="2"/>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una Relazione tecnica oscurata, come previsto dall’articolo 15 del Disciplinare;</w:t>
      </w:r>
    </w:p>
    <w:p w14:paraId="00000020" w14:textId="77777777" w:rsidR="00692E1D" w:rsidRDefault="009A36CA">
      <w:pPr>
        <w:keepNext/>
        <w:keepLines/>
        <w:widowControl w:val="0"/>
        <w:numPr>
          <w:ilvl w:val="0"/>
          <w:numId w:val="2"/>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una dichiarazione a corredo dell’offerta tecnica contenente i dettagli dell’offerta coperti da riservatezza, argomentando in modo congruo l</w:t>
      </w:r>
      <w:r>
        <w:rPr>
          <w:rFonts w:ascii="Times New Roman" w:eastAsia="Times New Roman" w:hAnsi="Times New Roman" w:cs="Times New Roman"/>
          <w:color w:val="000000"/>
          <w:sz w:val="22"/>
          <w:szCs w:val="22"/>
        </w:rPr>
        <w:t>e ragioni per le quali eventuali parti dell’offerta sono da segretare;</w:t>
      </w:r>
    </w:p>
    <w:p w14:paraId="00000021" w14:textId="454985E8" w:rsidR="00692E1D" w:rsidRDefault="009A36CA">
      <w:pPr>
        <w:keepNext/>
        <w:keepLines/>
        <w:widowControl w:val="0"/>
        <w:numPr>
          <w:ilvl w:val="0"/>
          <w:numId w:val="2"/>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i Curricula vitae </w:t>
      </w:r>
      <w:r w:rsidR="00BD3797">
        <w:rPr>
          <w:rFonts w:ascii="Times New Roman" w:eastAsia="Times New Roman" w:hAnsi="Times New Roman" w:cs="Times New Roman"/>
          <w:color w:val="000000"/>
          <w:sz w:val="22"/>
          <w:szCs w:val="22"/>
        </w:rPr>
        <w:t>(</w:t>
      </w:r>
      <w:r w:rsidRPr="00DF3611">
        <w:rPr>
          <w:rFonts w:ascii="Times New Roman" w:eastAsia="Times New Roman" w:hAnsi="Times New Roman" w:cs="Times New Roman"/>
          <w:color w:val="000000"/>
          <w:sz w:val="22"/>
          <w:szCs w:val="22"/>
        </w:rPr>
        <w:t>possibilmente</w:t>
      </w:r>
      <w:r>
        <w:rPr>
          <w:rFonts w:ascii="Times New Roman" w:eastAsia="Times New Roman" w:hAnsi="Times New Roman" w:cs="Times New Roman"/>
          <w:color w:val="000000"/>
          <w:sz w:val="22"/>
          <w:szCs w:val="22"/>
        </w:rPr>
        <w:t xml:space="preserve"> in formato europeo</w:t>
      </w:r>
      <w:r w:rsidR="00BD3797">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di coloro che andranno a comporre il gruppo di lavoro necessario per l’esecuzione delle prestazioni oggetto dell’appalto;</w:t>
      </w:r>
    </w:p>
    <w:p w14:paraId="00000022" w14:textId="77777777" w:rsidR="00692E1D" w:rsidRDefault="009A36CA">
      <w:pPr>
        <w:keepNext/>
        <w:keepLines/>
        <w:widowControl w:val="0"/>
        <w:numPr>
          <w:ilvl w:val="0"/>
          <w:numId w:val="2"/>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Dichiarazione a corredo dell’offerta tecnica, come previsto dall’articolo 15 del Disciplinare.</w:t>
      </w:r>
    </w:p>
    <w:p w14:paraId="00000023" w14:textId="77777777" w:rsidR="00692E1D" w:rsidRDefault="009A36CA">
      <w:pPr>
        <w:keepNext/>
        <w:keepLines/>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Nello specifico, la Relazione tecnica dovrà prevedere 5 PARAGRAFI e relativi sub-paragrafi </w:t>
      </w:r>
      <w:r>
        <w:rPr>
          <w:rFonts w:ascii="Times New Roman" w:eastAsia="Times New Roman" w:hAnsi="Times New Roman" w:cs="Times New Roman"/>
          <w:b/>
          <w:color w:val="000000"/>
          <w:sz w:val="22"/>
          <w:szCs w:val="22"/>
        </w:rPr>
        <w:t>e di lunghezza massima pari a 38 pagine, in formato A4, corpo Arial 11</w:t>
      </w:r>
      <w:r>
        <w:rPr>
          <w:rFonts w:ascii="Times New Roman" w:eastAsia="Times New Roman" w:hAnsi="Times New Roman" w:cs="Times New Roman"/>
          <w:b/>
          <w:color w:val="000000"/>
          <w:sz w:val="22"/>
          <w:szCs w:val="22"/>
        </w:rPr>
        <w:t>, interlinea 1</w:t>
      </w:r>
      <w:r>
        <w:rPr>
          <w:rFonts w:ascii="Times New Roman" w:eastAsia="Times New Roman" w:hAnsi="Times New Roman" w:cs="Times New Roman"/>
          <w:color w:val="000000"/>
          <w:sz w:val="22"/>
          <w:szCs w:val="22"/>
        </w:rPr>
        <w:t>.</w:t>
      </w:r>
    </w:p>
    <w:p w14:paraId="00000024" w14:textId="77777777" w:rsidR="00692E1D" w:rsidRDefault="00692E1D">
      <w:pPr>
        <w:keepNext/>
        <w:keepLines/>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p>
    <w:p w14:paraId="00000025"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Paragrafo 1: Piano Media (massimo 20 pagine)</w:t>
      </w:r>
    </w:p>
    <w:p w14:paraId="00000026"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Il paragrafo 1 è diviso in 4 sottoparagrafi (un sottoparagrafo introduttivo strategico e 2 sottoparagrafi di execution e monitoraggio):</w:t>
      </w:r>
    </w:p>
    <w:p w14:paraId="00000027"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1.1. Targettizzazione della campagna e criteri di priorità</w:t>
      </w:r>
      <w:r>
        <w:rPr>
          <w:rFonts w:ascii="Times New Roman" w:eastAsia="Times New Roman" w:hAnsi="Times New Roman" w:cs="Times New Roman"/>
          <w:b/>
          <w:color w:val="000000"/>
          <w:sz w:val="22"/>
          <w:szCs w:val="22"/>
        </w:rPr>
        <w:t xml:space="preserve"> nella definizione dei media (max 15 punti)</w:t>
      </w:r>
      <w:r>
        <w:rPr>
          <w:rFonts w:ascii="Times New Roman" w:eastAsia="Times New Roman" w:hAnsi="Times New Roman" w:cs="Times New Roman"/>
          <w:color w:val="000000"/>
          <w:sz w:val="22"/>
          <w:szCs w:val="22"/>
        </w:rPr>
        <w:t>:</w:t>
      </w:r>
    </w:p>
    <w:p w14:paraId="00000028" w14:textId="6104B8E3" w:rsidR="00692E1D" w:rsidRDefault="009A36CA">
      <w:pPr>
        <w:widowControl w:val="0"/>
        <w:numPr>
          <w:ilvl w:val="0"/>
          <w:numId w:val="3"/>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L’analisi dei target</w:t>
      </w:r>
      <w:r>
        <w:rPr>
          <w:rFonts w:ascii="Times New Roman" w:eastAsia="Times New Roman" w:hAnsi="Times New Roman" w:cs="Times New Roman"/>
          <w:color w:val="000000"/>
          <w:sz w:val="22"/>
          <w:szCs w:val="22"/>
        </w:rPr>
        <w:t xml:space="preserve"> del progetto TdR (in ordine di priorità secondo quanto indicato </w:t>
      </w:r>
      <w:r>
        <w:rPr>
          <w:rFonts w:ascii="Times New Roman" w:eastAsia="Times New Roman" w:hAnsi="Times New Roman" w:cs="Times New Roman"/>
          <w:color w:val="000000"/>
          <w:sz w:val="22"/>
          <w:szCs w:val="22"/>
        </w:rPr>
        <w:t xml:space="preserve">al par. 3.3 del </w:t>
      </w:r>
      <w:r w:rsidR="00803665">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2"/>
          <w:szCs w:val="22"/>
        </w:rPr>
        <w:t xml:space="preserve">apitolato tecnico) presentando i </w:t>
      </w:r>
      <w:r>
        <w:rPr>
          <w:rFonts w:ascii="Times New Roman" w:eastAsia="Times New Roman" w:hAnsi="Times New Roman" w:cs="Times New Roman"/>
          <w:b/>
          <w:color w:val="000000"/>
          <w:sz w:val="22"/>
          <w:szCs w:val="22"/>
        </w:rPr>
        <w:t>media più idonei</w:t>
      </w:r>
      <w:r>
        <w:rPr>
          <w:rFonts w:ascii="Times New Roman" w:eastAsia="Times New Roman" w:hAnsi="Times New Roman" w:cs="Times New Roman"/>
          <w:color w:val="000000"/>
          <w:sz w:val="22"/>
          <w:szCs w:val="22"/>
        </w:rPr>
        <w:t xml:space="preserve"> a raggiungerli e indicando nello specifico i </w:t>
      </w:r>
      <w:r>
        <w:rPr>
          <w:rFonts w:ascii="Times New Roman" w:eastAsia="Times New Roman" w:hAnsi="Times New Roman" w:cs="Times New Roman"/>
          <w:b/>
          <w:color w:val="000000"/>
          <w:sz w:val="22"/>
          <w:szCs w:val="22"/>
        </w:rPr>
        <w:t>parametri di segmentazione</w:t>
      </w:r>
      <w:r>
        <w:rPr>
          <w:rFonts w:ascii="Times New Roman" w:eastAsia="Times New Roman" w:hAnsi="Times New Roman" w:cs="Times New Roman"/>
          <w:color w:val="000000"/>
          <w:sz w:val="22"/>
          <w:szCs w:val="22"/>
        </w:rPr>
        <w:t xml:space="preserve"> che verranno utilizzati per la pianificazione, con stima delle quantità e della copertura, e di tutti gli altri KPIs di efficacia ed efficienza che si vorranno indicare.</w:t>
      </w:r>
    </w:p>
    <w:p w14:paraId="00000029"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 Strategi</w:t>
      </w:r>
      <w:r>
        <w:rPr>
          <w:rFonts w:ascii="Times New Roman" w:eastAsia="Times New Roman" w:hAnsi="Times New Roman" w:cs="Times New Roman"/>
          <w:b/>
          <w:color w:val="000000"/>
          <w:sz w:val="22"/>
          <w:szCs w:val="22"/>
        </w:rPr>
        <w:t>a media (max 10 punti)</w:t>
      </w:r>
      <w:r>
        <w:rPr>
          <w:rFonts w:ascii="Times New Roman" w:eastAsia="Times New Roman" w:hAnsi="Times New Roman" w:cs="Times New Roman"/>
          <w:color w:val="000000"/>
          <w:sz w:val="22"/>
          <w:szCs w:val="22"/>
        </w:rPr>
        <w:t>:</w:t>
      </w:r>
    </w:p>
    <w:p w14:paraId="0000002A" w14:textId="77777777" w:rsidR="00692E1D" w:rsidRDefault="009A36CA">
      <w:pPr>
        <w:widowControl w:val="0"/>
        <w:numPr>
          <w:ilvl w:val="0"/>
          <w:numId w:val="3"/>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La strategia media</w:t>
      </w:r>
      <w:r>
        <w:rPr>
          <w:rFonts w:ascii="Times New Roman" w:eastAsia="Times New Roman" w:hAnsi="Times New Roman" w:cs="Times New Roman"/>
          <w:color w:val="000000"/>
          <w:sz w:val="22"/>
          <w:szCs w:val="22"/>
        </w:rPr>
        <w:t xml:space="preserve"> che tenga conto dell’analisi dei target e del budget disponibile, con l’indicazione degli </w:t>
      </w:r>
      <w:r>
        <w:rPr>
          <w:rFonts w:ascii="Times New Roman" w:eastAsia="Times New Roman" w:hAnsi="Times New Roman" w:cs="Times New Roman"/>
          <w:b/>
          <w:color w:val="000000"/>
          <w:sz w:val="22"/>
          <w:szCs w:val="22"/>
        </w:rPr>
        <w:t>obiettivi di comunicazione</w:t>
      </w:r>
      <w:r>
        <w:rPr>
          <w:rFonts w:ascii="Times New Roman" w:eastAsia="Times New Roman" w:hAnsi="Times New Roman" w:cs="Times New Roman"/>
          <w:color w:val="000000"/>
          <w:sz w:val="22"/>
          <w:szCs w:val="22"/>
        </w:rPr>
        <w:t xml:space="preserve"> che si intendono raggiungere, il </w:t>
      </w:r>
      <w:r>
        <w:rPr>
          <w:rFonts w:ascii="Times New Roman" w:eastAsia="Times New Roman" w:hAnsi="Times New Roman" w:cs="Times New Roman"/>
          <w:b/>
          <w:color w:val="000000"/>
          <w:sz w:val="22"/>
          <w:szCs w:val="22"/>
        </w:rPr>
        <w:t>mix dei media</w:t>
      </w:r>
      <w:r>
        <w:rPr>
          <w:rFonts w:ascii="Times New Roman" w:eastAsia="Times New Roman" w:hAnsi="Times New Roman" w:cs="Times New Roman"/>
          <w:color w:val="000000"/>
          <w:sz w:val="22"/>
          <w:szCs w:val="22"/>
        </w:rPr>
        <w:t xml:space="preserve"> scelti e la stima dei </w:t>
      </w:r>
      <w:r>
        <w:rPr>
          <w:rFonts w:ascii="Times New Roman" w:eastAsia="Times New Roman" w:hAnsi="Times New Roman" w:cs="Times New Roman"/>
          <w:b/>
          <w:color w:val="000000"/>
          <w:sz w:val="22"/>
          <w:szCs w:val="22"/>
        </w:rPr>
        <w:t xml:space="preserve">risultati di copertura </w:t>
      </w:r>
      <w:r>
        <w:rPr>
          <w:rFonts w:ascii="Times New Roman" w:eastAsia="Times New Roman" w:hAnsi="Times New Roman" w:cs="Times New Roman"/>
          <w:color w:val="000000"/>
          <w:sz w:val="22"/>
          <w:szCs w:val="22"/>
        </w:rPr>
        <w:t xml:space="preserve">e tutti gli altri </w:t>
      </w:r>
      <w:r>
        <w:rPr>
          <w:rFonts w:ascii="Times New Roman" w:eastAsia="Times New Roman" w:hAnsi="Times New Roman" w:cs="Times New Roman"/>
          <w:b/>
          <w:color w:val="000000"/>
          <w:sz w:val="22"/>
          <w:szCs w:val="22"/>
        </w:rPr>
        <w:t>KPIs</w:t>
      </w:r>
      <w:r>
        <w:rPr>
          <w:rFonts w:ascii="Times New Roman" w:eastAsia="Times New Roman" w:hAnsi="Times New Roman" w:cs="Times New Roman"/>
          <w:color w:val="000000"/>
          <w:sz w:val="22"/>
          <w:szCs w:val="22"/>
        </w:rPr>
        <w:t xml:space="preserve"> che spieghino perché tali media, veicoli e formati sono i più efficaci ed efficienti a raggiungere gli obiettivi del progetto. Le fonti dei dati devono provenire da terze parti ed essere certificate a livello internazionale. </w:t>
      </w:r>
    </w:p>
    <w:p w14:paraId="0000002B"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1.3. Pi</w:t>
      </w:r>
      <w:r>
        <w:rPr>
          <w:rFonts w:ascii="Times New Roman" w:eastAsia="Times New Roman" w:hAnsi="Times New Roman" w:cs="Times New Roman"/>
          <w:b/>
          <w:color w:val="000000"/>
          <w:sz w:val="22"/>
          <w:szCs w:val="22"/>
        </w:rPr>
        <w:t>ano media con KPIs (max 15 punti)</w:t>
      </w:r>
      <w:r>
        <w:rPr>
          <w:rFonts w:ascii="Times New Roman" w:eastAsia="Times New Roman" w:hAnsi="Times New Roman" w:cs="Times New Roman"/>
          <w:color w:val="000000"/>
          <w:sz w:val="22"/>
          <w:szCs w:val="22"/>
        </w:rPr>
        <w:t>:</w:t>
      </w:r>
    </w:p>
    <w:p w14:paraId="0000002C" w14:textId="77777777" w:rsidR="00692E1D" w:rsidRDefault="009A36CA">
      <w:pPr>
        <w:widowControl w:val="0"/>
        <w:numPr>
          <w:ilvl w:val="0"/>
          <w:numId w:val="3"/>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w:t>
      </w:r>
      <w:r>
        <w:rPr>
          <w:rFonts w:ascii="Times New Roman" w:eastAsia="Times New Roman" w:hAnsi="Times New Roman" w:cs="Times New Roman"/>
          <w:b/>
          <w:color w:val="000000"/>
          <w:sz w:val="22"/>
          <w:szCs w:val="22"/>
        </w:rPr>
        <w:t>Piano media</w:t>
      </w:r>
      <w:r>
        <w:rPr>
          <w:rFonts w:ascii="Times New Roman" w:eastAsia="Times New Roman" w:hAnsi="Times New Roman" w:cs="Times New Roman"/>
          <w:color w:val="000000"/>
          <w:sz w:val="22"/>
          <w:szCs w:val="22"/>
        </w:rPr>
        <w:t xml:space="preserve"> presenterà nel dettaglio il </w:t>
      </w:r>
      <w:r>
        <w:rPr>
          <w:rFonts w:ascii="Times New Roman" w:eastAsia="Times New Roman" w:hAnsi="Times New Roman" w:cs="Times New Roman"/>
          <w:b/>
          <w:color w:val="000000"/>
          <w:sz w:val="22"/>
          <w:szCs w:val="22"/>
        </w:rPr>
        <w:t>mix dei media, veicoli e formati</w:t>
      </w:r>
      <w:r>
        <w:rPr>
          <w:rFonts w:ascii="Times New Roman" w:eastAsia="Times New Roman" w:hAnsi="Times New Roman" w:cs="Times New Roman"/>
          <w:color w:val="000000"/>
          <w:sz w:val="22"/>
          <w:szCs w:val="22"/>
        </w:rPr>
        <w:t xml:space="preserve"> scelti e la stima dei </w:t>
      </w:r>
      <w:r>
        <w:rPr>
          <w:rFonts w:ascii="Times New Roman" w:eastAsia="Times New Roman" w:hAnsi="Times New Roman" w:cs="Times New Roman"/>
          <w:b/>
          <w:color w:val="000000"/>
          <w:sz w:val="22"/>
          <w:szCs w:val="22"/>
        </w:rPr>
        <w:t>risultati di copertura e frequenza</w:t>
      </w:r>
      <w:r>
        <w:rPr>
          <w:rFonts w:ascii="Times New Roman" w:eastAsia="Times New Roman" w:hAnsi="Times New Roman" w:cs="Times New Roman"/>
          <w:color w:val="000000"/>
          <w:sz w:val="22"/>
          <w:szCs w:val="22"/>
        </w:rPr>
        <w:t xml:space="preserve">, e tutti gli altri </w:t>
      </w:r>
      <w:r>
        <w:rPr>
          <w:rFonts w:ascii="Times New Roman" w:eastAsia="Times New Roman" w:hAnsi="Times New Roman" w:cs="Times New Roman"/>
          <w:b/>
          <w:color w:val="000000"/>
          <w:sz w:val="22"/>
          <w:szCs w:val="22"/>
        </w:rPr>
        <w:t>KPIs di efficacia e di efficienza della campagna</w:t>
      </w:r>
      <w:r>
        <w:rPr>
          <w:rFonts w:ascii="Times New Roman" w:eastAsia="Times New Roman" w:hAnsi="Times New Roman" w:cs="Times New Roman"/>
          <w:color w:val="000000"/>
          <w:sz w:val="22"/>
          <w:szCs w:val="22"/>
        </w:rPr>
        <w:t>. Si dovranno motivar</w:t>
      </w:r>
      <w:r>
        <w:rPr>
          <w:rFonts w:ascii="Times New Roman" w:eastAsia="Times New Roman" w:hAnsi="Times New Roman" w:cs="Times New Roman"/>
          <w:color w:val="000000"/>
          <w:sz w:val="22"/>
          <w:szCs w:val="22"/>
        </w:rPr>
        <w:t xml:space="preserve">e in dettaglio la strategia dei </w:t>
      </w:r>
      <w:r>
        <w:rPr>
          <w:rFonts w:ascii="Times New Roman" w:eastAsia="Times New Roman" w:hAnsi="Times New Roman" w:cs="Times New Roman"/>
          <w:b/>
          <w:color w:val="000000"/>
          <w:sz w:val="22"/>
          <w:szCs w:val="22"/>
        </w:rPr>
        <w:t>formati</w:t>
      </w:r>
      <w:r>
        <w:rPr>
          <w:rFonts w:ascii="Times New Roman" w:eastAsia="Times New Roman" w:hAnsi="Times New Roman" w:cs="Times New Roman"/>
          <w:color w:val="000000"/>
          <w:sz w:val="22"/>
          <w:szCs w:val="22"/>
        </w:rPr>
        <w:t xml:space="preserve"> utilizzati, spiegandone il motivo della scelta, e la strategia della </w:t>
      </w:r>
      <w:r>
        <w:rPr>
          <w:rFonts w:ascii="Times New Roman" w:eastAsia="Times New Roman" w:hAnsi="Times New Roman" w:cs="Times New Roman"/>
          <w:b/>
          <w:color w:val="000000"/>
          <w:sz w:val="22"/>
          <w:szCs w:val="22"/>
        </w:rPr>
        <w:t>frequenza</w:t>
      </w:r>
      <w:r>
        <w:rPr>
          <w:rFonts w:ascii="Times New Roman" w:eastAsia="Times New Roman" w:hAnsi="Times New Roman" w:cs="Times New Roman"/>
          <w:color w:val="000000"/>
          <w:sz w:val="22"/>
          <w:szCs w:val="22"/>
        </w:rPr>
        <w:t xml:space="preserve">, per ottimizzare il ricordo della campagna. Il piano inoltre dovrà prevedere un </w:t>
      </w:r>
      <w:r>
        <w:rPr>
          <w:rFonts w:ascii="Times New Roman" w:eastAsia="Times New Roman" w:hAnsi="Times New Roman" w:cs="Times New Roman"/>
          <w:b/>
          <w:color w:val="000000"/>
          <w:sz w:val="22"/>
          <w:szCs w:val="22"/>
        </w:rPr>
        <w:t>calendario</w:t>
      </w:r>
      <w:r>
        <w:rPr>
          <w:rFonts w:ascii="Times New Roman" w:eastAsia="Times New Roman" w:hAnsi="Times New Roman" w:cs="Times New Roman"/>
          <w:color w:val="000000"/>
          <w:sz w:val="22"/>
          <w:szCs w:val="22"/>
        </w:rPr>
        <w:t xml:space="preserve"> indicativo delle uscite. Le fonti dei dati dev</w:t>
      </w:r>
      <w:r>
        <w:rPr>
          <w:rFonts w:ascii="Times New Roman" w:eastAsia="Times New Roman" w:hAnsi="Times New Roman" w:cs="Times New Roman"/>
          <w:color w:val="000000"/>
          <w:sz w:val="22"/>
          <w:szCs w:val="22"/>
        </w:rPr>
        <w:t xml:space="preserve">ono provenire da terze parti ed essere certificate a livello internazionale. </w:t>
      </w:r>
    </w:p>
    <w:p w14:paraId="0000002D"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1.4. Misurazione dei risultati della campagna (max 5 punti)</w:t>
      </w:r>
      <w:r>
        <w:rPr>
          <w:rFonts w:ascii="Times New Roman" w:eastAsia="Times New Roman" w:hAnsi="Times New Roman" w:cs="Times New Roman"/>
          <w:color w:val="000000"/>
          <w:sz w:val="22"/>
          <w:szCs w:val="22"/>
        </w:rPr>
        <w:t>:</w:t>
      </w:r>
    </w:p>
    <w:p w14:paraId="0000002F" w14:textId="3D3B3501" w:rsidR="00692E1D" w:rsidRPr="00DF3611" w:rsidRDefault="009A36CA" w:rsidP="00DF3611">
      <w:pPr>
        <w:widowControl w:val="0"/>
        <w:numPr>
          <w:ilvl w:val="0"/>
          <w:numId w:val="3"/>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Proposta delle modalità di misurazione dei risultati della </w:t>
      </w:r>
      <w:r w:rsidRPr="00803665">
        <w:rPr>
          <w:rFonts w:ascii="Times New Roman" w:eastAsia="Times New Roman" w:hAnsi="Times New Roman" w:cs="Times New Roman"/>
          <w:color w:val="000000"/>
          <w:sz w:val="22"/>
          <w:szCs w:val="22"/>
        </w:rPr>
        <w:t>campag</w:t>
      </w:r>
      <w:r w:rsidRPr="00803665">
        <w:rPr>
          <w:rFonts w:ascii="Times New Roman" w:eastAsia="Times New Roman" w:hAnsi="Times New Roman" w:cs="Times New Roman"/>
          <w:color w:val="000000"/>
          <w:sz w:val="22"/>
          <w:szCs w:val="22"/>
        </w:rPr>
        <w:t>na</w:t>
      </w:r>
      <w:r w:rsidRPr="00803665">
        <w:rPr>
          <w:rFonts w:ascii="Times New Roman" w:eastAsia="Times New Roman" w:hAnsi="Times New Roman" w:cs="Times New Roman"/>
          <w:sz w:val="22"/>
          <w:szCs w:val="22"/>
        </w:rPr>
        <w:t>, s</w:t>
      </w:r>
      <w:r w:rsidRPr="00803665">
        <w:rPr>
          <w:rFonts w:ascii="Times New Roman" w:eastAsia="Times New Roman" w:hAnsi="Times New Roman" w:cs="Times New Roman"/>
          <w:color w:val="000000"/>
          <w:sz w:val="22"/>
          <w:szCs w:val="22"/>
        </w:rPr>
        <w:t>ia p</w:t>
      </w:r>
      <w:r w:rsidRPr="00803665">
        <w:rPr>
          <w:rFonts w:ascii="Times New Roman" w:eastAsia="Times New Roman" w:hAnsi="Times New Roman" w:cs="Times New Roman"/>
          <w:color w:val="000000"/>
          <w:sz w:val="22"/>
          <w:szCs w:val="22"/>
        </w:rPr>
        <w:t>er</w:t>
      </w:r>
      <w:r>
        <w:rPr>
          <w:rFonts w:ascii="Times New Roman" w:eastAsia="Times New Roman" w:hAnsi="Times New Roman" w:cs="Times New Roman"/>
          <w:color w:val="000000"/>
          <w:sz w:val="22"/>
          <w:szCs w:val="22"/>
        </w:rPr>
        <w:t xml:space="preserve"> quanto riguarda i KPI di raggiungimento </w:t>
      </w:r>
      <w:r>
        <w:rPr>
          <w:rFonts w:ascii="Times New Roman" w:eastAsia="Times New Roman" w:hAnsi="Times New Roman" w:cs="Times New Roman"/>
          <w:color w:val="000000"/>
          <w:sz w:val="22"/>
          <w:szCs w:val="22"/>
        </w:rPr>
        <w:t>del target e di performance delle campagne (es. GRP’s, contatti, visualizzazioni, click, atterraggi, lead, conversioni, ecc.); sia per quanto riguarda la misurazione dei risultati cognitivi o affettivi della campagna (ricordo, immagine del progetto, ecc.).</w:t>
      </w:r>
      <w:r>
        <w:rPr>
          <w:rFonts w:ascii="Times New Roman" w:eastAsia="Times New Roman" w:hAnsi="Times New Roman" w:cs="Times New Roman"/>
          <w:color w:val="000000"/>
          <w:sz w:val="22"/>
          <w:szCs w:val="22"/>
        </w:rPr>
        <w:t xml:space="preserve"> Le fonti </w:t>
      </w:r>
      <w:r>
        <w:rPr>
          <w:rFonts w:ascii="Times New Roman" w:eastAsia="Times New Roman" w:hAnsi="Times New Roman" w:cs="Times New Roman"/>
          <w:color w:val="000000"/>
          <w:sz w:val="22"/>
          <w:szCs w:val="22"/>
        </w:rPr>
        <w:lastRenderedPageBreak/>
        <w:t xml:space="preserve">dei dati devono provenire da terze parti ed essere certificate a livello internazionale. </w:t>
      </w:r>
    </w:p>
    <w:p w14:paraId="00000030" w14:textId="77777777" w:rsidR="00692E1D" w:rsidRDefault="00692E1D">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p>
    <w:p w14:paraId="00000031"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Paragrafo 2: Creatività (massimo 10 pagine)</w:t>
      </w:r>
    </w:p>
    <w:p w14:paraId="00000032"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Il paragrafo 2 è diviso in 4 sottoparagrafi</w:t>
      </w:r>
    </w:p>
    <w:p w14:paraId="00000033"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2.1 Chiarezza, completezza, qualità e rispondenza della strategia creativa elaborata (massimo 8 punti): </w:t>
      </w:r>
    </w:p>
    <w:p w14:paraId="00000034" w14:textId="77777777" w:rsidR="00692E1D" w:rsidRDefault="009A36CA">
      <w:pPr>
        <w:widowControl w:val="0"/>
        <w:numPr>
          <w:ilvl w:val="0"/>
          <w:numId w:val="5"/>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Si richiede di descrivere la </w:t>
      </w:r>
      <w:r>
        <w:rPr>
          <w:rFonts w:ascii="Times New Roman" w:eastAsia="Times New Roman" w:hAnsi="Times New Roman" w:cs="Times New Roman"/>
          <w:b/>
          <w:color w:val="000000"/>
          <w:sz w:val="22"/>
          <w:szCs w:val="22"/>
        </w:rPr>
        <w:t>strategia comunicativa</w:t>
      </w:r>
      <w:r>
        <w:rPr>
          <w:rFonts w:ascii="Times New Roman" w:eastAsia="Times New Roman" w:hAnsi="Times New Roman" w:cs="Times New Roman"/>
          <w:color w:val="000000"/>
          <w:sz w:val="22"/>
          <w:szCs w:val="22"/>
        </w:rPr>
        <w:t xml:space="preserve"> proposta con particolare riferimento alla coerenza con il piano media proposto e gli obiettivi di c</w:t>
      </w:r>
      <w:r>
        <w:rPr>
          <w:rFonts w:ascii="Times New Roman" w:eastAsia="Times New Roman" w:hAnsi="Times New Roman" w:cs="Times New Roman"/>
          <w:color w:val="000000"/>
          <w:sz w:val="22"/>
          <w:szCs w:val="22"/>
        </w:rPr>
        <w:t>omunicazione descritti nel capitolato, motivando la priorità di intervento per segmento di target.</w:t>
      </w:r>
    </w:p>
    <w:p w14:paraId="00000035"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2.2 Incisività del messaggio (</w:t>
      </w:r>
      <w:r w:rsidRPr="00803665">
        <w:rPr>
          <w:rFonts w:ascii="Times New Roman" w:eastAsia="Times New Roman" w:hAnsi="Times New Roman" w:cs="Times New Roman"/>
          <w:b/>
          <w:color w:val="000000"/>
          <w:sz w:val="22"/>
          <w:szCs w:val="22"/>
        </w:rPr>
        <w:t xml:space="preserve">massimo </w:t>
      </w:r>
      <w:r w:rsidRPr="00803665">
        <w:rPr>
          <w:rFonts w:ascii="Times New Roman" w:eastAsia="Times New Roman" w:hAnsi="Times New Roman" w:cs="Times New Roman"/>
          <w:b/>
          <w:sz w:val="22"/>
          <w:szCs w:val="22"/>
        </w:rPr>
        <w:t>8</w:t>
      </w:r>
      <w:r w:rsidRPr="00803665">
        <w:rPr>
          <w:rFonts w:ascii="Times New Roman" w:eastAsia="Times New Roman" w:hAnsi="Times New Roman" w:cs="Times New Roman"/>
          <w:b/>
          <w:color w:val="000000"/>
          <w:sz w:val="22"/>
          <w:szCs w:val="22"/>
        </w:rPr>
        <w:t xml:space="preserve"> punti</w:t>
      </w:r>
      <w:r>
        <w:rPr>
          <w:rFonts w:ascii="Times New Roman" w:eastAsia="Times New Roman" w:hAnsi="Times New Roman" w:cs="Times New Roman"/>
          <w:b/>
          <w:color w:val="000000"/>
          <w:sz w:val="22"/>
          <w:szCs w:val="22"/>
        </w:rPr>
        <w:t xml:space="preserve">): </w:t>
      </w:r>
    </w:p>
    <w:p w14:paraId="00000036" w14:textId="77777777" w:rsidR="00692E1D" w:rsidRDefault="009A36CA">
      <w:pPr>
        <w:widowControl w:val="0"/>
        <w:numPr>
          <w:ilvl w:val="0"/>
          <w:numId w:val="5"/>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Si richiede di rappresentare il </w:t>
      </w:r>
      <w:r>
        <w:rPr>
          <w:rFonts w:ascii="Times New Roman" w:eastAsia="Times New Roman" w:hAnsi="Times New Roman" w:cs="Times New Roman"/>
          <w:b/>
          <w:color w:val="000000"/>
          <w:sz w:val="22"/>
          <w:szCs w:val="22"/>
        </w:rPr>
        <w:t>messaggio chiave della campagna</w:t>
      </w:r>
      <w:r>
        <w:rPr>
          <w:rFonts w:ascii="Times New Roman" w:eastAsia="Times New Roman" w:hAnsi="Times New Roman" w:cs="Times New Roman"/>
          <w:color w:val="000000"/>
          <w:sz w:val="22"/>
          <w:szCs w:val="22"/>
        </w:rPr>
        <w:t xml:space="preserve"> di comunicazione, tenendo conto delle linee </w:t>
      </w:r>
      <w:r>
        <w:rPr>
          <w:rFonts w:ascii="Times New Roman" w:eastAsia="Times New Roman" w:hAnsi="Times New Roman" w:cs="Times New Roman"/>
          <w:color w:val="000000"/>
          <w:sz w:val="22"/>
          <w:szCs w:val="22"/>
        </w:rPr>
        <w:t>guida dell’identity del progetto fornite dal MAECI, evidenziando il motivo dell'efficacia della soluzione proposta in termini di originalità, distintività, interpretazione del consumer insight, rilevanza e impatto desiderato.</w:t>
      </w:r>
    </w:p>
    <w:p w14:paraId="00000037" w14:textId="48103F5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 Coerenza e flessibilità co</w:t>
      </w:r>
      <w:r>
        <w:rPr>
          <w:rFonts w:ascii="Times New Roman" w:eastAsia="Times New Roman" w:hAnsi="Times New Roman" w:cs="Times New Roman"/>
          <w:b/>
          <w:color w:val="000000"/>
          <w:sz w:val="22"/>
          <w:szCs w:val="22"/>
        </w:rPr>
        <w:t>municativa con le priorità di target e del media plan (</w:t>
      </w:r>
      <w:r w:rsidRPr="00803665">
        <w:rPr>
          <w:rFonts w:ascii="Times New Roman" w:eastAsia="Times New Roman" w:hAnsi="Times New Roman" w:cs="Times New Roman"/>
          <w:b/>
          <w:color w:val="000000"/>
          <w:sz w:val="22"/>
          <w:szCs w:val="22"/>
        </w:rPr>
        <w:t xml:space="preserve">massimo </w:t>
      </w:r>
      <w:r w:rsidR="006937CE">
        <w:rPr>
          <w:rFonts w:ascii="Times New Roman" w:eastAsia="Times New Roman" w:hAnsi="Times New Roman" w:cs="Times New Roman"/>
          <w:b/>
          <w:color w:val="000000"/>
          <w:sz w:val="22"/>
          <w:szCs w:val="22"/>
        </w:rPr>
        <w:t>6</w:t>
      </w:r>
      <w:r w:rsidRPr="00803665">
        <w:rPr>
          <w:rFonts w:ascii="Times New Roman" w:eastAsia="Times New Roman" w:hAnsi="Times New Roman" w:cs="Times New Roman"/>
          <w:b/>
          <w:color w:val="000000"/>
          <w:sz w:val="22"/>
          <w:szCs w:val="22"/>
        </w:rPr>
        <w:t xml:space="preserve"> punti):</w:t>
      </w:r>
      <w:r>
        <w:rPr>
          <w:rFonts w:ascii="Times New Roman" w:eastAsia="Times New Roman" w:hAnsi="Times New Roman" w:cs="Times New Roman"/>
          <w:b/>
          <w:color w:val="000000"/>
          <w:sz w:val="22"/>
          <w:szCs w:val="22"/>
        </w:rPr>
        <w:t xml:space="preserve"> </w:t>
      </w:r>
    </w:p>
    <w:p w14:paraId="00000038" w14:textId="77777777" w:rsidR="00692E1D" w:rsidRDefault="009A36CA">
      <w:pPr>
        <w:widowControl w:val="0"/>
        <w:numPr>
          <w:ilvl w:val="0"/>
          <w:numId w:val="5"/>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Si richiede di </w:t>
      </w:r>
      <w:r>
        <w:rPr>
          <w:rFonts w:ascii="Times New Roman" w:eastAsia="Times New Roman" w:hAnsi="Times New Roman" w:cs="Times New Roman"/>
          <w:b/>
          <w:color w:val="000000"/>
          <w:sz w:val="22"/>
          <w:szCs w:val="22"/>
        </w:rPr>
        <w:t>descrivere gli elementi di coerenza della creatività con i media</w:t>
      </w:r>
      <w:r>
        <w:rPr>
          <w:rFonts w:ascii="Times New Roman" w:eastAsia="Times New Roman" w:hAnsi="Times New Roman" w:cs="Times New Roman"/>
          <w:color w:val="000000"/>
          <w:sz w:val="22"/>
          <w:szCs w:val="22"/>
        </w:rPr>
        <w:t xml:space="preserve"> scelti per target group e degli </w:t>
      </w:r>
      <w:r>
        <w:rPr>
          <w:rFonts w:ascii="Times New Roman" w:eastAsia="Times New Roman" w:hAnsi="Times New Roman" w:cs="Times New Roman"/>
          <w:b/>
          <w:color w:val="000000"/>
          <w:sz w:val="22"/>
          <w:szCs w:val="22"/>
        </w:rPr>
        <w:t>elementi che la rendono adattabile</w:t>
      </w:r>
      <w:r>
        <w:rPr>
          <w:rFonts w:ascii="Times New Roman" w:eastAsia="Times New Roman" w:hAnsi="Times New Roman" w:cs="Times New Roman"/>
          <w:color w:val="000000"/>
          <w:sz w:val="22"/>
          <w:szCs w:val="22"/>
        </w:rPr>
        <w:t xml:space="preserve"> ai canali che saranno utilizzati pe</w:t>
      </w:r>
      <w:r>
        <w:rPr>
          <w:rFonts w:ascii="Times New Roman" w:eastAsia="Times New Roman" w:hAnsi="Times New Roman" w:cs="Times New Roman"/>
          <w:color w:val="000000"/>
          <w:sz w:val="22"/>
          <w:szCs w:val="22"/>
        </w:rPr>
        <w:t>r la veicolazione del messaggio della campagna, inclusi gli Owned Media e gli eventi.</w:t>
      </w:r>
    </w:p>
    <w:p w14:paraId="00000039" w14:textId="5BEDEA1F"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Testimonial / </w:t>
      </w:r>
      <w:r w:rsidRPr="00803665">
        <w:rPr>
          <w:rFonts w:ascii="Times New Roman" w:eastAsia="Times New Roman" w:hAnsi="Times New Roman" w:cs="Times New Roman"/>
          <w:b/>
          <w:color w:val="000000"/>
          <w:sz w:val="22"/>
          <w:szCs w:val="22"/>
        </w:rPr>
        <w:t>influencer</w:t>
      </w:r>
      <w:r w:rsidRPr="00803665">
        <w:rPr>
          <w:rFonts w:ascii="Times New Roman" w:eastAsia="Times New Roman" w:hAnsi="Times New Roman" w:cs="Times New Roman"/>
          <w:color w:val="000000"/>
          <w:sz w:val="22"/>
          <w:szCs w:val="22"/>
        </w:rPr>
        <w:t xml:space="preserve"> </w:t>
      </w:r>
      <w:r w:rsidRPr="00803665">
        <w:rPr>
          <w:rFonts w:ascii="Times New Roman" w:eastAsia="Times New Roman" w:hAnsi="Times New Roman" w:cs="Times New Roman"/>
          <w:b/>
          <w:color w:val="000000"/>
          <w:sz w:val="22"/>
          <w:szCs w:val="22"/>
        </w:rPr>
        <w:t>(massimo</w:t>
      </w:r>
      <w:r>
        <w:rPr>
          <w:rFonts w:ascii="Times New Roman" w:eastAsia="Times New Roman" w:hAnsi="Times New Roman" w:cs="Times New Roman"/>
          <w:b/>
          <w:color w:val="000000"/>
          <w:sz w:val="22"/>
          <w:szCs w:val="22"/>
        </w:rPr>
        <w:t xml:space="preserve"> 6 punti): </w:t>
      </w:r>
    </w:p>
    <w:p w14:paraId="0000003A" w14:textId="77777777" w:rsidR="00692E1D" w:rsidRDefault="009A36CA">
      <w:pPr>
        <w:widowControl w:val="0"/>
        <w:numPr>
          <w:ilvl w:val="0"/>
          <w:numId w:val="5"/>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Si richiede di descrivere i razionali adottati per la </w:t>
      </w:r>
      <w:r>
        <w:rPr>
          <w:rFonts w:ascii="Times New Roman" w:eastAsia="Times New Roman" w:hAnsi="Times New Roman" w:cs="Times New Roman"/>
          <w:b/>
          <w:color w:val="000000"/>
          <w:sz w:val="22"/>
          <w:szCs w:val="22"/>
        </w:rPr>
        <w:t>proposta di eventuali testimonial/influencer</w:t>
      </w:r>
      <w:r>
        <w:rPr>
          <w:rFonts w:ascii="Times New Roman" w:eastAsia="Times New Roman" w:hAnsi="Times New Roman" w:cs="Times New Roman"/>
          <w:color w:val="000000"/>
          <w:sz w:val="22"/>
          <w:szCs w:val="22"/>
        </w:rPr>
        <w:t xml:space="preserve"> e come tale scelta am</w:t>
      </w:r>
      <w:r>
        <w:rPr>
          <w:rFonts w:ascii="Times New Roman" w:eastAsia="Times New Roman" w:hAnsi="Times New Roman" w:cs="Times New Roman"/>
          <w:color w:val="000000"/>
          <w:sz w:val="22"/>
          <w:szCs w:val="22"/>
        </w:rPr>
        <w:t>plifica la portata del messaggio e migliora gli esiti della campagna di comunicazione, indicando le modalità di collaborazione e i principali KPI’s (follower, engagement rate, costi, ecc.) dei testimonial/influencer proposti.</w:t>
      </w:r>
    </w:p>
    <w:p w14:paraId="0000003B" w14:textId="77777777" w:rsidR="00692E1D" w:rsidRDefault="00692E1D">
      <w:pPr>
        <w:keepNext/>
        <w:keepLines/>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p>
    <w:p w14:paraId="0000003C"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Paragrafo 3: Reference / case history (massimo 4 pagine)</w:t>
      </w:r>
    </w:p>
    <w:p w14:paraId="0000003D"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Il paragrafo 3 è diviso in 2 sottoparagrafi:</w:t>
      </w:r>
    </w:p>
    <w:p w14:paraId="0000003E"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Clienti attivi (massimo 2 punti): </w:t>
      </w:r>
    </w:p>
    <w:p w14:paraId="0000003F" w14:textId="77777777" w:rsidR="00692E1D" w:rsidRDefault="009A36CA">
      <w:pPr>
        <w:widowControl w:val="0"/>
        <w:numPr>
          <w:ilvl w:val="0"/>
          <w:numId w:val="5"/>
        </w:numPr>
        <w:pBdr>
          <w:top w:val="nil"/>
          <w:left w:val="nil"/>
          <w:bottom w:val="nil"/>
          <w:right w:val="nil"/>
          <w:between w:val="nil"/>
        </w:pBdr>
        <w:spacing w:before="120" w:after="120"/>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Si richiede di comprovare il possesso di una base di clienti attivi per servizi </w:t>
      </w:r>
      <w:sdt>
        <w:sdtPr>
          <w:tag w:val="goog_rdk_0"/>
          <w:id w:val="221726732"/>
        </w:sdtPr>
        <w:sdtEndPr/>
        <w:sdtContent/>
      </w:sdt>
      <w:r>
        <w:rPr>
          <w:rFonts w:ascii="Times New Roman" w:eastAsia="Times New Roman" w:hAnsi="Times New Roman" w:cs="Times New Roman"/>
          <w:color w:val="000000"/>
          <w:sz w:val="22"/>
          <w:szCs w:val="22"/>
        </w:rPr>
        <w:t>analoghi</w:t>
      </w:r>
      <w:r>
        <w:rPr>
          <w:rFonts w:ascii="Times New Roman" w:eastAsia="Times New Roman" w:hAnsi="Times New Roman" w:cs="Times New Roman"/>
          <w:color w:val="000000"/>
          <w:sz w:val="22"/>
          <w:szCs w:val="22"/>
        </w:rPr>
        <w:t xml:space="preserve"> (per obiettivi di campagna, target group, istituzionalità del committente) che riguardino la realizzazione di </w:t>
      </w:r>
      <w:r w:rsidRPr="00803665">
        <w:rPr>
          <w:rFonts w:ascii="Times New Roman" w:eastAsia="Times New Roman" w:hAnsi="Times New Roman" w:cs="Times New Roman"/>
          <w:color w:val="000000"/>
          <w:sz w:val="22"/>
          <w:szCs w:val="22"/>
        </w:rPr>
        <w:t>campagn</w:t>
      </w:r>
      <w:r w:rsidRPr="00803665">
        <w:rPr>
          <w:rFonts w:ascii="Times New Roman" w:eastAsia="Times New Roman" w:hAnsi="Times New Roman" w:cs="Times New Roman"/>
          <w:sz w:val="22"/>
          <w:szCs w:val="22"/>
        </w:rPr>
        <w:t>e</w:t>
      </w:r>
      <w:r w:rsidRPr="00803665">
        <w:rPr>
          <w:rFonts w:ascii="Times New Roman" w:eastAsia="Times New Roman" w:hAnsi="Times New Roman" w:cs="Times New Roman"/>
          <w:color w:val="000000"/>
          <w:sz w:val="22"/>
          <w:szCs w:val="22"/>
        </w:rPr>
        <w:t xml:space="preserve"> internazionali con target America del Nord e America del Sud, Europa, Australia, </w:t>
      </w:r>
      <w:r w:rsidRPr="00803665">
        <w:rPr>
          <w:rFonts w:ascii="Times New Roman" w:eastAsia="Times New Roman" w:hAnsi="Times New Roman" w:cs="Times New Roman"/>
          <w:color w:val="000000"/>
          <w:sz w:val="22"/>
          <w:szCs w:val="22"/>
        </w:rPr>
        <w:t>Sud Afric</w:t>
      </w:r>
      <w:r w:rsidRPr="00803665">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Verrà attribuito 1 punto per ogni cliente a</w:t>
      </w:r>
      <w:r>
        <w:rPr>
          <w:rFonts w:ascii="Times New Roman" w:eastAsia="Times New Roman" w:hAnsi="Times New Roman" w:cs="Times New Roman"/>
          <w:b/>
          <w:color w:val="000000"/>
          <w:sz w:val="22"/>
          <w:szCs w:val="22"/>
        </w:rPr>
        <w:t>ttivo (massimo 2 punti)</w:t>
      </w:r>
    </w:p>
    <w:p w14:paraId="00000040" w14:textId="77777777" w:rsidR="00692E1D" w:rsidRDefault="009A36CA">
      <w:pPr>
        <w:widowControl w:val="0"/>
        <w:numPr>
          <w:ilvl w:val="1"/>
          <w:numId w:val="6"/>
        </w:numPr>
        <w:pBdr>
          <w:top w:val="nil"/>
          <w:left w:val="nil"/>
          <w:bottom w:val="nil"/>
          <w:right w:val="nil"/>
          <w:between w:val="nil"/>
        </w:pBdr>
        <w:spacing w:before="120" w:after="12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Case history (massimo 2 punti): </w:t>
      </w:r>
    </w:p>
    <w:p w14:paraId="00000041" w14:textId="77777777" w:rsidR="00692E1D" w:rsidRDefault="009A36CA">
      <w:pPr>
        <w:keepNext/>
        <w:keepLines/>
        <w:widowControl w:val="0"/>
        <w:numPr>
          <w:ilvl w:val="0"/>
          <w:numId w:val="5"/>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Ai fini dell’attribuzione del punteggio, si richiede di fornire evidenza di almeno </w:t>
      </w:r>
      <w:r>
        <w:rPr>
          <w:rFonts w:ascii="Times New Roman" w:eastAsia="Times New Roman" w:hAnsi="Times New Roman" w:cs="Times New Roman"/>
          <w:b/>
          <w:color w:val="000000"/>
          <w:sz w:val="22"/>
          <w:szCs w:val="22"/>
        </w:rPr>
        <w:t>2 case studies</w:t>
      </w:r>
      <w:r>
        <w:rPr>
          <w:rFonts w:ascii="Times New Roman" w:eastAsia="Times New Roman" w:hAnsi="Times New Roman" w:cs="Times New Roman"/>
          <w:color w:val="000000"/>
          <w:sz w:val="22"/>
          <w:szCs w:val="22"/>
        </w:rPr>
        <w:t xml:space="preserve"> attraverso cui l’operatore economico possa comprovare l’esperienza nella ideazione della creatività e pianificazione media per campagne di comunicazione internazionali con target Nord America, Sud America, </w:t>
      </w:r>
      <w:r w:rsidRPr="00803665">
        <w:rPr>
          <w:rFonts w:ascii="Times New Roman" w:eastAsia="Times New Roman" w:hAnsi="Times New Roman" w:cs="Times New Roman"/>
          <w:color w:val="000000"/>
          <w:sz w:val="22"/>
          <w:szCs w:val="22"/>
        </w:rPr>
        <w:t>Europa</w:t>
      </w:r>
      <w:r w:rsidRPr="00803665">
        <w:rPr>
          <w:rFonts w:ascii="Times New Roman" w:eastAsia="Times New Roman" w:hAnsi="Times New Roman" w:cs="Times New Roman"/>
          <w:sz w:val="22"/>
          <w:szCs w:val="22"/>
        </w:rPr>
        <w:t>,</w:t>
      </w:r>
      <w:r w:rsidRPr="00803665">
        <w:rPr>
          <w:rFonts w:ascii="Times New Roman" w:eastAsia="Times New Roman" w:hAnsi="Times New Roman" w:cs="Times New Roman"/>
          <w:color w:val="000000"/>
          <w:sz w:val="22"/>
          <w:szCs w:val="22"/>
        </w:rPr>
        <w:t xml:space="preserve"> Australia </w:t>
      </w:r>
      <w:r w:rsidRPr="00803665">
        <w:rPr>
          <w:rFonts w:ascii="Times New Roman" w:eastAsia="Times New Roman" w:hAnsi="Times New Roman" w:cs="Times New Roman"/>
          <w:color w:val="000000"/>
          <w:sz w:val="22"/>
          <w:szCs w:val="22"/>
        </w:rPr>
        <w:t xml:space="preserve">o Sud Africa </w:t>
      </w:r>
      <w:r w:rsidRPr="00803665">
        <w:rPr>
          <w:rFonts w:ascii="Times New Roman" w:eastAsia="Times New Roman" w:hAnsi="Times New Roman" w:cs="Times New Roman"/>
          <w:color w:val="000000"/>
          <w:sz w:val="22"/>
          <w:szCs w:val="22"/>
        </w:rPr>
        <w:t>per</w:t>
      </w:r>
      <w:r>
        <w:rPr>
          <w:rFonts w:ascii="Times New Roman" w:eastAsia="Times New Roman" w:hAnsi="Times New Roman" w:cs="Times New Roman"/>
          <w:color w:val="000000"/>
          <w:sz w:val="22"/>
          <w:szCs w:val="22"/>
        </w:rPr>
        <w:t xml:space="preserve"> conto di clien</w:t>
      </w:r>
      <w:r>
        <w:rPr>
          <w:rFonts w:ascii="Times New Roman" w:eastAsia="Times New Roman" w:hAnsi="Times New Roman" w:cs="Times New Roman"/>
          <w:color w:val="000000"/>
          <w:sz w:val="22"/>
          <w:szCs w:val="22"/>
        </w:rPr>
        <w:t xml:space="preserve">ti complessi pubblici e privati </w:t>
      </w:r>
      <w:r>
        <w:rPr>
          <w:rFonts w:ascii="Times New Roman" w:eastAsia="Times New Roman" w:hAnsi="Times New Roman" w:cs="Times New Roman"/>
          <w:b/>
          <w:color w:val="000000"/>
          <w:sz w:val="22"/>
          <w:szCs w:val="22"/>
        </w:rPr>
        <w:t>che abbiano generato viralità o User Generated Content.</w:t>
      </w:r>
      <w:r>
        <w:rPr>
          <w:rFonts w:ascii="Times New Roman" w:eastAsia="Times New Roman" w:hAnsi="Times New Roman" w:cs="Times New Roman"/>
          <w:color w:val="000000"/>
          <w:sz w:val="22"/>
          <w:szCs w:val="22"/>
        </w:rPr>
        <w:t xml:space="preserve"> Verrà attribuito</w:t>
      </w:r>
      <w:r>
        <w:rPr>
          <w:rFonts w:ascii="Times New Roman" w:eastAsia="Times New Roman" w:hAnsi="Times New Roman" w:cs="Times New Roman"/>
          <w:b/>
          <w:color w:val="000000"/>
          <w:sz w:val="22"/>
          <w:szCs w:val="22"/>
        </w:rPr>
        <w:t xml:space="preserve"> 1 punto per ogni case-study coerente con la richiesta.</w:t>
      </w:r>
    </w:p>
    <w:p w14:paraId="00000042" w14:textId="77777777" w:rsidR="00692E1D" w:rsidRDefault="00692E1D">
      <w:pPr>
        <w:keepNext/>
        <w:keepLines/>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p>
    <w:p w14:paraId="00000043" w14:textId="77777777" w:rsidR="00692E1D" w:rsidRPr="0075367B" w:rsidRDefault="009A36CA">
      <w:pPr>
        <w:keepNext/>
        <w:keepLines/>
        <w:widowControl w:val="0"/>
        <w:pBdr>
          <w:top w:val="nil"/>
          <w:left w:val="nil"/>
          <w:bottom w:val="nil"/>
          <w:right w:val="nil"/>
          <w:between w:val="nil"/>
        </w:pBdr>
        <w:spacing w:before="120" w:after="120"/>
        <w:jc w:val="both"/>
        <w:rPr>
          <w:rFonts w:ascii="Times New Roman" w:eastAsia="Times New Roman" w:hAnsi="Times New Roman" w:cs="Times New Roman"/>
          <w:b/>
          <w:color w:val="000000"/>
          <w:sz w:val="22"/>
          <w:szCs w:val="22"/>
        </w:rPr>
      </w:pPr>
      <w:r w:rsidRPr="0075367B">
        <w:rPr>
          <w:rFonts w:ascii="Times New Roman" w:eastAsia="Times New Roman" w:hAnsi="Times New Roman" w:cs="Times New Roman"/>
          <w:b/>
          <w:color w:val="000000"/>
          <w:sz w:val="22"/>
          <w:szCs w:val="22"/>
        </w:rPr>
        <w:t>Paragrafo 4: Struttura organizzativa e team di progetto (massimo 5 punti), 3 pagine.</w:t>
      </w:r>
    </w:p>
    <w:p w14:paraId="00000044" w14:textId="77777777" w:rsidR="00692E1D" w:rsidRPr="0075367B" w:rsidRDefault="009A36CA">
      <w:pPr>
        <w:keepNext/>
        <w:keepLines/>
        <w:widowControl w:val="0"/>
        <w:pBdr>
          <w:top w:val="nil"/>
          <w:left w:val="nil"/>
          <w:bottom w:val="nil"/>
          <w:right w:val="nil"/>
          <w:between w:val="nil"/>
        </w:pBdr>
        <w:spacing w:before="120" w:after="120"/>
        <w:jc w:val="both"/>
        <w:rPr>
          <w:rFonts w:ascii="Times New Roman" w:eastAsia="Times New Roman" w:hAnsi="Times New Roman" w:cs="Times New Roman"/>
          <w:b/>
          <w:color w:val="000000"/>
          <w:sz w:val="22"/>
          <w:szCs w:val="22"/>
        </w:rPr>
      </w:pPr>
      <w:r w:rsidRPr="0075367B">
        <w:rPr>
          <w:rFonts w:ascii="Times New Roman" w:eastAsia="Times New Roman" w:hAnsi="Times New Roman" w:cs="Times New Roman"/>
          <w:b/>
          <w:color w:val="000000"/>
          <w:sz w:val="22"/>
          <w:szCs w:val="22"/>
        </w:rPr>
        <w:t>Il paragrafo 4 dovrà contenere:</w:t>
      </w:r>
    </w:p>
    <w:p w14:paraId="00000045" w14:textId="77777777" w:rsidR="00692E1D" w:rsidRPr="0075367B" w:rsidRDefault="009A36CA">
      <w:pPr>
        <w:keepNext/>
        <w:keepLines/>
        <w:widowControl w:val="0"/>
        <w:numPr>
          <w:ilvl w:val="1"/>
          <w:numId w:val="4"/>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sidRPr="0075367B">
        <w:rPr>
          <w:rFonts w:ascii="Times New Roman" w:eastAsia="Times New Roman" w:hAnsi="Times New Roman" w:cs="Times New Roman"/>
          <w:b/>
          <w:color w:val="000000"/>
          <w:sz w:val="22"/>
          <w:szCs w:val="22"/>
        </w:rPr>
        <w:t>Presentazione dell’operatore</w:t>
      </w:r>
      <w:r w:rsidRPr="0075367B">
        <w:rPr>
          <w:rFonts w:ascii="Times New Roman" w:eastAsia="Times New Roman" w:hAnsi="Times New Roman" w:cs="Times New Roman"/>
          <w:color w:val="000000"/>
          <w:sz w:val="22"/>
          <w:szCs w:val="22"/>
        </w:rPr>
        <w:t>: si richiede di presentare la propria organizzazione evidenziando le caratteristiche che la renderebbero ideale per l’incarico.</w:t>
      </w:r>
    </w:p>
    <w:p w14:paraId="00000046" w14:textId="77777777" w:rsidR="00692E1D" w:rsidRPr="0075367B" w:rsidRDefault="009A36CA">
      <w:pPr>
        <w:keepNext/>
        <w:keepLines/>
        <w:widowControl w:val="0"/>
        <w:numPr>
          <w:ilvl w:val="1"/>
          <w:numId w:val="4"/>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sidRPr="0075367B">
        <w:rPr>
          <w:rFonts w:ascii="Times New Roman" w:eastAsia="Times New Roman" w:hAnsi="Times New Roman" w:cs="Times New Roman"/>
          <w:b/>
          <w:color w:val="000000"/>
          <w:sz w:val="22"/>
          <w:szCs w:val="22"/>
        </w:rPr>
        <w:t>Presentazione dell’organigramma</w:t>
      </w:r>
      <w:r w:rsidRPr="0075367B">
        <w:rPr>
          <w:rFonts w:ascii="Times New Roman" w:eastAsia="Times New Roman" w:hAnsi="Times New Roman" w:cs="Times New Roman"/>
          <w:color w:val="000000"/>
          <w:sz w:val="22"/>
          <w:szCs w:val="22"/>
        </w:rPr>
        <w:t xml:space="preserve"> </w:t>
      </w:r>
      <w:r w:rsidRPr="0075367B">
        <w:rPr>
          <w:rFonts w:ascii="Times New Roman" w:eastAsia="Times New Roman" w:hAnsi="Times New Roman" w:cs="Times New Roman"/>
          <w:b/>
          <w:color w:val="000000"/>
          <w:sz w:val="22"/>
          <w:szCs w:val="22"/>
        </w:rPr>
        <w:t xml:space="preserve">delle </w:t>
      </w:r>
      <w:r w:rsidRPr="0075367B">
        <w:rPr>
          <w:rFonts w:ascii="Times New Roman" w:eastAsia="Times New Roman" w:hAnsi="Times New Roman" w:cs="Times New Roman"/>
          <w:b/>
          <w:color w:val="000000"/>
          <w:sz w:val="22"/>
          <w:szCs w:val="22"/>
        </w:rPr>
        <w:t>figure dedicate</w:t>
      </w:r>
      <w:r w:rsidRPr="0075367B">
        <w:rPr>
          <w:rFonts w:ascii="Times New Roman" w:eastAsia="Times New Roman" w:hAnsi="Times New Roman" w:cs="Times New Roman"/>
          <w:sz w:val="22"/>
          <w:szCs w:val="22"/>
        </w:rPr>
        <w:t xml:space="preserve">: si richiede </w:t>
      </w:r>
      <w:r w:rsidRPr="0075367B">
        <w:rPr>
          <w:rFonts w:ascii="Times New Roman" w:eastAsia="Times New Roman" w:hAnsi="Times New Roman" w:cs="Times New Roman"/>
          <w:sz w:val="22"/>
          <w:szCs w:val="22"/>
        </w:rPr>
        <w:t xml:space="preserve">di descrivere la articolazione organizzativa che l’impresa intende mettere a disposizione per i servizi richiesti. A tal scopo l’operatore dovrà compilare l’allegato 3.1 TEAM-FTE da inserire nella Relazione Tecnica </w:t>
      </w:r>
      <w:r w:rsidRPr="0075367B">
        <w:rPr>
          <w:rFonts w:ascii="Times New Roman" w:eastAsia="Times New Roman" w:hAnsi="Times New Roman" w:cs="Times New Roman"/>
          <w:color w:val="000000"/>
          <w:sz w:val="22"/>
          <w:szCs w:val="22"/>
        </w:rPr>
        <w:t>(massimo 1 pagina) (inserire nella Relazi</w:t>
      </w:r>
      <w:r w:rsidRPr="0075367B">
        <w:rPr>
          <w:rFonts w:ascii="Times New Roman" w:eastAsia="Times New Roman" w:hAnsi="Times New Roman" w:cs="Times New Roman"/>
          <w:color w:val="000000"/>
          <w:sz w:val="22"/>
          <w:szCs w:val="22"/>
        </w:rPr>
        <w:t>one tecnica la tabella presente nel foglio “Team” dell’Allegato 3.1 Team-FTE);</w:t>
      </w:r>
    </w:p>
    <w:p w14:paraId="00000047" w14:textId="77777777" w:rsidR="00692E1D" w:rsidRPr="0075367B" w:rsidRDefault="009A36CA">
      <w:pPr>
        <w:keepNext/>
        <w:keepLines/>
        <w:widowControl w:val="0"/>
        <w:numPr>
          <w:ilvl w:val="1"/>
          <w:numId w:val="4"/>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bookmarkStart w:id="0" w:name="_heading=h.gjdgxs" w:colFirst="0" w:colLast="0"/>
      <w:bookmarkEnd w:id="0"/>
      <w:r w:rsidRPr="0075367B">
        <w:rPr>
          <w:rFonts w:ascii="Times New Roman" w:eastAsia="Times New Roman" w:hAnsi="Times New Roman" w:cs="Times New Roman"/>
          <w:b/>
          <w:color w:val="000000"/>
          <w:sz w:val="22"/>
          <w:szCs w:val="22"/>
        </w:rPr>
        <w:t>Specchietto riassuntivo</w:t>
      </w:r>
      <w:r w:rsidRPr="0075367B">
        <w:rPr>
          <w:rFonts w:ascii="Times New Roman" w:eastAsia="Times New Roman" w:hAnsi="Times New Roman" w:cs="Times New Roman"/>
          <w:color w:val="000000"/>
          <w:sz w:val="22"/>
          <w:szCs w:val="22"/>
        </w:rPr>
        <w:t xml:space="preserve"> nel quale indicare ruolo, nome e cognome, genere, età, anni di esperienza nel ruolo e gli anni di esperienza nella comunicazione verso le comunità italia</w:t>
      </w:r>
      <w:r w:rsidRPr="0075367B">
        <w:rPr>
          <w:rFonts w:ascii="Times New Roman" w:eastAsia="Times New Roman" w:hAnsi="Times New Roman" w:cs="Times New Roman"/>
          <w:color w:val="000000"/>
          <w:sz w:val="22"/>
          <w:szCs w:val="22"/>
        </w:rPr>
        <w:t>ne all’estero o italo-discendenti o comunque verso una platea internazionale residente nei Paesi di interesse del Progetto TDR, la percentuale di FTE, giorni lavorativi all’anno dedicati al progetto TDR</w:t>
      </w:r>
      <w:r w:rsidRPr="0075367B">
        <w:rPr>
          <w:rFonts w:ascii="Times New Roman" w:eastAsia="Times New Roman" w:hAnsi="Times New Roman" w:cs="Times New Roman"/>
          <w:b/>
          <w:color w:val="000000"/>
          <w:sz w:val="22"/>
          <w:szCs w:val="22"/>
        </w:rPr>
        <w:t xml:space="preserve"> </w:t>
      </w:r>
      <w:r w:rsidRPr="0075367B">
        <w:rPr>
          <w:rFonts w:ascii="Times New Roman" w:eastAsia="Times New Roman" w:hAnsi="Times New Roman" w:cs="Times New Roman"/>
          <w:color w:val="000000"/>
          <w:sz w:val="22"/>
          <w:szCs w:val="22"/>
        </w:rPr>
        <w:t xml:space="preserve">(inserire nella Relazione </w:t>
      </w:r>
      <w:r w:rsidRPr="0075367B">
        <w:rPr>
          <w:rFonts w:ascii="Times New Roman" w:eastAsia="Times New Roman" w:hAnsi="Times New Roman" w:cs="Times New Roman"/>
          <w:color w:val="000000"/>
          <w:sz w:val="22"/>
          <w:szCs w:val="22"/>
        </w:rPr>
        <w:t>tecnica</w:t>
      </w:r>
      <w:r w:rsidRPr="0075367B">
        <w:rPr>
          <w:rFonts w:ascii="Times New Roman" w:eastAsia="Times New Roman" w:hAnsi="Times New Roman" w:cs="Times New Roman"/>
          <w:color w:val="000000"/>
          <w:sz w:val="22"/>
          <w:szCs w:val="22"/>
        </w:rPr>
        <w:t xml:space="preserve"> la tabella presente</w:t>
      </w:r>
      <w:r w:rsidRPr="0075367B">
        <w:rPr>
          <w:rFonts w:ascii="Times New Roman" w:eastAsia="Times New Roman" w:hAnsi="Times New Roman" w:cs="Times New Roman"/>
          <w:color w:val="000000"/>
          <w:sz w:val="22"/>
          <w:szCs w:val="22"/>
        </w:rPr>
        <w:t xml:space="preserve"> nel foglio “Team FTE” dell’Allegato 3.1 Team-FTE: : all’interno di tale tabella sono già inserite in rosso le figure professionali che devono essere presenti come minimo nella struttura, come previsto dal Capitolato tecnico al punti 6.1).</w:t>
      </w:r>
    </w:p>
    <w:p w14:paraId="00000048" w14:textId="25863CD2" w:rsidR="00692E1D" w:rsidRPr="0075367B"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sidRPr="0075367B">
        <w:rPr>
          <w:rFonts w:ascii="Times New Roman" w:eastAsia="Times New Roman" w:hAnsi="Times New Roman" w:cs="Times New Roman"/>
          <w:color w:val="000000"/>
          <w:sz w:val="22"/>
          <w:szCs w:val="22"/>
        </w:rPr>
        <w:t xml:space="preserve">Si richiede di allegare alla Relazione tecnica i </w:t>
      </w:r>
      <w:r w:rsidRPr="0075367B">
        <w:rPr>
          <w:rFonts w:ascii="Times New Roman" w:eastAsia="Times New Roman" w:hAnsi="Times New Roman" w:cs="Times New Roman"/>
          <w:b/>
          <w:color w:val="000000"/>
          <w:sz w:val="22"/>
          <w:szCs w:val="22"/>
        </w:rPr>
        <w:t xml:space="preserve">CV </w:t>
      </w:r>
      <w:bookmarkStart w:id="1" w:name="_GoBack"/>
      <w:bookmarkEnd w:id="1"/>
      <w:r w:rsidRPr="0075367B">
        <w:rPr>
          <w:rFonts w:ascii="Times New Roman" w:eastAsia="Times New Roman" w:hAnsi="Times New Roman" w:cs="Times New Roman"/>
          <w:b/>
          <w:color w:val="000000"/>
          <w:sz w:val="22"/>
          <w:szCs w:val="22"/>
        </w:rPr>
        <w:t>possibilmente</w:t>
      </w:r>
      <w:r w:rsidRPr="0075367B">
        <w:rPr>
          <w:rFonts w:ascii="Times New Roman" w:eastAsia="Times New Roman" w:hAnsi="Times New Roman" w:cs="Times New Roman"/>
          <w:b/>
          <w:color w:val="000000"/>
          <w:sz w:val="22"/>
          <w:szCs w:val="22"/>
        </w:rPr>
        <w:t xml:space="preserve"> in formato europeo</w:t>
      </w:r>
      <w:r w:rsidRPr="0075367B">
        <w:rPr>
          <w:rFonts w:ascii="Times New Roman" w:eastAsia="Times New Roman" w:hAnsi="Times New Roman" w:cs="Times New Roman"/>
          <w:color w:val="000000"/>
          <w:sz w:val="22"/>
          <w:szCs w:val="22"/>
        </w:rPr>
        <w:t xml:space="preserve"> e i relativi documenti di identità delle figure facenti parte dell’organigramma </w:t>
      </w:r>
      <w:r w:rsidRPr="0075367B">
        <w:rPr>
          <w:rFonts w:ascii="Times New Roman" w:eastAsia="Times New Roman" w:hAnsi="Times New Roman" w:cs="Times New Roman"/>
          <w:sz w:val="22"/>
          <w:szCs w:val="22"/>
        </w:rPr>
        <w:t>indicato</w:t>
      </w:r>
      <w:r w:rsidRPr="0075367B">
        <w:rPr>
          <w:rFonts w:ascii="Times New Roman" w:eastAsia="Times New Roman" w:hAnsi="Times New Roman" w:cs="Times New Roman"/>
          <w:color w:val="000000"/>
          <w:sz w:val="22"/>
          <w:szCs w:val="22"/>
        </w:rPr>
        <w:t xml:space="preserve">. </w:t>
      </w:r>
    </w:p>
    <w:p w14:paraId="00000049" w14:textId="77777777" w:rsidR="00692E1D" w:rsidRPr="0075367B"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sz w:val="22"/>
          <w:szCs w:val="22"/>
        </w:rPr>
      </w:pPr>
      <w:r w:rsidRPr="0075367B">
        <w:rPr>
          <w:rFonts w:ascii="Times New Roman" w:eastAsia="Times New Roman" w:hAnsi="Times New Roman" w:cs="Times New Roman"/>
          <w:sz w:val="22"/>
          <w:szCs w:val="22"/>
        </w:rPr>
        <w:t>Dovrà essere presente almeno un CV per ciascun profilo indicati al punto 17.1 del Disciplinare:</w:t>
      </w:r>
    </w:p>
    <w:p w14:paraId="0000004A" w14:textId="77777777" w:rsidR="00692E1D" w:rsidRPr="0075367B" w:rsidRDefault="009A36CA">
      <w:pPr>
        <w:numPr>
          <w:ilvl w:val="0"/>
          <w:numId w:val="7"/>
        </w:numPr>
        <w:pBdr>
          <w:top w:val="nil"/>
          <w:left w:val="nil"/>
          <w:bottom w:val="nil"/>
          <w:right w:val="nil"/>
          <w:between w:val="nil"/>
        </w:pBdr>
        <w:spacing w:after="160" w:line="256" w:lineRule="auto"/>
        <w:jc w:val="both"/>
        <w:rPr>
          <w:rFonts w:ascii="Times New Roman" w:eastAsia="Times New Roman" w:hAnsi="Times New Roman" w:cs="Times New Roman"/>
          <w:sz w:val="20"/>
          <w:szCs w:val="20"/>
          <w:lang w:val="en-US"/>
        </w:rPr>
      </w:pPr>
      <w:r w:rsidRPr="0075367B">
        <w:rPr>
          <w:rFonts w:ascii="Times New Roman" w:eastAsia="Times New Roman" w:hAnsi="Times New Roman" w:cs="Times New Roman"/>
          <w:sz w:val="22"/>
          <w:szCs w:val="22"/>
          <w:lang w:val="en-US"/>
        </w:rPr>
        <w:t>n.1 Project Manager Senior (1 CV)</w:t>
      </w:r>
    </w:p>
    <w:p w14:paraId="0000004B" w14:textId="77777777" w:rsidR="00692E1D" w:rsidRPr="0075367B" w:rsidRDefault="009A36CA">
      <w:pPr>
        <w:numPr>
          <w:ilvl w:val="0"/>
          <w:numId w:val="7"/>
        </w:numPr>
        <w:pBdr>
          <w:top w:val="nil"/>
          <w:left w:val="nil"/>
          <w:bottom w:val="nil"/>
          <w:right w:val="nil"/>
          <w:between w:val="nil"/>
        </w:pBdr>
        <w:spacing w:after="160" w:line="256" w:lineRule="auto"/>
        <w:jc w:val="both"/>
        <w:rPr>
          <w:rFonts w:ascii="Times New Roman" w:eastAsia="Times New Roman" w:hAnsi="Times New Roman" w:cs="Times New Roman"/>
          <w:sz w:val="20"/>
          <w:szCs w:val="20"/>
        </w:rPr>
      </w:pPr>
      <w:r w:rsidRPr="0075367B">
        <w:rPr>
          <w:rFonts w:ascii="Times New Roman" w:eastAsia="Times New Roman" w:hAnsi="Times New Roman" w:cs="Times New Roman"/>
          <w:sz w:val="22"/>
          <w:szCs w:val="22"/>
        </w:rPr>
        <w:t>n.1 Direttore Creativo (1 CV)</w:t>
      </w:r>
    </w:p>
    <w:p w14:paraId="0000004C" w14:textId="77777777" w:rsidR="00692E1D" w:rsidRPr="0075367B" w:rsidRDefault="009A36CA">
      <w:pPr>
        <w:numPr>
          <w:ilvl w:val="0"/>
          <w:numId w:val="7"/>
        </w:numPr>
        <w:pBdr>
          <w:top w:val="nil"/>
          <w:left w:val="nil"/>
          <w:bottom w:val="nil"/>
          <w:right w:val="nil"/>
          <w:between w:val="nil"/>
        </w:pBdr>
        <w:spacing w:after="160" w:line="256" w:lineRule="auto"/>
        <w:jc w:val="both"/>
        <w:rPr>
          <w:rFonts w:ascii="Times New Roman" w:eastAsia="Times New Roman" w:hAnsi="Times New Roman" w:cs="Times New Roman"/>
          <w:sz w:val="20"/>
          <w:szCs w:val="20"/>
        </w:rPr>
      </w:pPr>
      <w:r w:rsidRPr="0075367B">
        <w:rPr>
          <w:rFonts w:ascii="Times New Roman" w:eastAsia="Times New Roman" w:hAnsi="Times New Roman" w:cs="Times New Roman"/>
          <w:sz w:val="22"/>
          <w:szCs w:val="22"/>
        </w:rPr>
        <w:t>n.1 Copy writer (1 CV)</w:t>
      </w:r>
    </w:p>
    <w:p w14:paraId="0000004D" w14:textId="77777777" w:rsidR="00692E1D" w:rsidRPr="0075367B" w:rsidRDefault="009A36CA">
      <w:pPr>
        <w:numPr>
          <w:ilvl w:val="0"/>
          <w:numId w:val="7"/>
        </w:numPr>
        <w:spacing w:after="160" w:line="256" w:lineRule="auto"/>
        <w:jc w:val="both"/>
        <w:rPr>
          <w:rFonts w:ascii="Times New Roman" w:eastAsia="Times New Roman" w:hAnsi="Times New Roman" w:cs="Times New Roman"/>
          <w:sz w:val="20"/>
          <w:szCs w:val="20"/>
        </w:rPr>
      </w:pPr>
      <w:r w:rsidRPr="0075367B">
        <w:rPr>
          <w:rFonts w:ascii="Times New Roman" w:eastAsia="Times New Roman" w:hAnsi="Times New Roman" w:cs="Times New Roman"/>
          <w:sz w:val="22"/>
          <w:szCs w:val="22"/>
        </w:rPr>
        <w:t>n.1 Art Director (1 CV)</w:t>
      </w:r>
    </w:p>
    <w:p w14:paraId="0000004E" w14:textId="77777777" w:rsidR="00692E1D" w:rsidRPr="0075367B" w:rsidRDefault="009A36CA">
      <w:pPr>
        <w:numPr>
          <w:ilvl w:val="0"/>
          <w:numId w:val="7"/>
        </w:numPr>
        <w:spacing w:after="160" w:line="256" w:lineRule="auto"/>
        <w:jc w:val="both"/>
        <w:rPr>
          <w:rFonts w:ascii="Times New Roman" w:eastAsia="Times New Roman" w:hAnsi="Times New Roman" w:cs="Times New Roman"/>
          <w:sz w:val="20"/>
          <w:szCs w:val="20"/>
        </w:rPr>
      </w:pPr>
      <w:r w:rsidRPr="0075367B">
        <w:rPr>
          <w:rFonts w:ascii="Times New Roman" w:eastAsia="Times New Roman" w:hAnsi="Times New Roman" w:cs="Times New Roman"/>
          <w:sz w:val="22"/>
          <w:szCs w:val="22"/>
        </w:rPr>
        <w:t>n.1 Media Manager (1 CV)</w:t>
      </w:r>
    </w:p>
    <w:p w14:paraId="0000004F" w14:textId="77777777" w:rsidR="00692E1D" w:rsidRPr="0075367B" w:rsidRDefault="009A36CA">
      <w:pPr>
        <w:numPr>
          <w:ilvl w:val="0"/>
          <w:numId w:val="7"/>
        </w:numPr>
        <w:spacing w:after="160" w:line="256" w:lineRule="auto"/>
        <w:jc w:val="both"/>
        <w:rPr>
          <w:rFonts w:ascii="Times New Roman" w:eastAsia="Times New Roman" w:hAnsi="Times New Roman" w:cs="Times New Roman"/>
          <w:sz w:val="20"/>
          <w:szCs w:val="20"/>
          <w:lang w:val="en-US"/>
        </w:rPr>
      </w:pPr>
      <w:r w:rsidRPr="0075367B">
        <w:rPr>
          <w:rFonts w:ascii="Times New Roman" w:eastAsia="Times New Roman" w:hAnsi="Times New Roman" w:cs="Times New Roman"/>
          <w:sz w:val="22"/>
          <w:szCs w:val="22"/>
          <w:lang w:val="en-US"/>
        </w:rPr>
        <w:t>n.1 Digital Communicatio</w:t>
      </w:r>
      <w:r w:rsidRPr="0075367B">
        <w:rPr>
          <w:rFonts w:ascii="Times New Roman" w:eastAsia="Times New Roman" w:hAnsi="Times New Roman" w:cs="Times New Roman"/>
          <w:sz w:val="22"/>
          <w:szCs w:val="22"/>
          <w:lang w:val="en-US"/>
        </w:rPr>
        <w:t>n Director (1 CV)</w:t>
      </w:r>
    </w:p>
    <w:p w14:paraId="00000050" w14:textId="77777777" w:rsidR="00692E1D" w:rsidRPr="0075367B" w:rsidRDefault="009A36CA">
      <w:pPr>
        <w:numPr>
          <w:ilvl w:val="0"/>
          <w:numId w:val="7"/>
        </w:numPr>
        <w:spacing w:after="160" w:line="256" w:lineRule="auto"/>
        <w:jc w:val="both"/>
        <w:rPr>
          <w:rFonts w:ascii="Times New Roman" w:eastAsia="Times New Roman" w:hAnsi="Times New Roman" w:cs="Times New Roman"/>
          <w:sz w:val="20"/>
          <w:szCs w:val="20"/>
        </w:rPr>
      </w:pPr>
      <w:r w:rsidRPr="0075367B">
        <w:rPr>
          <w:rFonts w:ascii="Times New Roman" w:eastAsia="Times New Roman" w:hAnsi="Times New Roman" w:cs="Times New Roman"/>
          <w:sz w:val="22"/>
          <w:szCs w:val="22"/>
        </w:rPr>
        <w:t>n.1 Digital Media Planner Senior (1 CV)</w:t>
      </w:r>
    </w:p>
    <w:p w14:paraId="00000051" w14:textId="77777777" w:rsidR="00692E1D" w:rsidRPr="0075367B" w:rsidRDefault="009A36CA">
      <w:pPr>
        <w:numPr>
          <w:ilvl w:val="0"/>
          <w:numId w:val="7"/>
        </w:numPr>
        <w:spacing w:after="160" w:line="256" w:lineRule="auto"/>
        <w:jc w:val="both"/>
        <w:rPr>
          <w:rFonts w:ascii="Times New Roman" w:eastAsia="Times New Roman" w:hAnsi="Times New Roman" w:cs="Times New Roman"/>
          <w:sz w:val="20"/>
          <w:szCs w:val="20"/>
        </w:rPr>
      </w:pPr>
      <w:r w:rsidRPr="0075367B">
        <w:rPr>
          <w:rFonts w:ascii="Times New Roman" w:eastAsia="Times New Roman" w:hAnsi="Times New Roman" w:cs="Times New Roman"/>
          <w:sz w:val="22"/>
          <w:szCs w:val="22"/>
        </w:rPr>
        <w:t>n.1 Digital Media Buyer (1 CV)</w:t>
      </w:r>
    </w:p>
    <w:p w14:paraId="00000052" w14:textId="77777777" w:rsidR="00692E1D" w:rsidRPr="0075367B" w:rsidRDefault="009A36CA">
      <w:pPr>
        <w:numPr>
          <w:ilvl w:val="0"/>
          <w:numId w:val="7"/>
        </w:numPr>
        <w:spacing w:after="160" w:line="256" w:lineRule="auto"/>
        <w:jc w:val="both"/>
        <w:rPr>
          <w:rFonts w:ascii="Times New Roman" w:eastAsia="Times New Roman" w:hAnsi="Times New Roman" w:cs="Times New Roman"/>
          <w:sz w:val="20"/>
          <w:szCs w:val="20"/>
        </w:rPr>
      </w:pPr>
      <w:r w:rsidRPr="0075367B">
        <w:rPr>
          <w:rFonts w:ascii="Times New Roman" w:eastAsia="Times New Roman" w:hAnsi="Times New Roman" w:cs="Times New Roman"/>
          <w:sz w:val="22"/>
          <w:szCs w:val="22"/>
        </w:rPr>
        <w:t>n.1 Biddable Specialist (1 CV)</w:t>
      </w:r>
    </w:p>
    <w:p w14:paraId="00000053" w14:textId="77777777" w:rsidR="00692E1D" w:rsidRDefault="00692E1D">
      <w:pPr>
        <w:widowControl w:val="0"/>
        <w:pBdr>
          <w:top w:val="nil"/>
          <w:left w:val="nil"/>
          <w:bottom w:val="nil"/>
          <w:right w:val="nil"/>
          <w:between w:val="nil"/>
        </w:pBdr>
        <w:spacing w:before="120" w:after="120"/>
        <w:jc w:val="both"/>
        <w:rPr>
          <w:rFonts w:ascii="Times New Roman" w:eastAsia="Times New Roman" w:hAnsi="Times New Roman" w:cs="Times New Roman"/>
          <w:sz w:val="22"/>
          <w:szCs w:val="22"/>
        </w:rPr>
      </w:pPr>
    </w:p>
    <w:p w14:paraId="00000054"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L’allegato in questione dovrà essere denominato </w:t>
      </w:r>
      <w:r>
        <w:rPr>
          <w:rFonts w:ascii="Times New Roman" w:eastAsia="Times New Roman" w:hAnsi="Times New Roman" w:cs="Times New Roman"/>
          <w:b/>
          <w:color w:val="000000"/>
          <w:sz w:val="22"/>
          <w:szCs w:val="22"/>
        </w:rPr>
        <w:t>“All. Rel. Tec. CV”</w:t>
      </w:r>
      <w:r>
        <w:rPr>
          <w:rFonts w:ascii="Times New Roman" w:eastAsia="Times New Roman" w:hAnsi="Times New Roman" w:cs="Times New Roman"/>
          <w:color w:val="000000"/>
          <w:sz w:val="22"/>
          <w:szCs w:val="22"/>
        </w:rPr>
        <w:t xml:space="preserve"> (tale allegato non verrà considerato nel computo delle </w:t>
      </w:r>
      <w:r w:rsidRPr="00803665">
        <w:rPr>
          <w:rFonts w:ascii="Times New Roman" w:eastAsia="Times New Roman" w:hAnsi="Times New Roman" w:cs="Times New Roman"/>
          <w:sz w:val="22"/>
          <w:szCs w:val="22"/>
        </w:rPr>
        <w:t>38</w:t>
      </w:r>
      <w:r>
        <w:rPr>
          <w:rFonts w:ascii="Times New Roman" w:eastAsia="Times New Roman" w:hAnsi="Times New Roman" w:cs="Times New Roman"/>
          <w:color w:val="000000"/>
          <w:sz w:val="22"/>
          <w:szCs w:val="22"/>
        </w:rPr>
        <w:t xml:space="preserve"> pagine indicate sopra).</w:t>
      </w:r>
    </w:p>
    <w:p w14:paraId="00000055" w14:textId="77777777" w:rsidR="00692E1D" w:rsidRDefault="00692E1D">
      <w:pPr>
        <w:widowControl w:val="0"/>
        <w:pBdr>
          <w:top w:val="nil"/>
          <w:left w:val="nil"/>
          <w:bottom w:val="nil"/>
          <w:right w:val="nil"/>
          <w:between w:val="nil"/>
        </w:pBdr>
        <w:spacing w:before="120" w:after="120"/>
        <w:rPr>
          <w:rFonts w:ascii="Times New Roman" w:eastAsia="Times New Roman" w:hAnsi="Times New Roman" w:cs="Times New Roman"/>
          <w:b/>
          <w:color w:val="000000"/>
          <w:sz w:val="22"/>
          <w:szCs w:val="22"/>
        </w:rPr>
      </w:pPr>
    </w:p>
    <w:p w14:paraId="00000056" w14:textId="77777777" w:rsidR="00692E1D" w:rsidRDefault="009A36CA">
      <w:pPr>
        <w:widowControl w:val="0"/>
        <w:pBdr>
          <w:top w:val="nil"/>
          <w:left w:val="nil"/>
          <w:bottom w:val="nil"/>
          <w:right w:val="nil"/>
          <w:between w:val="nil"/>
        </w:pBdr>
        <w:spacing w:before="120" w:after="1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Paragrafo 5:</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22"/>
          <w:szCs w:val="22"/>
        </w:rPr>
        <w:t>Pari opportunità e inclusione lavorativa nei contratti pubblici nel PNRR (massimo 1 pagina)</w:t>
      </w:r>
    </w:p>
    <w:p w14:paraId="00000057" w14:textId="77777777" w:rsidR="00692E1D" w:rsidRDefault="009A36CA">
      <w:pPr>
        <w:widowControl w:val="0"/>
        <w:pBdr>
          <w:top w:val="nil"/>
          <w:left w:val="nil"/>
          <w:bottom w:val="nil"/>
          <w:right w:val="nil"/>
          <w:between w:val="nil"/>
        </w:pBdr>
        <w:spacing w:before="120" w:after="1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Il paragrafo 5 è diviso in 2 sottoparagrafi e dovrà contenere:</w:t>
      </w:r>
    </w:p>
    <w:p w14:paraId="00000058" w14:textId="77777777" w:rsidR="00692E1D" w:rsidRDefault="009A36CA">
      <w:pPr>
        <w:widowControl w:val="0"/>
        <w:pBdr>
          <w:top w:val="nil"/>
          <w:left w:val="nil"/>
          <w:bottom w:val="nil"/>
          <w:right w:val="nil"/>
          <w:between w:val="nil"/>
        </w:pBdr>
        <w:spacing w:before="120" w:after="120"/>
        <w:ind w:left="363" w:hanging="363"/>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5.1</w:t>
      </w:r>
      <w:r>
        <w:rPr>
          <w:rFonts w:ascii="Times New Roman" w:eastAsia="Times New Roman" w:hAnsi="Times New Roman" w:cs="Times New Roman"/>
          <w:color w:val="000000"/>
          <w:sz w:val="22"/>
          <w:szCs w:val="22"/>
        </w:rPr>
        <w:t xml:space="preserve">. Indicazione delle </w:t>
      </w:r>
      <w:r>
        <w:rPr>
          <w:rFonts w:ascii="Times New Roman" w:eastAsia="Times New Roman" w:hAnsi="Times New Roman" w:cs="Times New Roman"/>
          <w:b/>
          <w:color w:val="000000"/>
          <w:sz w:val="22"/>
          <w:szCs w:val="22"/>
        </w:rPr>
        <w:t>componenti femminili del gruppo di lavoro</w:t>
      </w:r>
      <w:r>
        <w:rPr>
          <w:rFonts w:ascii="Times New Roman" w:eastAsia="Times New Roman" w:hAnsi="Times New Roman" w:cs="Times New Roman"/>
          <w:color w:val="000000"/>
          <w:sz w:val="22"/>
          <w:szCs w:val="22"/>
        </w:rPr>
        <w:t xml:space="preserve"> (i nominativi devono corrispondere a quelli riportati nel paragrafo </w:t>
      </w:r>
      <w:r w:rsidRPr="0075367B">
        <w:rPr>
          <w:rFonts w:ascii="Times New Roman" w:eastAsia="Times New Roman" w:hAnsi="Times New Roman" w:cs="Times New Roman"/>
          <w:sz w:val="22"/>
          <w:szCs w:val="22"/>
        </w:rPr>
        <w:t>4</w:t>
      </w:r>
      <w:r w:rsidRPr="0075367B">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massimo 4 punti</w:t>
      </w:r>
      <w:r>
        <w:rPr>
          <w:rFonts w:ascii="Times New Roman" w:eastAsia="Times New Roman" w:hAnsi="Times New Roman" w:cs="Times New Roman"/>
          <w:color w:val="000000"/>
          <w:sz w:val="22"/>
          <w:szCs w:val="22"/>
        </w:rPr>
        <w:t>;</w:t>
      </w:r>
    </w:p>
    <w:p w14:paraId="00000059" w14:textId="77777777" w:rsidR="00692E1D" w:rsidRDefault="009A36CA">
      <w:pPr>
        <w:widowControl w:val="0"/>
        <w:pBdr>
          <w:top w:val="nil"/>
          <w:left w:val="nil"/>
          <w:bottom w:val="nil"/>
          <w:right w:val="nil"/>
          <w:between w:val="nil"/>
        </w:pBdr>
        <w:spacing w:before="120" w:after="120"/>
        <w:ind w:left="363" w:hanging="363"/>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5.2</w:t>
      </w:r>
      <w:r>
        <w:rPr>
          <w:rFonts w:ascii="Times New Roman" w:eastAsia="Times New Roman" w:hAnsi="Times New Roman" w:cs="Times New Roman"/>
          <w:color w:val="000000"/>
          <w:sz w:val="22"/>
          <w:szCs w:val="22"/>
        </w:rPr>
        <w:t xml:space="preserve">. Indicazione dei </w:t>
      </w:r>
      <w:r>
        <w:rPr>
          <w:rFonts w:ascii="Times New Roman" w:eastAsia="Times New Roman" w:hAnsi="Times New Roman" w:cs="Times New Roman"/>
          <w:b/>
          <w:color w:val="000000"/>
          <w:sz w:val="22"/>
          <w:szCs w:val="22"/>
        </w:rPr>
        <w:t>componenti del gruppo di lavoro con età inferiore a 36 anni</w:t>
      </w:r>
      <w:r>
        <w:rPr>
          <w:rFonts w:ascii="Times New Roman" w:eastAsia="Times New Roman" w:hAnsi="Times New Roman" w:cs="Times New Roman"/>
          <w:color w:val="000000"/>
          <w:sz w:val="22"/>
          <w:szCs w:val="22"/>
        </w:rPr>
        <w:t xml:space="preserve"> (i nominativi devono corrispondere a quelli </w:t>
      </w:r>
      <w:r>
        <w:rPr>
          <w:rFonts w:ascii="Times New Roman" w:eastAsia="Times New Roman" w:hAnsi="Times New Roman" w:cs="Times New Roman"/>
          <w:color w:val="000000"/>
          <w:sz w:val="22"/>
          <w:szCs w:val="22"/>
        </w:rPr>
        <w:t xml:space="preserve">riportati nel paragrafo </w:t>
      </w:r>
      <w:r w:rsidRPr="0075367B">
        <w:rPr>
          <w:rFonts w:ascii="Times New Roman" w:eastAsia="Times New Roman" w:hAnsi="Times New Roman" w:cs="Times New Roman"/>
          <w:sz w:val="22"/>
          <w:szCs w:val="22"/>
        </w:rPr>
        <w:t>4</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massimo 4 punti</w:t>
      </w:r>
      <w:r>
        <w:rPr>
          <w:rFonts w:ascii="Times New Roman" w:eastAsia="Times New Roman" w:hAnsi="Times New Roman" w:cs="Times New Roman"/>
          <w:color w:val="000000"/>
          <w:sz w:val="22"/>
          <w:szCs w:val="22"/>
        </w:rPr>
        <w:t>.</w:t>
      </w:r>
    </w:p>
    <w:p w14:paraId="0000005A" w14:textId="77777777" w:rsidR="00692E1D" w:rsidRDefault="00692E1D">
      <w:pPr>
        <w:widowControl w:val="0"/>
        <w:pBdr>
          <w:top w:val="nil"/>
          <w:left w:val="nil"/>
          <w:bottom w:val="nil"/>
          <w:right w:val="nil"/>
          <w:between w:val="nil"/>
        </w:pBdr>
        <w:spacing w:before="120" w:after="120"/>
        <w:ind w:left="363" w:hanging="363"/>
        <w:jc w:val="both"/>
        <w:rPr>
          <w:rFonts w:ascii="Times New Roman" w:eastAsia="Times New Roman" w:hAnsi="Times New Roman" w:cs="Times New Roman"/>
          <w:color w:val="000000"/>
          <w:sz w:val="22"/>
          <w:szCs w:val="22"/>
        </w:rPr>
      </w:pPr>
    </w:p>
    <w:p w14:paraId="0000005B"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MODALITÀ DI PRESENTAZIONE DELLA RELAZIONE TECNICA E DELL’OFFERTA TECNICA</w:t>
      </w:r>
    </w:p>
    <w:p w14:paraId="0000005C"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 Relazione tecnica dovrà:</w:t>
      </w:r>
    </w:p>
    <w:p w14:paraId="0000005D" w14:textId="77777777" w:rsidR="00692E1D" w:rsidRDefault="009A36CA">
      <w:pPr>
        <w:widowControl w:val="0"/>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essere prodotta nel rispetto dei limiti editoriali indicati, anche attribuendo una numerazione progressiva ed univoca delle pagine e riportando su ciascuna di essa il numero della pagina ed il numero totale di pagine (ad esempio, pag. 3 di </w:t>
      </w:r>
      <w:r w:rsidRPr="0075367B">
        <w:rPr>
          <w:rFonts w:ascii="Times New Roman" w:eastAsia="Times New Roman" w:hAnsi="Times New Roman" w:cs="Times New Roman"/>
          <w:sz w:val="22"/>
          <w:szCs w:val="22"/>
        </w:rPr>
        <w:t>38</w:t>
      </w:r>
      <w:r w:rsidRPr="0075367B">
        <w:rPr>
          <w:rFonts w:ascii="Times New Roman" w:eastAsia="Times New Roman" w:hAnsi="Times New Roman" w:cs="Times New Roman"/>
          <w:color w:val="000000"/>
          <w:sz w:val="22"/>
          <w:szCs w:val="22"/>
        </w:rPr>
        <w:t>);</w:t>
      </w:r>
    </w:p>
    <w:p w14:paraId="0000005E" w14:textId="77777777" w:rsidR="00692E1D" w:rsidRDefault="009A36CA">
      <w:pPr>
        <w:widowControl w:val="0"/>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recare in ciascuna pagina, nell’intestazione, il CIG, il CUP, il titolo dell’intervento “Il Turismo delle Radici - Una Strategia Integrata per la ripresa del settore del Turismo nell’Italia post Covid-19”, e la denominazione dell’operatore che presenta l’o</w:t>
      </w:r>
      <w:r>
        <w:rPr>
          <w:rFonts w:ascii="Times New Roman" w:eastAsia="Times New Roman" w:hAnsi="Times New Roman" w:cs="Times New Roman"/>
          <w:color w:val="000000"/>
          <w:sz w:val="22"/>
          <w:szCs w:val="22"/>
        </w:rPr>
        <w:t>fferta.</w:t>
      </w:r>
    </w:p>
    <w:p w14:paraId="0000005F"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 precisa che il contenuto delle pagine successive al limite massimo indicato per ciascun Paragrafo non sarà preso in considerazione dalla Commissione ai fini della valutazione dell’offerta tecnica.</w:t>
      </w:r>
    </w:p>
    <w:p w14:paraId="00000060"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L’offerta tecnica non può prevedere varianti al </w:t>
      </w:r>
      <w:r>
        <w:rPr>
          <w:rFonts w:ascii="Times New Roman" w:eastAsia="Times New Roman" w:hAnsi="Times New Roman" w:cs="Times New Roman"/>
          <w:color w:val="000000"/>
          <w:sz w:val="22"/>
          <w:szCs w:val="22"/>
        </w:rPr>
        <w:t>Capitolato tecnico, fatta eccezione per i miglioramenti allo stesso, in funzione degli elementi di valutazione di cui al Disciplinare di gara. Le eventuali soluzioni tecnico-migliorative proposte dal concorrente, non possono comportare:</w:t>
      </w:r>
    </w:p>
    <w:p w14:paraId="00000061" w14:textId="77777777" w:rsidR="00692E1D" w:rsidRDefault="009A36CA">
      <w:pPr>
        <w:widowControl w:val="0"/>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modifiche dei requi</w:t>
      </w:r>
      <w:r>
        <w:rPr>
          <w:rFonts w:ascii="Times New Roman" w:eastAsia="Times New Roman" w:hAnsi="Times New Roman" w:cs="Times New Roman"/>
          <w:color w:val="000000"/>
          <w:sz w:val="22"/>
          <w:szCs w:val="22"/>
        </w:rPr>
        <w:t>siti prestazionali e funzionali dei servizi come da Capitolato, da normativa di legge e specifiche del Capitolato;</w:t>
      </w:r>
    </w:p>
    <w:p w14:paraId="00000062" w14:textId="77777777" w:rsidR="00692E1D" w:rsidRDefault="009A36CA">
      <w:pPr>
        <w:widowControl w:val="0"/>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violazione delle norme vigenti.</w:t>
      </w:r>
    </w:p>
    <w:p w14:paraId="00000063" w14:textId="77777777" w:rsidR="00692E1D" w:rsidRDefault="009A36CA">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Non sono altresì ammesse le offerte tecniche che:</w:t>
      </w:r>
    </w:p>
    <w:p w14:paraId="00000064" w14:textId="77777777" w:rsidR="00692E1D" w:rsidRDefault="009A36CA">
      <w:pPr>
        <w:widowControl w:val="0"/>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relazione a uno o più di uno degli elementi di valutazio</w:t>
      </w:r>
      <w:r>
        <w:rPr>
          <w:rFonts w:ascii="Times New Roman" w:eastAsia="Times New Roman" w:hAnsi="Times New Roman" w:cs="Times New Roman"/>
          <w:color w:val="000000"/>
          <w:sz w:val="22"/>
          <w:szCs w:val="22"/>
        </w:rPr>
        <w:t xml:space="preserve">ne, eccedano i limiti o siano in contrasto con le condizioni degli elementi ritenuti inderogabili, in violazione del divieto di varianti; </w:t>
      </w:r>
    </w:p>
    <w:p w14:paraId="00000065" w14:textId="77777777" w:rsidR="00692E1D" w:rsidRDefault="009A36CA">
      <w:pPr>
        <w:keepNext/>
        <w:keepLines/>
        <w:widowControl w:val="0"/>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esprimano o rappresentino soluzioni tra loro alternative, opzioni diverse, proposte condizionate o altre condizioni e</w:t>
      </w:r>
      <w:r>
        <w:rPr>
          <w:rFonts w:ascii="Times New Roman" w:eastAsia="Times New Roman" w:hAnsi="Times New Roman" w:cs="Times New Roman"/>
          <w:color w:val="000000"/>
          <w:sz w:val="22"/>
          <w:szCs w:val="22"/>
        </w:rPr>
        <w:t>quivoche o caratterizzate da ambiguità che impediscano una valutazione univoca, anche qualora la scelta tra le diverse soluzioni sia lasciata alla Stazione appaltante;</w:t>
      </w:r>
    </w:p>
    <w:p w14:paraId="00000066" w14:textId="77777777" w:rsidR="00692E1D" w:rsidRDefault="009A36CA">
      <w:pPr>
        <w:keepNext/>
        <w:keepLines/>
        <w:widowControl w:val="0"/>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prevedano soluzioni tecniche o prestazionali peggiorative rispetto a quanto previsto dal</w:t>
      </w:r>
      <w:r>
        <w:rPr>
          <w:rFonts w:ascii="Times New Roman" w:eastAsia="Times New Roman" w:hAnsi="Times New Roman" w:cs="Times New Roman"/>
          <w:color w:val="000000"/>
          <w:sz w:val="22"/>
          <w:szCs w:val="22"/>
        </w:rPr>
        <w:t>la documentazione a base di gara oppure incompatibili con quest’ultima;</w:t>
      </w:r>
    </w:p>
    <w:p w14:paraId="00000067" w14:textId="77777777" w:rsidR="00692E1D" w:rsidRDefault="009A36CA">
      <w:pPr>
        <w:keepNext/>
        <w:keepLines/>
        <w:widowControl w:val="0"/>
        <w:numPr>
          <w:ilvl w:val="0"/>
          <w:numId w:val="1"/>
        </w:num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siano in contrasto con autorizzazioni, pareri o altri atti di assenso, comunque denominati, già espressi con atti pubblici o recepiti in questi, o con prescrizioni imposte negli stessi atti di assenso, oppure in contrasto con altri vincoli inderogabili se </w:t>
      </w:r>
      <w:r>
        <w:rPr>
          <w:rFonts w:ascii="Times New Roman" w:eastAsia="Times New Roman" w:hAnsi="Times New Roman" w:cs="Times New Roman"/>
          <w:color w:val="000000"/>
          <w:sz w:val="22"/>
          <w:szCs w:val="22"/>
        </w:rPr>
        <w:t>non già oggetto di deroghe già acquisite e contenute nel Capitolato a base di gara.</w:t>
      </w:r>
    </w:p>
    <w:p w14:paraId="00000068" w14:textId="77777777" w:rsidR="00692E1D" w:rsidRDefault="009A36CA">
      <w:pPr>
        <w:keepNext/>
        <w:keepLines/>
        <w:widowControl w:val="0"/>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 ricorda, infine, che, a pena di esclusione, non dovranno essere inseriti, da parte dell’Operatore economico, riferimenti all’offerta economica nella sezione tecnica.</w:t>
      </w:r>
    </w:p>
    <w:sectPr w:rsidR="00692E1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8B78F" w14:textId="77777777" w:rsidR="00000000" w:rsidRDefault="009A36CA">
      <w:r>
        <w:separator/>
      </w:r>
    </w:p>
  </w:endnote>
  <w:endnote w:type="continuationSeparator" w:id="0">
    <w:p w14:paraId="4F5257C6" w14:textId="77777777" w:rsidR="00000000" w:rsidRDefault="009A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E" w14:textId="77777777" w:rsidR="00692E1D" w:rsidRDefault="00692E1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0" w14:textId="77777777" w:rsidR="00692E1D" w:rsidRDefault="00692E1D">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F" w14:textId="77777777" w:rsidR="00692E1D" w:rsidRDefault="00692E1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58B09" w14:textId="77777777" w:rsidR="00000000" w:rsidRDefault="009A36CA">
      <w:r>
        <w:separator/>
      </w:r>
    </w:p>
  </w:footnote>
  <w:footnote w:type="continuationSeparator" w:id="0">
    <w:p w14:paraId="4AD33B75" w14:textId="77777777" w:rsidR="00000000" w:rsidRDefault="009A36CA">
      <w:r>
        <w:continuationSeparator/>
      </w:r>
    </w:p>
  </w:footnote>
  <w:footnote w:id="1">
    <w:p w14:paraId="00000069" w14:textId="77777777" w:rsidR="00692E1D" w:rsidRDefault="009A36C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18"/>
          <w:szCs w:val="18"/>
        </w:rPr>
        <w:t>In ogni caso, si ricorda che, come indicato nel Disciplinare di gara al punto 12 “Modalità di presentazione dell’offerta e sottoscrizione dei documenti di gara” e nelle “Regole del sistema di e-procurement della pubblica amministrazione”, per la presentazi</w:t>
      </w:r>
      <w:r>
        <w:rPr>
          <w:rFonts w:ascii="Times New Roman" w:eastAsia="Times New Roman" w:hAnsi="Times New Roman" w:cs="Times New Roman"/>
          <w:color w:val="000000"/>
          <w:sz w:val="18"/>
          <w:szCs w:val="18"/>
        </w:rPr>
        <w:t>one dell’offerta, l’operatore economico ha a disposizione una capacità pari alla dimensione massima di 20 MB per singolo file, oltre la quale non è garantita la tempestiva ricezione. Nel caso fosse necessario l’invio di file di dimensioni maggiori si sugge</w:t>
      </w:r>
      <w:r>
        <w:rPr>
          <w:rFonts w:ascii="Times New Roman" w:eastAsia="Times New Roman" w:hAnsi="Times New Roman" w:cs="Times New Roman"/>
          <w:color w:val="000000"/>
          <w:sz w:val="18"/>
          <w:szCs w:val="18"/>
        </w:rPr>
        <w:t xml:space="preserve">risce il frazionamento degli stessi in più file, indicando l’ordine degli stessi con numeri progressivi e consecutivi (es. Offerta Tecnica_parte 1; Offerta tecnica_parte 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C" w14:textId="77777777" w:rsidR="00692E1D" w:rsidRDefault="00692E1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A" w14:textId="77777777" w:rsidR="00692E1D" w:rsidRDefault="009A36CA">
    <w:pPr>
      <w:pBdr>
        <w:top w:val="nil"/>
        <w:left w:val="nil"/>
        <w:bottom w:val="nil"/>
        <w:right w:val="nil"/>
        <w:between w:val="nil"/>
      </w:pBdr>
      <w:tabs>
        <w:tab w:val="center" w:pos="5050"/>
        <w:tab w:val="right" w:pos="9869"/>
      </w:tabs>
      <w:spacing w:before="280" w:after="100"/>
      <w:ind w:left="231" w:hanging="10"/>
      <w:jc w:val="both"/>
      <w:rPr>
        <w:rFonts w:ascii="Garamond" w:eastAsia="Garamond" w:hAnsi="Garamond" w:cs="Garamond"/>
        <w:color w:val="000000"/>
      </w:rPr>
    </w:pPr>
    <w:r>
      <w:rPr>
        <w:rFonts w:ascii="Garamond" w:eastAsia="Garamond" w:hAnsi="Garamond" w:cs="Garamond"/>
        <w:noProof/>
        <w:color w:val="000000"/>
      </w:rPr>
      <w:drawing>
        <wp:inline distT="0" distB="0" distL="0" distR="0">
          <wp:extent cx="1990850" cy="542959"/>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90850" cy="542959"/>
                  </a:xfrm>
                  <a:prstGeom prst="rect">
                    <a:avLst/>
                  </a:prstGeom>
                  <a:ln/>
                </pic:spPr>
              </pic:pic>
            </a:graphicData>
          </a:graphic>
        </wp:inline>
      </w:drawing>
    </w:r>
    <w:r>
      <w:rPr>
        <w:rFonts w:ascii="Garamond" w:eastAsia="Garamond" w:hAnsi="Garamond" w:cs="Garamond"/>
        <w:noProof/>
        <w:color w:val="000000"/>
      </w:rPr>
      <w:drawing>
        <wp:inline distT="0" distB="0" distL="0" distR="0">
          <wp:extent cx="1495531" cy="101924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95531" cy="1019247"/>
                  </a:xfrm>
                  <a:prstGeom prst="rect">
                    <a:avLst/>
                  </a:prstGeom>
                  <a:ln/>
                </pic:spPr>
              </pic:pic>
            </a:graphicData>
          </a:graphic>
        </wp:inline>
      </w:drawing>
    </w:r>
    <w:r>
      <w:rPr>
        <w:rFonts w:ascii="Garamond" w:eastAsia="Garamond" w:hAnsi="Garamond" w:cs="Garamond"/>
        <w:color w:val="000000"/>
      </w:rPr>
      <w:t xml:space="preserve">   </w:t>
    </w:r>
    <w:r>
      <w:rPr>
        <w:rFonts w:ascii="Garamond" w:eastAsia="Garamond" w:hAnsi="Garamond" w:cs="Garamond"/>
        <w:noProof/>
        <w:color w:val="000000"/>
      </w:rPr>
      <w:drawing>
        <wp:inline distT="0" distB="0" distL="0" distR="0">
          <wp:extent cx="1945080" cy="4082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945080" cy="408240"/>
                  </a:xfrm>
                  <a:prstGeom prst="rect">
                    <a:avLst/>
                  </a:prstGeom>
                  <a:ln/>
                </pic:spPr>
              </pic:pic>
            </a:graphicData>
          </a:graphic>
        </wp:inline>
      </w:drawing>
    </w:r>
  </w:p>
  <w:p w14:paraId="0000006B" w14:textId="77777777" w:rsidR="00692E1D" w:rsidRDefault="00692E1D">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D" w14:textId="77777777" w:rsidR="00692E1D" w:rsidRDefault="00692E1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DF0"/>
    <w:multiLevelType w:val="multilevel"/>
    <w:tmpl w:val="8BC20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0E33E8"/>
    <w:multiLevelType w:val="multilevel"/>
    <w:tmpl w:val="01880C1C"/>
    <w:lvl w:ilvl="0">
      <w:start w:val="1"/>
      <w:numFmt w:val="bullet"/>
      <w:lvlText w:val="●"/>
      <w:lvlJc w:val="left"/>
      <w:pPr>
        <w:ind w:left="360" w:hanging="360"/>
      </w:pPr>
      <w:rPr>
        <w:b/>
      </w:rPr>
    </w:lvl>
    <w:lvl w:ilvl="1">
      <w:start w:val="1"/>
      <w:numFmt w:val="bullet"/>
      <w:lvlText w:val="○"/>
      <w:lvlJc w:val="left"/>
      <w:pPr>
        <w:ind w:left="360" w:hanging="360"/>
      </w:pPr>
      <w:rPr>
        <w:b/>
        <w:highlight w:val="yellow"/>
      </w:rPr>
    </w:lvl>
    <w:lvl w:ilvl="2">
      <w:start w:val="1"/>
      <w:numFmt w:val="bullet"/>
      <w:lvlText w:val="■"/>
      <w:lvlJc w:val="left"/>
      <w:pPr>
        <w:ind w:left="720" w:hanging="720"/>
      </w:pPr>
      <w:rPr>
        <w:b/>
      </w:rPr>
    </w:lvl>
    <w:lvl w:ilvl="3">
      <w:start w:val="1"/>
      <w:numFmt w:val="bullet"/>
      <w:lvlText w:val="●"/>
      <w:lvlJc w:val="left"/>
      <w:pPr>
        <w:ind w:left="720" w:hanging="720"/>
      </w:pPr>
      <w:rPr>
        <w:b/>
      </w:rPr>
    </w:lvl>
    <w:lvl w:ilvl="4">
      <w:start w:val="1"/>
      <w:numFmt w:val="bullet"/>
      <w:lvlText w:val="○"/>
      <w:lvlJc w:val="left"/>
      <w:pPr>
        <w:ind w:left="1080" w:hanging="1080"/>
      </w:pPr>
      <w:rPr>
        <w:b/>
      </w:rPr>
    </w:lvl>
    <w:lvl w:ilvl="5">
      <w:start w:val="1"/>
      <w:numFmt w:val="bullet"/>
      <w:lvlText w:val="■"/>
      <w:lvlJc w:val="left"/>
      <w:pPr>
        <w:ind w:left="1080" w:hanging="1080"/>
      </w:pPr>
      <w:rPr>
        <w:b/>
      </w:rPr>
    </w:lvl>
    <w:lvl w:ilvl="6">
      <w:start w:val="1"/>
      <w:numFmt w:val="bullet"/>
      <w:lvlText w:val="●"/>
      <w:lvlJc w:val="left"/>
      <w:pPr>
        <w:ind w:left="1440" w:hanging="1440"/>
      </w:pPr>
      <w:rPr>
        <w:b/>
      </w:rPr>
    </w:lvl>
    <w:lvl w:ilvl="7">
      <w:start w:val="1"/>
      <w:numFmt w:val="bullet"/>
      <w:lvlText w:val="○"/>
      <w:lvlJc w:val="left"/>
      <w:pPr>
        <w:ind w:left="1440" w:hanging="1440"/>
      </w:pPr>
      <w:rPr>
        <w:b/>
      </w:rPr>
    </w:lvl>
    <w:lvl w:ilvl="8">
      <w:start w:val="1"/>
      <w:numFmt w:val="bullet"/>
      <w:lvlText w:val="■"/>
      <w:lvlJc w:val="left"/>
      <w:pPr>
        <w:ind w:left="1440" w:hanging="1440"/>
      </w:pPr>
      <w:rPr>
        <w:b/>
      </w:rPr>
    </w:lvl>
  </w:abstractNum>
  <w:abstractNum w:abstractNumId="2" w15:restartNumberingAfterBreak="0">
    <w:nsid w:val="55F8657E"/>
    <w:multiLevelType w:val="multilevel"/>
    <w:tmpl w:val="C2EA2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3B7530"/>
    <w:multiLevelType w:val="multilevel"/>
    <w:tmpl w:val="22DA61BA"/>
    <w:lvl w:ilvl="0">
      <w:start w:val="3"/>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D826A2"/>
    <w:multiLevelType w:val="multilevel"/>
    <w:tmpl w:val="7AAEE1E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6DD42E5B"/>
    <w:multiLevelType w:val="multilevel"/>
    <w:tmpl w:val="2E340486"/>
    <w:lvl w:ilvl="0">
      <w:numFmt w:val="bullet"/>
      <w:lvlText w:val="-"/>
      <w:lvlJc w:val="left"/>
      <w:pPr>
        <w:ind w:left="720" w:hanging="360"/>
      </w:pPr>
      <w:rPr>
        <w:rFonts w:ascii="Calibri" w:eastAsia="Calibri" w:hAnsi="Calibri" w:cs="Calibri"/>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5922B1"/>
    <w:multiLevelType w:val="multilevel"/>
    <w:tmpl w:val="39B439D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1D"/>
    <w:rsid w:val="00692E1D"/>
    <w:rsid w:val="006937CE"/>
    <w:rsid w:val="0075367B"/>
    <w:rsid w:val="00803665"/>
    <w:rsid w:val="009A36CA"/>
    <w:rsid w:val="00BD3797"/>
    <w:rsid w:val="00DF3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FC43"/>
  <w15:docId w15:val="{98C65FA1-55D5-479F-9EE0-3201B82E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240"/>
      <w:outlineLvl w:val="0"/>
    </w:pPr>
    <w:rPr>
      <w:b/>
      <w:color w:val="2F5496"/>
      <w:sz w:val="32"/>
      <w:szCs w:val="32"/>
    </w:rPr>
  </w:style>
  <w:style w:type="paragraph" w:styleId="Titolo2">
    <w:name w:val="heading 2"/>
    <w:basedOn w:val="Normale"/>
    <w:next w:val="Normale"/>
    <w:pPr>
      <w:keepNext/>
      <w:keepLines/>
      <w:widowControl w:val="0"/>
      <w:spacing w:before="480" w:after="120"/>
      <w:outlineLvl w:val="1"/>
    </w:pPr>
    <w:rPr>
      <w:b/>
      <w:color w:val="2F5496"/>
      <w:sz w:val="26"/>
      <w:szCs w:val="26"/>
    </w:rPr>
  </w:style>
  <w:style w:type="paragraph" w:styleId="Titolo3">
    <w:name w:val="heading 3"/>
    <w:basedOn w:val="Normale"/>
    <w:next w:val="Normale"/>
    <w:pPr>
      <w:keepNext/>
      <w:keepLines/>
      <w:spacing w:before="40"/>
      <w:outlineLvl w:val="2"/>
    </w:pPr>
    <w:rPr>
      <w:color w:val="1F3863"/>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rPr>
      <w:sz w:val="56"/>
      <w:szCs w:val="5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8036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3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iDduB58+ow5Q/p/+079DIOLiA==">CgMxLjAaJwoBMBIiCiAIBCocCgtBQUFBODdXM0pNNBAIGgtBQUFBODdXM0pNNCLmDAoLQUFBQTg3VzNKTTQSvAwKC0FBQUE4N1czSk00EgtBQUFBODdXM0pNNBrQAwoJdGV4dC9odG1sEsIDQXZldmFtbyBzcGVjaWZpY2F0byBsYSBhbm9tYWxpIGRlbCBwcmV2ZWRlcmUgMiBwdW50aSBwZXIgY2xpZW50aSBhdHRpdmkgZSAyIHB1bnRpIHBlciBjYXNlIGhpc3RvcnkgZGlzY2lwbGluYW5kb2xpIHBlcsOyIGluIG1vZG8gZGlmZmVyZW50ZTogcGVyIGlsIGNhc2UgaGlzdG9yeSBzZW1icmEgY2hlIGlsIGNvbmZlcmltZW50byBkZWkgMiBwdW50aSBzaWEgcmljb2xsZWdhdG8gYWxsYSBhbmFsaXNpIGUgdmFsdXRhemlvbmUgZGVpIGR1ZSBjYXNlIHN0dWRpZXMgcHJlY2VkZW50aSwgbWVudHJlIHBlciBsZSAmcXVvdDtyZWZlcmVuemUmcXVvdDsgbm9uIHZpZW5lIHF1YW50aWZpY2F0byBpbCByaWZlcmltZW50byBhbCBudW1lcm8gZGVpIGNsaWVudGkgcHJlZ3Jlc3NpIChvIGF0dGl2aSkgY2hlIHZlcnJlYmJlcm8gdmFsdXRhdGkgcGVyIGlsIGNvbmZlcmltZW50byBkZWkgZHVlIHB1bnRpIscDCgp0ZXh0L3BsYWluErgDQXZldmFtbyBzcGVjaWZpY2F0byBsYSBhbm9tYWxpIGRlbCBwcmV2ZWRlcmUgMiBwdW50aSBwZXIgY2xpZW50aSBhdHRpdmkgZSAyIHB1bnRpIHBlciBjYXNlIGhpc3RvcnkgZGlzY2lwbGluYW5kb2xpIHBlcsOyIGluIG1vZG8gZGlmZmVyZW50ZTogcGVyIGlsIGNhc2UgaGlzdG9yeSBzZW1icmEgY2hlIGlsIGNvbmZlcmltZW50byBkZWkgMiBwdW50aSBzaWEgcmljb2xsZWdhdG8gYWxsYSBhbmFsaXNpIGUgdmFsdXRhemlvbmUgZGVpIGR1ZSBjYXNlIHN0dWRpZXMgcHJlY2VkZW50aSwgbWVudHJlIHBlciBsZSAicmVmZXJlbnplIiBub24gdmllbmUgcXVhbnRpZmljYXRvIGlsIHJpZmVyaW1lbnRvIGFsIG51bWVybyBkZWkgY2xpZW50aSBwcmVncmVzc2kgKG8gYXR0aXZpKSBjaGUgdmVycmViYmVybyB2YWx1dGF0aSBwZXIgaWwgY29uZmVyaW1lbnRvIGRlaSBkdWUgcHVudGkqSgoRQmVuZWRldHRhIEx1YnJhbm8aNS8vc3NsLmdzdGF0aWMuY29tL2RvY3MvY29tbW9uL2JsdWVfc2lsaG91ZXR0ZTk2LTAucG5nMIDjjqG7MTiA446huzFyTAoRQmVuZWRldHRhIEx1YnJhbm8aNwo1Ly9zc2wuZ3N0YXRpYy5jb20vZG9jcy9jb21tb24vYmx1ZV9zaWxob3VldHRlOTYtMC5wbmd4AIgBAZoBBggAEAAYAKoBxQMSwgNBdmV2YW1vIHNwZWNpZmljYXRvIGxhIGFub21hbGkgZGVsIHByZXZlZGVyZSAyIHB1bnRpIHBlciBjbGllbnRpIGF0dGl2aSBlIDIgcHVudGkgcGVyIGNhc2UgaGlzdG9yeSBkaXNjaXBsaW5hbmRvbGkgcGVyw7IgaW4gbW9kbyBkaWZmZXJlbnRlOiBwZXIgaWwgY2FzZSBoaXN0b3J5IHNlbWJyYSBjaGUgaWwgY29uZmVyaW1lbnRvIGRlaSAyIHB1bnRpIHNpYSByaWNvbGxlZ2F0byBhbGxhIGFuYWxpc2kgZSB2YWx1dGF6aW9uZSBkZWkgZHVlIGNhc2Ugc3R1ZGllcyBwcmVjZWRlbnRpLCBtZW50cmUgcGVyIGxlICZxdW90O3JlZmVyZW56ZSZxdW90OyBub24gdmllbmUgcXVhbnRpZmljYXRvIGlsIHJpZmVyaW1lbnRvIGFsIG51bWVybyBkZWkgY2xpZW50aSBwcmVncmVzc2kgKG8gYXR0aXZpKSBjaGUgdmVycmViYmVybyB2YWx1dGF0aSBwZXIgaWwgY29uZmVyaW1lbnRvIGRlaSBkdWUgcHVudGmwAQC4AQEYgOOOobsxIIDjjqG7MTAAQghraXguY210MDIIaC5namRneHM4AHIhMUJLMUNoTk93VEdIXzhCMlFxZjNZUmlaREFCSk8wTj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2027</Words>
  <Characters>11554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Brullo Carlotta</dc:creator>
  <cp:lastModifiedBy>Brullo Carlotta</cp:lastModifiedBy>
  <cp:revision>5</cp:revision>
  <dcterms:created xsi:type="dcterms:W3CDTF">2023-12-11T16:54:00Z</dcterms:created>
  <dcterms:modified xsi:type="dcterms:W3CDTF">2023-12-11T17:08:00Z</dcterms:modified>
</cp:coreProperties>
</file>