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D1F67" w14:textId="39D98525" w:rsidR="00C83E04" w:rsidRPr="00532AB9" w:rsidRDefault="004F5122" w:rsidP="00532AB9">
      <w:pPr>
        <w:rPr>
          <w:b/>
          <w:sz w:val="24"/>
          <w:szCs w:val="24"/>
        </w:rPr>
      </w:pPr>
      <w:r w:rsidRPr="00F63994">
        <w:rPr>
          <w:b/>
          <w:noProof/>
          <w:sz w:val="36"/>
          <w:szCs w:val="36"/>
        </w:rPr>
        <w:drawing>
          <wp:inline distT="0" distB="0" distL="0" distR="0" wp14:anchorId="757DFA23" wp14:editId="5507852B">
            <wp:extent cx="2044700" cy="486228"/>
            <wp:effectExtent l="0" t="0" r="0" b="0"/>
            <wp:docPr id="771183963" name="image1.png" descr="Immagine che contiene schermata, simbolo, logo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simbolo, logo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720" cy="49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6636A" w14:textId="77777777" w:rsidR="008921F6" w:rsidRDefault="008921F6" w:rsidP="00B9127F">
      <w:pPr>
        <w:jc w:val="center"/>
        <w:rPr>
          <w:b/>
          <w:sz w:val="28"/>
          <w:szCs w:val="28"/>
        </w:rPr>
      </w:pPr>
    </w:p>
    <w:p w14:paraId="4EB814F9" w14:textId="18926837" w:rsidR="008921F6" w:rsidRDefault="008921F6" w:rsidP="00B912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ABSTRACT </w:t>
      </w:r>
    </w:p>
    <w:p w14:paraId="432EF293" w14:textId="2CE27EBF" w:rsidR="00B9127F" w:rsidRPr="00C83E04" w:rsidRDefault="00B9127F" w:rsidP="00B9127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83E04">
        <w:rPr>
          <w:b/>
          <w:sz w:val="28"/>
          <w:szCs w:val="28"/>
        </w:rPr>
        <w:t xml:space="preserve">Rapporto </w:t>
      </w:r>
      <w:r w:rsidRPr="00C83E04">
        <w:rPr>
          <w:b/>
          <w:i/>
          <w:iCs/>
          <w:sz w:val="28"/>
          <w:szCs w:val="28"/>
        </w:rPr>
        <w:t>ad Interim</w:t>
      </w:r>
      <w:r w:rsidRPr="00C83E04">
        <w:rPr>
          <w:b/>
          <w:sz w:val="28"/>
          <w:szCs w:val="28"/>
        </w:rPr>
        <w:t xml:space="preserve"> del Tavolo di Lavoro per le Biotecnologie</w:t>
      </w:r>
    </w:p>
    <w:p w14:paraId="74E007BC" w14:textId="0B2D0299" w:rsidR="002F78C1" w:rsidRPr="00C83E04" w:rsidRDefault="00B9127F" w:rsidP="00B9127F">
      <w:pPr>
        <w:jc w:val="center"/>
        <w:rPr>
          <w:b/>
          <w:sz w:val="32"/>
          <w:szCs w:val="32"/>
        </w:rPr>
      </w:pPr>
      <w:r w:rsidRPr="00C83E04">
        <w:rPr>
          <w:b/>
          <w:sz w:val="28"/>
          <w:szCs w:val="28"/>
        </w:rPr>
        <w:t>Internazionalizzazione e Innovazione</w:t>
      </w:r>
      <w:r w:rsidR="007407D0" w:rsidRPr="00B9127F">
        <w:rPr>
          <w:b/>
          <w:sz w:val="28"/>
          <w:szCs w:val="28"/>
        </w:rPr>
        <w:t>:</w:t>
      </w:r>
      <w:r w:rsidR="007407D0" w:rsidRPr="007407D0">
        <w:rPr>
          <w:b/>
          <w:sz w:val="28"/>
          <w:szCs w:val="28"/>
        </w:rPr>
        <w:t xml:space="preserve"> le patologie di interesse nazionale e le sfide in ambito </w:t>
      </w:r>
      <w:proofErr w:type="spellStart"/>
      <w:r w:rsidR="00D85FD6">
        <w:rPr>
          <w:b/>
          <w:sz w:val="28"/>
          <w:szCs w:val="28"/>
        </w:rPr>
        <w:t>bio</w:t>
      </w:r>
      <w:r w:rsidR="007407D0" w:rsidRPr="007407D0">
        <w:rPr>
          <w:b/>
          <w:sz w:val="28"/>
          <w:szCs w:val="28"/>
        </w:rPr>
        <w:t>industriale</w:t>
      </w:r>
      <w:proofErr w:type="spellEnd"/>
      <w:r w:rsidR="007407D0" w:rsidRPr="007407D0">
        <w:rPr>
          <w:b/>
          <w:sz w:val="28"/>
          <w:szCs w:val="28"/>
        </w:rPr>
        <w:t xml:space="preserve"> e ambientale </w:t>
      </w:r>
    </w:p>
    <w:p w14:paraId="65B01EE4" w14:textId="4113665F" w:rsidR="00C70DB7" w:rsidRPr="004A0A93" w:rsidRDefault="00C70DB7" w:rsidP="00C70DB7">
      <w:pPr>
        <w:spacing w:line="276" w:lineRule="auto"/>
        <w:jc w:val="both"/>
        <w:rPr>
          <w:b/>
          <w:color w:val="000000"/>
          <w:sz w:val="20"/>
          <w:szCs w:val="20"/>
        </w:rPr>
      </w:pPr>
      <w:r w:rsidRPr="004A0A93">
        <w:rPr>
          <w:bCs/>
          <w:color w:val="000000"/>
          <w:sz w:val="20"/>
          <w:szCs w:val="20"/>
        </w:rPr>
        <w:t>Il Rapporto illustra una strategia finalizzata a migliorare la</w:t>
      </w:r>
      <w:r w:rsidR="00104483" w:rsidRPr="004A0A93">
        <w:rPr>
          <w:bCs/>
          <w:color w:val="000000"/>
          <w:sz w:val="20"/>
          <w:szCs w:val="20"/>
        </w:rPr>
        <w:t xml:space="preserve"> competitività</w:t>
      </w:r>
      <w:r w:rsidRPr="004A0A93">
        <w:rPr>
          <w:bCs/>
          <w:color w:val="000000"/>
          <w:sz w:val="20"/>
          <w:szCs w:val="20"/>
        </w:rPr>
        <w:t xml:space="preserve"> </w:t>
      </w:r>
      <w:r w:rsidR="00104483" w:rsidRPr="004A0A93">
        <w:rPr>
          <w:bCs/>
          <w:color w:val="000000"/>
          <w:sz w:val="20"/>
          <w:szCs w:val="20"/>
        </w:rPr>
        <w:t xml:space="preserve">del settore </w:t>
      </w:r>
      <w:r w:rsidR="00ED1949" w:rsidRPr="004A0A93">
        <w:rPr>
          <w:bCs/>
          <w:color w:val="000000"/>
          <w:sz w:val="20"/>
          <w:szCs w:val="20"/>
        </w:rPr>
        <w:t>biotecnologico</w:t>
      </w:r>
      <w:r w:rsidR="00104483" w:rsidRPr="004A0A93">
        <w:rPr>
          <w:bCs/>
          <w:color w:val="000000"/>
          <w:sz w:val="20"/>
          <w:szCs w:val="20"/>
        </w:rPr>
        <w:t xml:space="preserve"> italiano </w:t>
      </w:r>
      <w:r w:rsidR="004B68BB" w:rsidRPr="004A0A93">
        <w:rPr>
          <w:bCs/>
          <w:color w:val="000000"/>
          <w:sz w:val="20"/>
          <w:szCs w:val="20"/>
        </w:rPr>
        <w:t xml:space="preserve">attraverso il supporto all’internazionalizzazione delle </w:t>
      </w:r>
      <w:r w:rsidR="004B68BB" w:rsidRPr="004A0A93">
        <w:rPr>
          <w:b/>
          <w:color w:val="000000"/>
          <w:sz w:val="20"/>
          <w:szCs w:val="20"/>
        </w:rPr>
        <w:t>Imprese Biotecnologiche Emergenti</w:t>
      </w:r>
      <w:r w:rsidR="004B68BB" w:rsidRPr="004A0A93">
        <w:rPr>
          <w:bCs/>
          <w:color w:val="000000"/>
          <w:sz w:val="20"/>
          <w:szCs w:val="20"/>
        </w:rPr>
        <w:t xml:space="preserve"> e al sostegno </w:t>
      </w:r>
      <w:r w:rsidR="0009730C" w:rsidRPr="004A0A93">
        <w:rPr>
          <w:bCs/>
          <w:color w:val="000000"/>
          <w:sz w:val="20"/>
          <w:szCs w:val="20"/>
        </w:rPr>
        <w:t>delle</w:t>
      </w:r>
      <w:r w:rsidR="004B68BB" w:rsidRPr="004A0A93">
        <w:rPr>
          <w:bCs/>
          <w:color w:val="000000"/>
          <w:sz w:val="20"/>
          <w:szCs w:val="20"/>
        </w:rPr>
        <w:t xml:space="preserve"> loro attività di Ricerca e Sviluppo.</w:t>
      </w:r>
      <w:r w:rsidRPr="004A0A93">
        <w:rPr>
          <w:bCs/>
          <w:color w:val="000000"/>
          <w:sz w:val="20"/>
          <w:szCs w:val="20"/>
        </w:rPr>
        <w:t xml:space="preserve"> </w:t>
      </w:r>
      <w:r w:rsidR="004B68BB" w:rsidRPr="004A0A93">
        <w:rPr>
          <w:bCs/>
          <w:color w:val="000000"/>
          <w:sz w:val="20"/>
          <w:szCs w:val="20"/>
        </w:rPr>
        <w:t xml:space="preserve">Il primo passo </w:t>
      </w:r>
      <w:r w:rsidR="00ED1949" w:rsidRPr="004A0A93">
        <w:rPr>
          <w:bCs/>
          <w:color w:val="000000"/>
          <w:sz w:val="20"/>
          <w:szCs w:val="20"/>
        </w:rPr>
        <w:t xml:space="preserve">proposto </w:t>
      </w:r>
      <w:r w:rsidR="004B68BB" w:rsidRPr="004A0A93">
        <w:rPr>
          <w:bCs/>
          <w:color w:val="000000"/>
          <w:sz w:val="20"/>
          <w:szCs w:val="20"/>
        </w:rPr>
        <w:t xml:space="preserve">è stato quello di individuare le </w:t>
      </w:r>
      <w:r w:rsidR="00ED1949" w:rsidRPr="004A0A93">
        <w:rPr>
          <w:b/>
          <w:color w:val="000000"/>
          <w:sz w:val="20"/>
          <w:szCs w:val="20"/>
        </w:rPr>
        <w:t>P</w:t>
      </w:r>
      <w:r w:rsidR="004B68BB" w:rsidRPr="004A0A93">
        <w:rPr>
          <w:b/>
          <w:color w:val="000000"/>
          <w:sz w:val="20"/>
          <w:szCs w:val="20"/>
        </w:rPr>
        <w:t>atologie</w:t>
      </w:r>
      <w:r w:rsidR="004B68BB" w:rsidRPr="004A0A93">
        <w:rPr>
          <w:bCs/>
          <w:color w:val="000000"/>
          <w:sz w:val="20"/>
          <w:szCs w:val="20"/>
        </w:rPr>
        <w:t xml:space="preserve"> </w:t>
      </w:r>
      <w:r w:rsidR="00ED1949" w:rsidRPr="004A0A93">
        <w:rPr>
          <w:b/>
          <w:color w:val="000000"/>
          <w:sz w:val="20"/>
          <w:szCs w:val="20"/>
        </w:rPr>
        <w:t>di Interesse Nazionale</w:t>
      </w:r>
      <w:r w:rsidR="00ED1949" w:rsidRPr="004A0A93">
        <w:rPr>
          <w:bCs/>
          <w:color w:val="000000"/>
          <w:sz w:val="20"/>
          <w:szCs w:val="20"/>
        </w:rPr>
        <w:t xml:space="preserve">, </w:t>
      </w:r>
      <w:r w:rsidR="0009730C" w:rsidRPr="004A0A93">
        <w:rPr>
          <w:bCs/>
          <w:color w:val="000000"/>
          <w:sz w:val="20"/>
          <w:szCs w:val="20"/>
        </w:rPr>
        <w:t xml:space="preserve">individuate per il loro maggiore impatto in termini di decessi e riduzione della qualità della vita, includono </w:t>
      </w:r>
      <w:r w:rsidRPr="004A0A93">
        <w:rPr>
          <w:bCs/>
          <w:color w:val="000000"/>
          <w:sz w:val="20"/>
          <w:szCs w:val="20"/>
        </w:rPr>
        <w:t>malattie cardiovascolari, che rappresentano il 35% di tutti i decessi in Italia; tumori, responsabili del 29% delle morti; patologie respiratorie; malattie cronico-degenerative</w:t>
      </w:r>
      <w:r w:rsidR="00532AB9" w:rsidRPr="004A0A93">
        <w:rPr>
          <w:bCs/>
          <w:color w:val="000000"/>
          <w:sz w:val="20"/>
          <w:szCs w:val="20"/>
        </w:rPr>
        <w:t>; malattie infettive e</w:t>
      </w:r>
      <w:r w:rsidRPr="004A0A93">
        <w:rPr>
          <w:bCs/>
          <w:color w:val="000000"/>
          <w:sz w:val="20"/>
          <w:szCs w:val="20"/>
        </w:rPr>
        <w:t xml:space="preserve"> la resistenza agli antibiotici che nel 2023 ha causato circa 70 mila decessi. Accanto a queste</w:t>
      </w:r>
      <w:r w:rsidR="00ED1949" w:rsidRPr="004A0A93">
        <w:rPr>
          <w:bCs/>
          <w:color w:val="000000"/>
          <w:sz w:val="20"/>
          <w:szCs w:val="20"/>
        </w:rPr>
        <w:t>,</w:t>
      </w:r>
      <w:r w:rsidRPr="004A0A93">
        <w:rPr>
          <w:bCs/>
          <w:color w:val="000000"/>
          <w:sz w:val="20"/>
          <w:szCs w:val="20"/>
        </w:rPr>
        <w:t xml:space="preserve"> il rapporto </w:t>
      </w:r>
      <w:r w:rsidR="004B68BB" w:rsidRPr="004A0A93">
        <w:rPr>
          <w:bCs/>
          <w:color w:val="000000"/>
          <w:sz w:val="20"/>
          <w:szCs w:val="20"/>
        </w:rPr>
        <w:t>identifica anche le</w:t>
      </w:r>
      <w:r w:rsidR="004B68BB" w:rsidRPr="004A0A93">
        <w:rPr>
          <w:b/>
          <w:color w:val="000000"/>
          <w:sz w:val="20"/>
          <w:szCs w:val="20"/>
        </w:rPr>
        <w:t xml:space="preserve"> </w:t>
      </w:r>
      <w:r w:rsidR="00ED1949" w:rsidRPr="004A0A93">
        <w:rPr>
          <w:b/>
          <w:color w:val="000000"/>
          <w:sz w:val="20"/>
          <w:szCs w:val="20"/>
        </w:rPr>
        <w:t>P</w:t>
      </w:r>
      <w:r w:rsidR="004B68BB" w:rsidRPr="004A0A93">
        <w:rPr>
          <w:b/>
          <w:color w:val="000000"/>
          <w:sz w:val="20"/>
          <w:szCs w:val="20"/>
        </w:rPr>
        <w:t xml:space="preserve">riorità </w:t>
      </w:r>
      <w:r w:rsidR="00ED1949" w:rsidRPr="004A0A93">
        <w:rPr>
          <w:b/>
          <w:bCs/>
          <w:color w:val="000000"/>
          <w:sz w:val="20"/>
          <w:szCs w:val="20"/>
        </w:rPr>
        <w:t>B</w:t>
      </w:r>
      <w:r w:rsidR="004B68BB" w:rsidRPr="004A0A93">
        <w:rPr>
          <w:b/>
          <w:bCs/>
          <w:color w:val="000000"/>
          <w:sz w:val="20"/>
          <w:szCs w:val="20"/>
        </w:rPr>
        <w:t xml:space="preserve">iotecnologiche </w:t>
      </w:r>
      <w:r w:rsidR="00ED1949" w:rsidRPr="004A0A93">
        <w:rPr>
          <w:b/>
          <w:bCs/>
          <w:color w:val="000000"/>
          <w:sz w:val="20"/>
          <w:szCs w:val="20"/>
        </w:rPr>
        <w:t>I</w:t>
      </w:r>
      <w:r w:rsidR="004B68BB" w:rsidRPr="004A0A93">
        <w:rPr>
          <w:b/>
          <w:bCs/>
          <w:color w:val="000000"/>
          <w:sz w:val="20"/>
          <w:szCs w:val="20"/>
        </w:rPr>
        <w:t xml:space="preserve">ndustriali e </w:t>
      </w:r>
      <w:r w:rsidR="00ED1949" w:rsidRPr="004A0A93">
        <w:rPr>
          <w:b/>
          <w:bCs/>
          <w:color w:val="000000"/>
          <w:sz w:val="20"/>
          <w:szCs w:val="20"/>
        </w:rPr>
        <w:t>A</w:t>
      </w:r>
      <w:r w:rsidR="004B68BB" w:rsidRPr="004A0A93">
        <w:rPr>
          <w:b/>
          <w:bCs/>
          <w:color w:val="000000"/>
          <w:sz w:val="20"/>
          <w:szCs w:val="20"/>
        </w:rPr>
        <w:t>mbientali</w:t>
      </w:r>
      <w:r w:rsidRPr="004A0A93">
        <w:rPr>
          <w:bCs/>
          <w:color w:val="000000"/>
          <w:sz w:val="20"/>
          <w:szCs w:val="20"/>
        </w:rPr>
        <w:t>, con tecnologie applicate alla riduzione delle emissioni di gas serra, alla tutela della biodiversità e allo sviluppo di culture biofortificate.</w:t>
      </w:r>
    </w:p>
    <w:p w14:paraId="36C48256" w14:textId="2721DB72" w:rsidR="00C70DB7" w:rsidRPr="004A0A93" w:rsidRDefault="00C70DB7" w:rsidP="00C70DB7">
      <w:pPr>
        <w:spacing w:line="276" w:lineRule="auto"/>
        <w:jc w:val="both"/>
        <w:rPr>
          <w:bCs/>
          <w:color w:val="000000"/>
          <w:sz w:val="20"/>
          <w:szCs w:val="20"/>
        </w:rPr>
      </w:pPr>
      <w:r w:rsidRPr="004A0A93">
        <w:rPr>
          <w:bCs/>
          <w:color w:val="000000"/>
          <w:sz w:val="20"/>
          <w:szCs w:val="20"/>
        </w:rPr>
        <w:t xml:space="preserve">Per affrontare queste sfide, </w:t>
      </w:r>
      <w:r w:rsidR="004B68BB" w:rsidRPr="004A0A93">
        <w:rPr>
          <w:bCs/>
          <w:color w:val="000000"/>
          <w:sz w:val="20"/>
          <w:szCs w:val="20"/>
        </w:rPr>
        <w:t xml:space="preserve">secondo passaggio, </w:t>
      </w:r>
      <w:r w:rsidRPr="004A0A93">
        <w:rPr>
          <w:bCs/>
          <w:color w:val="000000"/>
          <w:sz w:val="20"/>
          <w:szCs w:val="20"/>
        </w:rPr>
        <w:t xml:space="preserve">il Tavolo di Lavoro ha mappato le </w:t>
      </w:r>
      <w:r w:rsidR="00ED1949" w:rsidRPr="004A0A93">
        <w:rPr>
          <w:b/>
          <w:color w:val="000000"/>
          <w:sz w:val="20"/>
          <w:szCs w:val="20"/>
        </w:rPr>
        <w:t>B</w:t>
      </w:r>
      <w:r w:rsidRPr="004A0A93">
        <w:rPr>
          <w:b/>
          <w:color w:val="000000"/>
          <w:sz w:val="20"/>
          <w:szCs w:val="20"/>
        </w:rPr>
        <w:t xml:space="preserve">iotecnologie </w:t>
      </w:r>
      <w:r w:rsidR="00ED1949" w:rsidRPr="004A0A93">
        <w:rPr>
          <w:b/>
          <w:color w:val="000000"/>
          <w:sz w:val="20"/>
          <w:szCs w:val="20"/>
        </w:rPr>
        <w:t>E</w:t>
      </w:r>
      <w:r w:rsidRPr="004A0A93">
        <w:rPr>
          <w:b/>
          <w:color w:val="000000"/>
          <w:sz w:val="20"/>
          <w:szCs w:val="20"/>
        </w:rPr>
        <w:t>mergenti</w:t>
      </w:r>
      <w:r w:rsidRPr="004A0A93">
        <w:rPr>
          <w:bCs/>
          <w:color w:val="000000"/>
          <w:sz w:val="20"/>
          <w:szCs w:val="20"/>
        </w:rPr>
        <w:t xml:space="preserve"> con applicazioni terapeutiche e industriali. In campo terapeutico, sono state identificate </w:t>
      </w:r>
      <w:r w:rsidR="004B68BB" w:rsidRPr="004A0A93">
        <w:rPr>
          <w:bCs/>
          <w:color w:val="000000"/>
          <w:sz w:val="20"/>
          <w:szCs w:val="20"/>
        </w:rPr>
        <w:t xml:space="preserve">le </w:t>
      </w:r>
      <w:r w:rsidRPr="004A0A93">
        <w:rPr>
          <w:bCs/>
          <w:color w:val="000000"/>
          <w:sz w:val="20"/>
          <w:szCs w:val="20"/>
        </w:rPr>
        <w:t>terapie basate su RNA, terapie geniche e cellulari, immunoterapie, anticorpi monoclonali e antivirali. Sul fronte industriale e ambientale, le biotecnologie emergenti comprendono tecnologie basate sul microbioma, la genetica e selezione, la fermentazione di precisione e la biologia sintetica.</w:t>
      </w:r>
    </w:p>
    <w:p w14:paraId="54C7B450" w14:textId="507F2A29" w:rsidR="00C70DB7" w:rsidRPr="004A0A93" w:rsidRDefault="00C70DB7" w:rsidP="00C70DB7">
      <w:pPr>
        <w:spacing w:line="276" w:lineRule="auto"/>
        <w:jc w:val="both"/>
        <w:rPr>
          <w:bCs/>
          <w:color w:val="000000"/>
          <w:sz w:val="20"/>
          <w:szCs w:val="20"/>
        </w:rPr>
      </w:pPr>
      <w:r w:rsidRPr="004A0A93">
        <w:rPr>
          <w:bCs/>
          <w:color w:val="000000"/>
          <w:sz w:val="20"/>
          <w:szCs w:val="20"/>
        </w:rPr>
        <w:t>Il terzo passaggio della strategia è la creazione dell'</w:t>
      </w:r>
      <w:r w:rsidRPr="004A0A93">
        <w:rPr>
          <w:b/>
          <w:color w:val="000000"/>
          <w:sz w:val="20"/>
          <w:szCs w:val="20"/>
        </w:rPr>
        <w:t>Elenco Speciale delle Imprese Biotecnologiche Emergenti (ESIBE)</w:t>
      </w:r>
      <w:r w:rsidRPr="004A0A93">
        <w:rPr>
          <w:bCs/>
          <w:color w:val="000000"/>
          <w:sz w:val="20"/>
          <w:szCs w:val="20"/>
        </w:rPr>
        <w:t>, che include le imprese</w:t>
      </w:r>
      <w:r w:rsidR="00C01BD0" w:rsidRPr="004A0A93">
        <w:rPr>
          <w:bCs/>
          <w:color w:val="000000"/>
          <w:sz w:val="20"/>
          <w:szCs w:val="20"/>
        </w:rPr>
        <w:t xml:space="preserve"> nazionali</w:t>
      </w:r>
      <w:r w:rsidRPr="004A0A93">
        <w:rPr>
          <w:bCs/>
          <w:color w:val="000000"/>
          <w:sz w:val="20"/>
          <w:szCs w:val="20"/>
        </w:rPr>
        <w:t xml:space="preserve"> </w:t>
      </w:r>
      <w:r w:rsidR="004B68BB" w:rsidRPr="004A0A93">
        <w:rPr>
          <w:bCs/>
          <w:color w:val="000000"/>
          <w:sz w:val="20"/>
          <w:szCs w:val="20"/>
        </w:rPr>
        <w:t xml:space="preserve">impegnate </w:t>
      </w:r>
      <w:r w:rsidRPr="004A0A93">
        <w:rPr>
          <w:bCs/>
          <w:color w:val="000000"/>
          <w:sz w:val="20"/>
          <w:szCs w:val="20"/>
        </w:rPr>
        <w:t xml:space="preserve">nella </w:t>
      </w:r>
      <w:r w:rsidR="004B68BB" w:rsidRPr="004A0A93">
        <w:rPr>
          <w:bCs/>
          <w:color w:val="000000"/>
          <w:sz w:val="20"/>
          <w:szCs w:val="20"/>
        </w:rPr>
        <w:t>R</w:t>
      </w:r>
      <w:r w:rsidRPr="004A0A93">
        <w:rPr>
          <w:bCs/>
          <w:color w:val="000000"/>
          <w:sz w:val="20"/>
          <w:szCs w:val="20"/>
        </w:rPr>
        <w:t xml:space="preserve">icerca e </w:t>
      </w:r>
      <w:r w:rsidR="004B68BB" w:rsidRPr="004A0A93">
        <w:rPr>
          <w:bCs/>
          <w:color w:val="000000"/>
          <w:sz w:val="20"/>
          <w:szCs w:val="20"/>
        </w:rPr>
        <w:t>S</w:t>
      </w:r>
      <w:r w:rsidRPr="004A0A93">
        <w:rPr>
          <w:bCs/>
          <w:color w:val="000000"/>
          <w:sz w:val="20"/>
          <w:szCs w:val="20"/>
        </w:rPr>
        <w:t>viluppo</w:t>
      </w:r>
      <w:r w:rsidR="00C01BD0" w:rsidRPr="004A0A93">
        <w:rPr>
          <w:bCs/>
          <w:color w:val="000000"/>
          <w:sz w:val="20"/>
          <w:szCs w:val="20"/>
        </w:rPr>
        <w:t xml:space="preserve"> (R&amp;S)</w:t>
      </w:r>
      <w:r w:rsidRPr="004A0A93">
        <w:rPr>
          <w:bCs/>
          <w:color w:val="000000"/>
          <w:sz w:val="20"/>
          <w:szCs w:val="20"/>
        </w:rPr>
        <w:t xml:space="preserve"> di biotecnologie emergenti, sia in ambito sanitario che industriale-ambientale. </w:t>
      </w:r>
      <w:r w:rsidRPr="004A0A93">
        <w:rPr>
          <w:b/>
          <w:color w:val="000000"/>
          <w:sz w:val="20"/>
          <w:szCs w:val="20"/>
        </w:rPr>
        <w:t xml:space="preserve">Federchimica-Assobiotec </w:t>
      </w:r>
      <w:r w:rsidRPr="004A0A93">
        <w:rPr>
          <w:bCs/>
          <w:color w:val="000000"/>
          <w:sz w:val="20"/>
          <w:szCs w:val="20"/>
        </w:rPr>
        <w:t>supporterà il Ministero degli Affari Esteri (MAECI) nell'individuazione delle aziende adatte a entrare in questo elenco.</w:t>
      </w:r>
      <w:r w:rsidR="00C01BD0" w:rsidRPr="004A0A93">
        <w:rPr>
          <w:bCs/>
          <w:color w:val="000000"/>
          <w:sz w:val="20"/>
          <w:szCs w:val="20"/>
        </w:rPr>
        <w:t xml:space="preserve"> Le IBE dovranno avere alcuni criteri definiti come essere in fase </w:t>
      </w:r>
      <w:proofErr w:type="spellStart"/>
      <w:r w:rsidR="00C01BD0" w:rsidRPr="004A0A93">
        <w:rPr>
          <w:bCs/>
          <w:color w:val="000000"/>
          <w:sz w:val="20"/>
          <w:szCs w:val="20"/>
        </w:rPr>
        <w:t>pre</w:t>
      </w:r>
      <w:proofErr w:type="spellEnd"/>
      <w:r w:rsidR="00C01BD0" w:rsidRPr="004A0A93">
        <w:rPr>
          <w:bCs/>
          <w:color w:val="000000"/>
          <w:sz w:val="20"/>
          <w:szCs w:val="20"/>
        </w:rPr>
        <w:t>-commerciale e investire un importo minimo in R&amp;S.</w:t>
      </w:r>
    </w:p>
    <w:p w14:paraId="710B11AE" w14:textId="3846B382" w:rsidR="00C70DB7" w:rsidRPr="004A0A93" w:rsidRDefault="00C70DB7" w:rsidP="00C70DB7">
      <w:pPr>
        <w:spacing w:line="276" w:lineRule="auto"/>
        <w:jc w:val="both"/>
        <w:rPr>
          <w:bCs/>
          <w:color w:val="000000"/>
          <w:sz w:val="20"/>
          <w:szCs w:val="20"/>
        </w:rPr>
      </w:pPr>
      <w:r w:rsidRPr="004A0A93">
        <w:rPr>
          <w:bCs/>
          <w:color w:val="000000"/>
          <w:sz w:val="20"/>
          <w:szCs w:val="20"/>
        </w:rPr>
        <w:t xml:space="preserve">Per sostenere queste imprese, il rapporto prevede programmi di </w:t>
      </w:r>
      <w:r w:rsidR="00C01BD0" w:rsidRPr="004A0A93">
        <w:rPr>
          <w:bCs/>
          <w:color w:val="000000"/>
          <w:sz w:val="20"/>
          <w:szCs w:val="20"/>
        </w:rPr>
        <w:t>sostegno all’</w:t>
      </w:r>
      <w:r w:rsidRPr="004A0A93">
        <w:rPr>
          <w:bCs/>
          <w:color w:val="000000"/>
          <w:sz w:val="20"/>
          <w:szCs w:val="20"/>
        </w:rPr>
        <w:t xml:space="preserve">internazionalizzazione, </w:t>
      </w:r>
      <w:r w:rsidR="0009730C" w:rsidRPr="004A0A93">
        <w:rPr>
          <w:bCs/>
          <w:color w:val="000000"/>
          <w:sz w:val="20"/>
          <w:szCs w:val="20"/>
        </w:rPr>
        <w:t xml:space="preserve">come </w:t>
      </w:r>
      <w:r w:rsidRPr="004A0A93">
        <w:rPr>
          <w:bCs/>
          <w:color w:val="000000"/>
          <w:sz w:val="20"/>
          <w:szCs w:val="20"/>
        </w:rPr>
        <w:t>il "</w:t>
      </w:r>
      <w:r w:rsidRPr="004A0A93">
        <w:rPr>
          <w:b/>
          <w:i/>
          <w:iCs/>
          <w:color w:val="000000"/>
          <w:sz w:val="20"/>
          <w:szCs w:val="20"/>
        </w:rPr>
        <w:t>Montalcini Global Biotech Tour</w:t>
      </w:r>
      <w:r w:rsidRPr="004A0A93">
        <w:rPr>
          <w:bCs/>
          <w:color w:val="000000"/>
          <w:sz w:val="20"/>
          <w:szCs w:val="20"/>
        </w:rPr>
        <w:t>", un'iniziativa</w:t>
      </w:r>
      <w:r w:rsidR="00C01BD0" w:rsidRPr="004A0A93">
        <w:rPr>
          <w:bCs/>
          <w:color w:val="000000"/>
          <w:sz w:val="20"/>
          <w:szCs w:val="20"/>
        </w:rPr>
        <w:t xml:space="preserve"> che sarà</w:t>
      </w:r>
      <w:r w:rsidRPr="004A0A93">
        <w:rPr>
          <w:bCs/>
          <w:color w:val="000000"/>
          <w:sz w:val="20"/>
          <w:szCs w:val="20"/>
        </w:rPr>
        <w:t xml:space="preserve"> promossa dal MAECI e dall'Agenzia ICE</w:t>
      </w:r>
      <w:r w:rsidR="00C01BD0" w:rsidRPr="004A0A93">
        <w:rPr>
          <w:bCs/>
          <w:color w:val="000000"/>
          <w:sz w:val="20"/>
          <w:szCs w:val="20"/>
        </w:rPr>
        <w:t xml:space="preserve"> e </w:t>
      </w:r>
      <w:r w:rsidRPr="004A0A93">
        <w:rPr>
          <w:bCs/>
          <w:color w:val="000000"/>
          <w:sz w:val="20"/>
          <w:szCs w:val="20"/>
        </w:rPr>
        <w:t xml:space="preserve">che faciliterà il networking tra le imprese biotech emergenti italiane e potenziali investitori, istituzioni e partner internazionali. Il programma mira a promuovere la partecipazione delle IBE agli eventi biotech globali più importanti e a creare connessioni in </w:t>
      </w:r>
      <w:r w:rsidRPr="004A0A93">
        <w:rPr>
          <w:bCs/>
          <w:i/>
          <w:iCs/>
          <w:color w:val="000000"/>
          <w:sz w:val="20"/>
          <w:szCs w:val="20"/>
        </w:rPr>
        <w:t>hub</w:t>
      </w:r>
      <w:r w:rsidRPr="004A0A93">
        <w:rPr>
          <w:bCs/>
          <w:color w:val="000000"/>
          <w:sz w:val="20"/>
          <w:szCs w:val="20"/>
        </w:rPr>
        <w:t xml:space="preserve"> biotecnologici come New York, Basilea </w:t>
      </w:r>
      <w:r w:rsidR="00C01BD0" w:rsidRPr="004A0A93">
        <w:rPr>
          <w:bCs/>
          <w:color w:val="000000"/>
          <w:sz w:val="20"/>
          <w:szCs w:val="20"/>
        </w:rPr>
        <w:t>o</w:t>
      </w:r>
      <w:r w:rsidRPr="004A0A93">
        <w:rPr>
          <w:bCs/>
          <w:color w:val="000000"/>
          <w:sz w:val="20"/>
          <w:szCs w:val="20"/>
        </w:rPr>
        <w:t xml:space="preserve"> Doha. Inoltre, il MAECI favorirà incontri istituzionali con top manager di aziende farmaceutiche e biotecnologiche internazionali, oltre a scienziati e investitori, con l'obiettivo di rafforzare le collaborazioni internazionali e attrarre investimenti.</w:t>
      </w:r>
    </w:p>
    <w:p w14:paraId="2A5144C1" w14:textId="7F07FB15" w:rsidR="0009730C" w:rsidRDefault="00C01BD0" w:rsidP="00C70DB7">
      <w:pPr>
        <w:spacing w:line="276" w:lineRule="auto"/>
        <w:jc w:val="both"/>
        <w:rPr>
          <w:bCs/>
          <w:color w:val="000000"/>
          <w:sz w:val="20"/>
          <w:szCs w:val="20"/>
        </w:rPr>
      </w:pPr>
      <w:r w:rsidRPr="004A0A93">
        <w:rPr>
          <w:bCs/>
          <w:color w:val="000000"/>
          <w:sz w:val="20"/>
          <w:szCs w:val="20"/>
        </w:rPr>
        <w:t>Il secondo pilastro</w:t>
      </w:r>
      <w:r w:rsidR="00C70DB7" w:rsidRPr="004A0A93">
        <w:rPr>
          <w:bCs/>
          <w:color w:val="000000"/>
          <w:sz w:val="20"/>
          <w:szCs w:val="20"/>
        </w:rPr>
        <w:t xml:space="preserve"> del </w:t>
      </w:r>
      <w:r w:rsidRPr="004A0A93">
        <w:rPr>
          <w:bCs/>
          <w:color w:val="000000"/>
          <w:sz w:val="20"/>
          <w:szCs w:val="20"/>
        </w:rPr>
        <w:t>R</w:t>
      </w:r>
      <w:r w:rsidR="00C70DB7" w:rsidRPr="004A0A93">
        <w:rPr>
          <w:bCs/>
          <w:color w:val="000000"/>
          <w:sz w:val="20"/>
          <w:szCs w:val="20"/>
        </w:rPr>
        <w:t>apporto è l'analisi del</w:t>
      </w:r>
      <w:r w:rsidRPr="004A0A93">
        <w:rPr>
          <w:bCs/>
          <w:color w:val="000000"/>
          <w:sz w:val="20"/>
          <w:szCs w:val="20"/>
        </w:rPr>
        <w:t xml:space="preserve"> settore del</w:t>
      </w:r>
      <w:r w:rsidR="00C70DB7" w:rsidRPr="004A0A93">
        <w:rPr>
          <w:bCs/>
          <w:color w:val="000000"/>
          <w:sz w:val="20"/>
          <w:szCs w:val="20"/>
        </w:rPr>
        <w:t xml:space="preserve"> </w:t>
      </w:r>
      <w:r w:rsidR="00C70DB7" w:rsidRPr="004A0A93">
        <w:rPr>
          <w:b/>
          <w:i/>
          <w:iCs/>
          <w:color w:val="000000"/>
          <w:sz w:val="20"/>
          <w:szCs w:val="20"/>
        </w:rPr>
        <w:t>venture capital</w:t>
      </w:r>
      <w:r w:rsidRPr="004A0A93">
        <w:rPr>
          <w:b/>
          <w:color w:val="000000"/>
          <w:sz w:val="20"/>
          <w:szCs w:val="20"/>
        </w:rPr>
        <w:t xml:space="preserve"> per le biotecnologie</w:t>
      </w:r>
      <w:r w:rsidR="00C70DB7" w:rsidRPr="004A0A93">
        <w:rPr>
          <w:bCs/>
          <w:color w:val="000000"/>
          <w:sz w:val="20"/>
          <w:szCs w:val="20"/>
        </w:rPr>
        <w:t xml:space="preserve">. Il Tavolo di Lavoro sottolinea come, nei Paesi con una leadership tecnologica consolidata, il venture capital supporti innovazione e crescita interna, mentre nei Paesi "follower" come l’Italia, </w:t>
      </w:r>
      <w:r w:rsidR="0009730C" w:rsidRPr="004A0A93">
        <w:rPr>
          <w:bCs/>
          <w:color w:val="000000"/>
          <w:sz w:val="20"/>
          <w:szCs w:val="20"/>
        </w:rPr>
        <w:t xml:space="preserve">invece, </w:t>
      </w:r>
      <w:r w:rsidR="00C70DB7" w:rsidRPr="004A0A93">
        <w:rPr>
          <w:b/>
          <w:color w:val="000000"/>
          <w:sz w:val="20"/>
          <w:szCs w:val="20"/>
        </w:rPr>
        <w:t>rischia di diventare uno strumento per il trasferimento delle tecnologie verso Paesi leader</w:t>
      </w:r>
      <w:r w:rsidR="00C70DB7" w:rsidRPr="004A0A93">
        <w:rPr>
          <w:bCs/>
          <w:color w:val="000000"/>
          <w:sz w:val="20"/>
          <w:szCs w:val="20"/>
        </w:rPr>
        <w:t>. Per evitare il fenomeno del "</w:t>
      </w:r>
      <w:r w:rsidR="00C70DB7" w:rsidRPr="004A0A93">
        <w:rPr>
          <w:b/>
          <w:i/>
          <w:iCs/>
          <w:color w:val="000000"/>
          <w:sz w:val="20"/>
          <w:szCs w:val="20"/>
        </w:rPr>
        <w:t>Company Flight</w:t>
      </w:r>
      <w:r w:rsidR="00C70DB7" w:rsidRPr="004A0A93">
        <w:rPr>
          <w:bCs/>
          <w:color w:val="000000"/>
          <w:sz w:val="20"/>
          <w:szCs w:val="20"/>
        </w:rPr>
        <w:t>"</w:t>
      </w:r>
      <w:r w:rsidR="0009730C" w:rsidRPr="004A0A93">
        <w:rPr>
          <w:bCs/>
          <w:color w:val="000000"/>
          <w:sz w:val="20"/>
          <w:szCs w:val="20"/>
        </w:rPr>
        <w:t xml:space="preserve"> (la fuga di imprese innovative verso Paesi leader)</w:t>
      </w:r>
      <w:r w:rsidR="00C70DB7" w:rsidRPr="004A0A93">
        <w:rPr>
          <w:bCs/>
          <w:color w:val="000000"/>
          <w:sz w:val="20"/>
          <w:szCs w:val="20"/>
        </w:rPr>
        <w:t xml:space="preserve">, il rapporto propone una </w:t>
      </w:r>
      <w:r w:rsidR="00E67F59" w:rsidRPr="004A0A93">
        <w:rPr>
          <w:bCs/>
          <w:color w:val="000000"/>
          <w:sz w:val="20"/>
          <w:szCs w:val="20"/>
        </w:rPr>
        <w:t xml:space="preserve">rifocalizzazione </w:t>
      </w:r>
      <w:r w:rsidR="00C70DB7" w:rsidRPr="004A0A93">
        <w:rPr>
          <w:bCs/>
          <w:color w:val="000000"/>
          <w:sz w:val="20"/>
          <w:szCs w:val="20"/>
        </w:rPr>
        <w:t xml:space="preserve">del sistema di </w:t>
      </w:r>
      <w:r w:rsidR="00C70DB7" w:rsidRPr="004A0A93">
        <w:rPr>
          <w:bCs/>
          <w:i/>
          <w:iCs/>
          <w:color w:val="000000"/>
          <w:sz w:val="20"/>
          <w:szCs w:val="20"/>
        </w:rPr>
        <w:t>venture capital</w:t>
      </w:r>
      <w:r w:rsidR="00C70DB7" w:rsidRPr="004A0A93">
        <w:rPr>
          <w:bCs/>
          <w:color w:val="000000"/>
          <w:sz w:val="20"/>
          <w:szCs w:val="20"/>
        </w:rPr>
        <w:t xml:space="preserve"> italiano, con un maggiore sostegno agli </w:t>
      </w:r>
      <w:r w:rsidR="00C70DB7" w:rsidRPr="004A0A93">
        <w:rPr>
          <w:b/>
          <w:color w:val="000000"/>
          <w:sz w:val="20"/>
          <w:szCs w:val="20"/>
        </w:rPr>
        <w:t>investimenti strategici</w:t>
      </w:r>
      <w:r w:rsidR="00C70DB7" w:rsidRPr="004A0A93">
        <w:rPr>
          <w:bCs/>
          <w:color w:val="000000"/>
          <w:sz w:val="20"/>
          <w:szCs w:val="20"/>
        </w:rPr>
        <w:t xml:space="preserve"> che favoriscano lo sviluppo e la crescita delle aziende biotecnologiche in Italia. Le agenzie governative di investimento, come CDP Venture Capital ed Enea </w:t>
      </w:r>
      <w:proofErr w:type="spellStart"/>
      <w:r w:rsidR="00C70DB7" w:rsidRPr="004A0A93">
        <w:rPr>
          <w:bCs/>
          <w:color w:val="000000"/>
          <w:sz w:val="20"/>
          <w:szCs w:val="20"/>
        </w:rPr>
        <w:t>Tech</w:t>
      </w:r>
      <w:proofErr w:type="spellEnd"/>
      <w:r w:rsidR="00C70DB7" w:rsidRPr="004A0A93">
        <w:rPr>
          <w:bCs/>
          <w:color w:val="000000"/>
          <w:sz w:val="20"/>
          <w:szCs w:val="20"/>
        </w:rPr>
        <w:t xml:space="preserve"> </w:t>
      </w:r>
      <w:proofErr w:type="spellStart"/>
      <w:r w:rsidR="00C70DB7" w:rsidRPr="004A0A93">
        <w:rPr>
          <w:bCs/>
          <w:color w:val="000000"/>
          <w:sz w:val="20"/>
          <w:szCs w:val="20"/>
        </w:rPr>
        <w:t>Biomedical</w:t>
      </w:r>
      <w:proofErr w:type="spellEnd"/>
      <w:r w:rsidR="00C70DB7" w:rsidRPr="004A0A93">
        <w:rPr>
          <w:bCs/>
          <w:color w:val="000000"/>
          <w:sz w:val="20"/>
          <w:szCs w:val="20"/>
        </w:rPr>
        <w:t xml:space="preserve">, dovrebbero concentrarsi su </w:t>
      </w:r>
      <w:r w:rsidR="00C70DB7" w:rsidRPr="004A0A93">
        <w:rPr>
          <w:b/>
          <w:color w:val="000000"/>
          <w:sz w:val="20"/>
          <w:szCs w:val="20"/>
        </w:rPr>
        <w:t>investimenti diretti e di grandi dimensioni</w:t>
      </w:r>
      <w:r w:rsidR="00C70DB7" w:rsidRPr="004A0A93">
        <w:rPr>
          <w:bCs/>
          <w:color w:val="000000"/>
          <w:sz w:val="20"/>
          <w:szCs w:val="20"/>
        </w:rPr>
        <w:t xml:space="preserve">, mentre </w:t>
      </w:r>
      <w:r w:rsidRPr="004A0A93">
        <w:rPr>
          <w:bCs/>
          <w:color w:val="000000"/>
          <w:sz w:val="20"/>
          <w:szCs w:val="20"/>
        </w:rPr>
        <w:t>gl</w:t>
      </w:r>
      <w:r w:rsidR="00C70DB7" w:rsidRPr="004A0A93">
        <w:rPr>
          <w:bCs/>
          <w:color w:val="000000"/>
          <w:sz w:val="20"/>
          <w:szCs w:val="20"/>
        </w:rPr>
        <w:t xml:space="preserve">i </w:t>
      </w:r>
      <w:r w:rsidRPr="004A0A93">
        <w:rPr>
          <w:bCs/>
          <w:color w:val="000000"/>
          <w:sz w:val="20"/>
          <w:szCs w:val="20"/>
        </w:rPr>
        <w:t xml:space="preserve">operatori indipendenti di </w:t>
      </w:r>
      <w:r w:rsidRPr="004A0A93">
        <w:rPr>
          <w:bCs/>
          <w:i/>
          <w:iCs/>
          <w:color w:val="000000"/>
          <w:sz w:val="20"/>
          <w:szCs w:val="20"/>
        </w:rPr>
        <w:t>venture capital</w:t>
      </w:r>
      <w:r w:rsidRPr="004A0A93">
        <w:rPr>
          <w:bCs/>
          <w:color w:val="000000"/>
          <w:sz w:val="20"/>
          <w:szCs w:val="20"/>
        </w:rPr>
        <w:t xml:space="preserve"> sostenuti dalle agenzie governative </w:t>
      </w:r>
      <w:r w:rsidR="0009730C" w:rsidRPr="004A0A93">
        <w:rPr>
          <w:bCs/>
          <w:color w:val="000000"/>
          <w:sz w:val="20"/>
          <w:szCs w:val="20"/>
        </w:rPr>
        <w:t xml:space="preserve">tramite </w:t>
      </w:r>
      <w:r w:rsidRPr="004A0A93">
        <w:rPr>
          <w:bCs/>
          <w:color w:val="000000"/>
          <w:sz w:val="20"/>
          <w:szCs w:val="20"/>
        </w:rPr>
        <w:t>investimenti indiretti</w:t>
      </w:r>
      <w:r w:rsidR="0009730C" w:rsidRPr="004A0A93">
        <w:rPr>
          <w:bCs/>
          <w:color w:val="000000"/>
          <w:sz w:val="20"/>
          <w:szCs w:val="20"/>
        </w:rPr>
        <w:t>,</w:t>
      </w:r>
      <w:r w:rsidR="00C70DB7" w:rsidRPr="004A0A93">
        <w:rPr>
          <w:bCs/>
          <w:color w:val="000000"/>
          <w:sz w:val="20"/>
          <w:szCs w:val="20"/>
        </w:rPr>
        <w:t xml:space="preserve"> dovrebbero focalizzarsi su investimenti </w:t>
      </w:r>
      <w:r w:rsidRPr="004A0A93">
        <w:rPr>
          <w:bCs/>
          <w:color w:val="000000"/>
          <w:sz w:val="20"/>
          <w:szCs w:val="20"/>
        </w:rPr>
        <w:t>di minore dimensione</w:t>
      </w:r>
      <w:r w:rsidR="00C70DB7" w:rsidRPr="004A0A93">
        <w:rPr>
          <w:bCs/>
          <w:color w:val="000000"/>
          <w:sz w:val="20"/>
          <w:szCs w:val="20"/>
        </w:rPr>
        <w:t xml:space="preserve">, come </w:t>
      </w:r>
      <w:r w:rsidRPr="004A0A93">
        <w:rPr>
          <w:bCs/>
          <w:color w:val="000000"/>
          <w:sz w:val="20"/>
          <w:szCs w:val="20"/>
        </w:rPr>
        <w:t>il sostegno al</w:t>
      </w:r>
      <w:r w:rsidR="00C70DB7" w:rsidRPr="004A0A93">
        <w:rPr>
          <w:bCs/>
          <w:color w:val="000000"/>
          <w:sz w:val="20"/>
          <w:szCs w:val="20"/>
        </w:rPr>
        <w:t xml:space="preserve"> Tech Transfer e </w:t>
      </w:r>
      <w:r w:rsidR="00E67F59" w:rsidRPr="004A0A93">
        <w:rPr>
          <w:bCs/>
          <w:color w:val="000000"/>
          <w:sz w:val="20"/>
          <w:szCs w:val="20"/>
        </w:rPr>
        <w:t xml:space="preserve">gli investimenti di </w:t>
      </w:r>
      <w:proofErr w:type="spellStart"/>
      <w:r w:rsidR="00E67F59" w:rsidRPr="004A0A93">
        <w:rPr>
          <w:bCs/>
          <w:i/>
          <w:iCs/>
          <w:color w:val="000000"/>
          <w:sz w:val="20"/>
          <w:szCs w:val="20"/>
        </w:rPr>
        <w:t>p</w:t>
      </w:r>
      <w:r w:rsidR="00C70DB7" w:rsidRPr="004A0A93">
        <w:rPr>
          <w:bCs/>
          <w:i/>
          <w:iCs/>
          <w:color w:val="000000"/>
          <w:sz w:val="20"/>
          <w:szCs w:val="20"/>
        </w:rPr>
        <w:t>roof</w:t>
      </w:r>
      <w:proofErr w:type="spellEnd"/>
      <w:r w:rsidR="00C70DB7" w:rsidRPr="004A0A93">
        <w:rPr>
          <w:bCs/>
          <w:i/>
          <w:iCs/>
          <w:color w:val="000000"/>
          <w:sz w:val="20"/>
          <w:szCs w:val="20"/>
        </w:rPr>
        <w:t xml:space="preserve"> of </w:t>
      </w:r>
      <w:proofErr w:type="spellStart"/>
      <w:r w:rsidR="00E67F59" w:rsidRPr="004A0A93">
        <w:rPr>
          <w:bCs/>
          <w:i/>
          <w:iCs/>
          <w:color w:val="000000"/>
          <w:sz w:val="20"/>
          <w:szCs w:val="20"/>
        </w:rPr>
        <w:t>c</w:t>
      </w:r>
      <w:r w:rsidR="00C70DB7" w:rsidRPr="004A0A93">
        <w:rPr>
          <w:bCs/>
          <w:i/>
          <w:iCs/>
          <w:color w:val="000000"/>
          <w:sz w:val="20"/>
          <w:szCs w:val="20"/>
        </w:rPr>
        <w:t>oncept</w:t>
      </w:r>
      <w:proofErr w:type="spellEnd"/>
      <w:r w:rsidR="00C70DB7" w:rsidRPr="004A0A93">
        <w:rPr>
          <w:bCs/>
          <w:color w:val="000000"/>
          <w:sz w:val="20"/>
          <w:szCs w:val="20"/>
        </w:rPr>
        <w:t xml:space="preserve">, </w:t>
      </w:r>
      <w:r w:rsidRPr="004A0A93">
        <w:rPr>
          <w:bCs/>
          <w:color w:val="000000"/>
          <w:sz w:val="20"/>
          <w:szCs w:val="20"/>
        </w:rPr>
        <w:t xml:space="preserve">i round </w:t>
      </w:r>
      <w:proofErr w:type="spellStart"/>
      <w:r w:rsidRPr="004A0A93">
        <w:rPr>
          <w:bCs/>
          <w:i/>
          <w:iCs/>
          <w:color w:val="000000"/>
          <w:sz w:val="20"/>
          <w:szCs w:val="20"/>
        </w:rPr>
        <w:t>seed</w:t>
      </w:r>
      <w:proofErr w:type="spellEnd"/>
      <w:r w:rsidRPr="004A0A93">
        <w:rPr>
          <w:bCs/>
          <w:color w:val="000000"/>
          <w:sz w:val="20"/>
          <w:szCs w:val="20"/>
        </w:rPr>
        <w:t xml:space="preserve"> e di </w:t>
      </w:r>
      <w:r w:rsidRPr="004A0A93">
        <w:rPr>
          <w:bCs/>
          <w:i/>
          <w:iCs/>
          <w:color w:val="000000"/>
          <w:sz w:val="20"/>
          <w:szCs w:val="20"/>
        </w:rPr>
        <w:t>Series A</w:t>
      </w:r>
      <w:r w:rsidRPr="004A0A93">
        <w:rPr>
          <w:bCs/>
          <w:color w:val="000000"/>
          <w:sz w:val="20"/>
          <w:szCs w:val="20"/>
        </w:rPr>
        <w:t xml:space="preserve"> </w:t>
      </w:r>
      <w:r w:rsidR="00C70DB7" w:rsidRPr="004A0A93">
        <w:rPr>
          <w:bCs/>
          <w:color w:val="000000"/>
          <w:sz w:val="20"/>
          <w:szCs w:val="20"/>
        </w:rPr>
        <w:t>che richiedono una maggiore specializzazione</w:t>
      </w:r>
      <w:r w:rsidRPr="004A0A93">
        <w:rPr>
          <w:bCs/>
          <w:color w:val="000000"/>
          <w:sz w:val="20"/>
          <w:szCs w:val="20"/>
        </w:rPr>
        <w:t xml:space="preserve"> </w:t>
      </w:r>
      <w:r w:rsidR="00104483" w:rsidRPr="004A0A93">
        <w:rPr>
          <w:bCs/>
          <w:color w:val="000000"/>
          <w:sz w:val="20"/>
          <w:szCs w:val="20"/>
        </w:rPr>
        <w:t xml:space="preserve">e </w:t>
      </w:r>
      <w:r w:rsidRPr="004A0A93">
        <w:rPr>
          <w:bCs/>
          <w:color w:val="000000"/>
          <w:sz w:val="20"/>
          <w:szCs w:val="20"/>
        </w:rPr>
        <w:t>sono per definizione più numerosi</w:t>
      </w:r>
      <w:r w:rsidR="00C70DB7" w:rsidRPr="004A0A93">
        <w:rPr>
          <w:bCs/>
          <w:color w:val="000000"/>
          <w:sz w:val="20"/>
          <w:szCs w:val="20"/>
        </w:rPr>
        <w:t>.</w:t>
      </w:r>
      <w:r w:rsidR="00532AB9" w:rsidRPr="004A0A93">
        <w:rPr>
          <w:bCs/>
          <w:color w:val="000000"/>
          <w:sz w:val="20"/>
          <w:szCs w:val="20"/>
        </w:rPr>
        <w:t xml:space="preserve"> </w:t>
      </w:r>
      <w:r w:rsidR="005F6C58">
        <w:rPr>
          <w:bCs/>
          <w:color w:val="000000"/>
          <w:sz w:val="20"/>
          <w:szCs w:val="20"/>
        </w:rPr>
        <w:t xml:space="preserve">Infine, viene individuata nella </w:t>
      </w:r>
      <w:r w:rsidR="005F6C58" w:rsidRPr="004A0A93">
        <w:rPr>
          <w:b/>
          <w:color w:val="000000"/>
          <w:sz w:val="20"/>
          <w:szCs w:val="20"/>
        </w:rPr>
        <w:t>quotazione in borsa</w:t>
      </w:r>
      <w:r w:rsidR="005F6C58">
        <w:rPr>
          <w:bCs/>
          <w:color w:val="000000"/>
          <w:sz w:val="20"/>
          <w:szCs w:val="20"/>
        </w:rPr>
        <w:t xml:space="preserve"> una </w:t>
      </w:r>
      <w:r w:rsidR="005F6C58" w:rsidRPr="004A0A93">
        <w:rPr>
          <w:bCs/>
          <w:i/>
          <w:iCs/>
          <w:color w:val="000000"/>
          <w:sz w:val="20"/>
          <w:szCs w:val="20"/>
        </w:rPr>
        <w:t>exit</w:t>
      </w:r>
      <w:r w:rsidR="005F6C58">
        <w:rPr>
          <w:bCs/>
          <w:color w:val="000000"/>
          <w:sz w:val="20"/>
          <w:szCs w:val="20"/>
        </w:rPr>
        <w:t xml:space="preserve"> strategica per tenere gli asset in Italia e i fondatori nella </w:t>
      </w:r>
      <w:r w:rsidR="005F6C58" w:rsidRPr="004A0A93">
        <w:rPr>
          <w:bCs/>
          <w:i/>
          <w:iCs/>
          <w:color w:val="000000"/>
          <w:sz w:val="20"/>
          <w:szCs w:val="20"/>
        </w:rPr>
        <w:t>governance</w:t>
      </w:r>
      <w:r w:rsidR="005F6C58">
        <w:rPr>
          <w:bCs/>
          <w:color w:val="000000"/>
          <w:sz w:val="20"/>
          <w:szCs w:val="20"/>
        </w:rPr>
        <w:t xml:space="preserve">. </w:t>
      </w:r>
    </w:p>
    <w:p w14:paraId="1C0CD6F1" w14:textId="04816178" w:rsidR="003A235A" w:rsidRPr="008921F6" w:rsidRDefault="003A235A" w:rsidP="004A0A93">
      <w:pPr>
        <w:spacing w:line="276" w:lineRule="auto"/>
        <w:jc w:val="both"/>
        <w:rPr>
          <w:bCs/>
          <w:color w:val="000000"/>
          <w:sz w:val="20"/>
          <w:szCs w:val="20"/>
        </w:rPr>
      </w:pPr>
    </w:p>
    <w:sectPr w:rsidR="003A235A" w:rsidRPr="008921F6" w:rsidSect="004A0A93">
      <w:footerReference w:type="even" r:id="rId9"/>
      <w:footerReference w:type="default" r:id="rId10"/>
      <w:pgSz w:w="11906" w:h="16838"/>
      <w:pgMar w:top="675" w:right="1134" w:bottom="51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085AE" w14:textId="77777777" w:rsidR="00233389" w:rsidRDefault="00233389">
      <w:pPr>
        <w:spacing w:after="0" w:line="240" w:lineRule="auto"/>
      </w:pPr>
      <w:r>
        <w:separator/>
      </w:r>
    </w:p>
  </w:endnote>
  <w:endnote w:type="continuationSeparator" w:id="0">
    <w:p w14:paraId="0ECC1ACE" w14:textId="77777777" w:rsidR="00233389" w:rsidRDefault="00233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88FEF1-C26E-40F3-A3AC-F7077BD8D0E0}"/>
    <w:embedBold r:id="rId2" w:fontKey="{8146D584-309E-4A60-84CA-4BD6174DD4E8}"/>
    <w:embedItalic r:id="rId3" w:fontKey="{B5D79072-0D05-4AF1-B2D1-162EFC1575FD}"/>
    <w:embedBoldItalic r:id="rId4" w:fontKey="{619A281D-9AF4-4BAB-9859-646D731BAC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00E0A5A-8DBF-4E0B-98BA-E8A950D819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188DEA3-5C36-4FF7-80F4-693C47B790BC}"/>
    <w:embedItalic r:id="rId7" w:fontKey="{01D6726B-E27C-46F6-86D9-15AD390418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4FB7B39-941F-4F72-9ABB-EB78219BB56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9" w:fontKey="{71C419F1-3F8F-4AAE-8EA7-ABFDCC01B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08824" w14:textId="77777777" w:rsidR="00247A35" w:rsidRDefault="0023338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2B3BB99" w14:textId="77777777" w:rsidR="00247A35" w:rsidRDefault="00247A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02414" w14:textId="1093974C" w:rsidR="00247A35" w:rsidRDefault="0023338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65D59">
      <w:rPr>
        <w:noProof/>
        <w:color w:val="000000"/>
      </w:rPr>
      <w:t>1</w:t>
    </w:r>
    <w:r>
      <w:rPr>
        <w:color w:val="000000"/>
      </w:rPr>
      <w:fldChar w:fldCharType="end"/>
    </w:r>
  </w:p>
  <w:p w14:paraId="6254F80B" w14:textId="77777777" w:rsidR="00247A35" w:rsidRDefault="00247A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178C6" w14:textId="77777777" w:rsidR="00233389" w:rsidRDefault="00233389">
      <w:pPr>
        <w:spacing w:after="0" w:line="240" w:lineRule="auto"/>
      </w:pPr>
      <w:r>
        <w:separator/>
      </w:r>
    </w:p>
  </w:footnote>
  <w:footnote w:type="continuationSeparator" w:id="0">
    <w:p w14:paraId="212481EC" w14:textId="77777777" w:rsidR="00233389" w:rsidRDefault="00233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677C9"/>
    <w:multiLevelType w:val="multilevel"/>
    <w:tmpl w:val="0BEA4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6B4E"/>
    <w:multiLevelType w:val="hybridMultilevel"/>
    <w:tmpl w:val="ACCA58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026DDA">
      <w:start w:val="8"/>
      <w:numFmt w:val="decimal"/>
      <w:lvlText w:val="%3-"/>
      <w:lvlJc w:val="left"/>
      <w:pPr>
        <w:ind w:left="2160" w:hanging="360"/>
      </w:pPr>
      <w:rPr>
        <w:rFonts w:hint="default"/>
      </w:rPr>
    </w:lvl>
    <w:lvl w:ilvl="3" w:tplc="6A885008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D8303F9C">
      <w:start w:val="1"/>
      <w:numFmt w:val="upperLetter"/>
      <w:lvlText w:val="%5)"/>
      <w:lvlJc w:val="left"/>
      <w:pPr>
        <w:ind w:left="3600" w:hanging="360"/>
      </w:pPr>
      <w:rPr>
        <w:rFonts w:hint="default"/>
        <w:i/>
        <w:color w:val="444444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036B4"/>
    <w:multiLevelType w:val="multilevel"/>
    <w:tmpl w:val="99386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EC2FD5"/>
    <w:multiLevelType w:val="multilevel"/>
    <w:tmpl w:val="8D44DD7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456BB0"/>
    <w:multiLevelType w:val="hybridMultilevel"/>
    <w:tmpl w:val="3D6CAEB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53B15"/>
    <w:multiLevelType w:val="multilevel"/>
    <w:tmpl w:val="AEB4CE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8"/>
      <w:numFmt w:val="decimal"/>
      <w:lvlText w:val="%3-"/>
      <w:lvlJc w:val="left"/>
      <w:pPr>
        <w:ind w:left="2160" w:hanging="360"/>
      </w:pPr>
    </w:lvl>
    <w:lvl w:ilvl="3">
      <w:start w:val="3"/>
      <w:numFmt w:val="decimal"/>
      <w:lvlText w:val="%4"/>
      <w:lvlJc w:val="left"/>
      <w:pPr>
        <w:ind w:left="2880" w:hanging="360"/>
      </w:pPr>
    </w:lvl>
    <w:lvl w:ilvl="4">
      <w:start w:val="1"/>
      <w:numFmt w:val="upperLetter"/>
      <w:lvlText w:val="%5)"/>
      <w:lvlJc w:val="left"/>
      <w:pPr>
        <w:ind w:left="3600" w:hanging="360"/>
      </w:pPr>
      <w:rPr>
        <w:i/>
        <w:color w:val="444444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4F5480"/>
    <w:multiLevelType w:val="multilevel"/>
    <w:tmpl w:val="D88AD7D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D6C39"/>
    <w:multiLevelType w:val="multilevel"/>
    <w:tmpl w:val="4D8EA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D72299"/>
    <w:multiLevelType w:val="multilevel"/>
    <w:tmpl w:val="E2C411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90245A0"/>
    <w:multiLevelType w:val="multilevel"/>
    <w:tmpl w:val="A33A652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BD52C70"/>
    <w:multiLevelType w:val="multilevel"/>
    <w:tmpl w:val="F3FC9DE6"/>
    <w:lvl w:ilvl="0">
      <w:numFmt w:val="bullet"/>
      <w:lvlText w:val="-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B74517"/>
    <w:multiLevelType w:val="multilevel"/>
    <w:tmpl w:val="82F8C8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D82CF2"/>
    <w:multiLevelType w:val="multilevel"/>
    <w:tmpl w:val="FD0E93F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91533A4"/>
    <w:multiLevelType w:val="multilevel"/>
    <w:tmpl w:val="A9E89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3BD0D3E"/>
    <w:multiLevelType w:val="hybridMultilevel"/>
    <w:tmpl w:val="8730E720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E882AAC"/>
    <w:multiLevelType w:val="multilevel"/>
    <w:tmpl w:val="8140F780"/>
    <w:lvl w:ilvl="0">
      <w:start w:val="1"/>
      <w:numFmt w:val="decimal"/>
      <w:lvlText w:val="%1-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A387F"/>
    <w:multiLevelType w:val="multilevel"/>
    <w:tmpl w:val="3F44609A"/>
    <w:lvl w:ilvl="0">
      <w:start w:val="1"/>
      <w:numFmt w:val="lowerLetter"/>
      <w:lvlText w:val="%1)"/>
      <w:lvlJc w:val="left"/>
      <w:pPr>
        <w:tabs>
          <w:tab w:val="left" w:pos="216"/>
        </w:tabs>
      </w:pPr>
      <w:rPr>
        <w:rFonts w:ascii="Times New Roman" w:eastAsia="Times New Roman" w:hAnsi="Times New Roman"/>
        <w:color w:val="000000"/>
        <w:spacing w:val="0"/>
        <w:w w:val="100"/>
        <w:sz w:val="2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9"/>
  </w:num>
  <w:num w:numId="5">
    <w:abstractNumId w:val="10"/>
  </w:num>
  <w:num w:numId="6">
    <w:abstractNumId w:val="0"/>
  </w:num>
  <w:num w:numId="7">
    <w:abstractNumId w:val="13"/>
  </w:num>
  <w:num w:numId="8">
    <w:abstractNumId w:val="11"/>
  </w:num>
  <w:num w:numId="9">
    <w:abstractNumId w:val="2"/>
  </w:num>
  <w:num w:numId="10">
    <w:abstractNumId w:val="6"/>
  </w:num>
  <w:num w:numId="11">
    <w:abstractNumId w:val="8"/>
  </w:num>
  <w:num w:numId="12">
    <w:abstractNumId w:val="5"/>
  </w:num>
  <w:num w:numId="13">
    <w:abstractNumId w:val="7"/>
  </w:num>
  <w:num w:numId="14">
    <w:abstractNumId w:val="1"/>
  </w:num>
  <w:num w:numId="15">
    <w:abstractNumId w:val="4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35"/>
    <w:rsid w:val="00000C51"/>
    <w:rsid w:val="0000241E"/>
    <w:rsid w:val="0000434A"/>
    <w:rsid w:val="00025785"/>
    <w:rsid w:val="000460F6"/>
    <w:rsid w:val="0005287A"/>
    <w:rsid w:val="0005466C"/>
    <w:rsid w:val="000644AC"/>
    <w:rsid w:val="00064FF6"/>
    <w:rsid w:val="0007522D"/>
    <w:rsid w:val="00081DD2"/>
    <w:rsid w:val="00085DA1"/>
    <w:rsid w:val="0008676C"/>
    <w:rsid w:val="0009730C"/>
    <w:rsid w:val="000A53CA"/>
    <w:rsid w:val="000A6208"/>
    <w:rsid w:val="000B638C"/>
    <w:rsid w:val="000E712D"/>
    <w:rsid w:val="00104483"/>
    <w:rsid w:val="001146B8"/>
    <w:rsid w:val="001156EE"/>
    <w:rsid w:val="0011795F"/>
    <w:rsid w:val="0016258F"/>
    <w:rsid w:val="0016534D"/>
    <w:rsid w:val="001E061C"/>
    <w:rsid w:val="001F0087"/>
    <w:rsid w:val="001F48A8"/>
    <w:rsid w:val="00222209"/>
    <w:rsid w:val="00233389"/>
    <w:rsid w:val="00244A76"/>
    <w:rsid w:val="00247A35"/>
    <w:rsid w:val="00291360"/>
    <w:rsid w:val="002D7DBC"/>
    <w:rsid w:val="002E4924"/>
    <w:rsid w:val="002F78C1"/>
    <w:rsid w:val="003154DF"/>
    <w:rsid w:val="00360508"/>
    <w:rsid w:val="003649F9"/>
    <w:rsid w:val="00386114"/>
    <w:rsid w:val="003873DC"/>
    <w:rsid w:val="00396A3A"/>
    <w:rsid w:val="003A235A"/>
    <w:rsid w:val="003A3E66"/>
    <w:rsid w:val="003A514D"/>
    <w:rsid w:val="003C089B"/>
    <w:rsid w:val="003E6E0F"/>
    <w:rsid w:val="003F59B8"/>
    <w:rsid w:val="00405AE5"/>
    <w:rsid w:val="004174BF"/>
    <w:rsid w:val="00452D69"/>
    <w:rsid w:val="00481319"/>
    <w:rsid w:val="00482A91"/>
    <w:rsid w:val="004A0A93"/>
    <w:rsid w:val="004A3B3B"/>
    <w:rsid w:val="004B444F"/>
    <w:rsid w:val="004B68BB"/>
    <w:rsid w:val="004C27B5"/>
    <w:rsid w:val="004F48B3"/>
    <w:rsid w:val="004F5122"/>
    <w:rsid w:val="005042D7"/>
    <w:rsid w:val="00530199"/>
    <w:rsid w:val="00532AB9"/>
    <w:rsid w:val="005458FB"/>
    <w:rsid w:val="005607BA"/>
    <w:rsid w:val="0056323B"/>
    <w:rsid w:val="00567319"/>
    <w:rsid w:val="005835F8"/>
    <w:rsid w:val="005841D5"/>
    <w:rsid w:val="00586DFB"/>
    <w:rsid w:val="005943E3"/>
    <w:rsid w:val="00594F18"/>
    <w:rsid w:val="005D218F"/>
    <w:rsid w:val="005D5824"/>
    <w:rsid w:val="005F01FC"/>
    <w:rsid w:val="005F1BA3"/>
    <w:rsid w:val="005F1DA2"/>
    <w:rsid w:val="005F6C58"/>
    <w:rsid w:val="0060681B"/>
    <w:rsid w:val="006B3CFA"/>
    <w:rsid w:val="006C1358"/>
    <w:rsid w:val="006D5313"/>
    <w:rsid w:val="006D59B4"/>
    <w:rsid w:val="006E0D8F"/>
    <w:rsid w:val="0071625C"/>
    <w:rsid w:val="007163FD"/>
    <w:rsid w:val="007171D3"/>
    <w:rsid w:val="00723365"/>
    <w:rsid w:val="00723419"/>
    <w:rsid w:val="00730A1A"/>
    <w:rsid w:val="007407D0"/>
    <w:rsid w:val="0074731F"/>
    <w:rsid w:val="007549F4"/>
    <w:rsid w:val="00757ABD"/>
    <w:rsid w:val="007652E9"/>
    <w:rsid w:val="00765D59"/>
    <w:rsid w:val="007746E3"/>
    <w:rsid w:val="0078069C"/>
    <w:rsid w:val="00781666"/>
    <w:rsid w:val="00783C0B"/>
    <w:rsid w:val="00784921"/>
    <w:rsid w:val="007A09C5"/>
    <w:rsid w:val="007B01EA"/>
    <w:rsid w:val="007B7B54"/>
    <w:rsid w:val="007B7B6B"/>
    <w:rsid w:val="007C2292"/>
    <w:rsid w:val="007E20A9"/>
    <w:rsid w:val="007F46F1"/>
    <w:rsid w:val="007F72C2"/>
    <w:rsid w:val="00812F7A"/>
    <w:rsid w:val="00817E26"/>
    <w:rsid w:val="00824ABB"/>
    <w:rsid w:val="00825BD3"/>
    <w:rsid w:val="00843A4C"/>
    <w:rsid w:val="0086053A"/>
    <w:rsid w:val="008746A6"/>
    <w:rsid w:val="00877D0D"/>
    <w:rsid w:val="00883C60"/>
    <w:rsid w:val="00885C49"/>
    <w:rsid w:val="008921F6"/>
    <w:rsid w:val="00892D2B"/>
    <w:rsid w:val="008A3860"/>
    <w:rsid w:val="008A4C01"/>
    <w:rsid w:val="008E0627"/>
    <w:rsid w:val="008F59F4"/>
    <w:rsid w:val="00900918"/>
    <w:rsid w:val="00903992"/>
    <w:rsid w:val="00914146"/>
    <w:rsid w:val="00916371"/>
    <w:rsid w:val="00916779"/>
    <w:rsid w:val="0091735D"/>
    <w:rsid w:val="00922D8D"/>
    <w:rsid w:val="009603E0"/>
    <w:rsid w:val="009932E0"/>
    <w:rsid w:val="009A38A4"/>
    <w:rsid w:val="00A12250"/>
    <w:rsid w:val="00A51496"/>
    <w:rsid w:val="00A66F9E"/>
    <w:rsid w:val="00A96840"/>
    <w:rsid w:val="00AC4F50"/>
    <w:rsid w:val="00AF0B14"/>
    <w:rsid w:val="00AF5BF5"/>
    <w:rsid w:val="00AF78CF"/>
    <w:rsid w:val="00B135DC"/>
    <w:rsid w:val="00B21CC5"/>
    <w:rsid w:val="00B377BD"/>
    <w:rsid w:val="00B47500"/>
    <w:rsid w:val="00B7008E"/>
    <w:rsid w:val="00B87BF4"/>
    <w:rsid w:val="00B901D7"/>
    <w:rsid w:val="00B9127F"/>
    <w:rsid w:val="00BD0EA0"/>
    <w:rsid w:val="00C01BD0"/>
    <w:rsid w:val="00C026B2"/>
    <w:rsid w:val="00C1300F"/>
    <w:rsid w:val="00C30377"/>
    <w:rsid w:val="00C40CA8"/>
    <w:rsid w:val="00C5384A"/>
    <w:rsid w:val="00C70DB7"/>
    <w:rsid w:val="00C71F59"/>
    <w:rsid w:val="00C811DF"/>
    <w:rsid w:val="00C83E04"/>
    <w:rsid w:val="00C9041E"/>
    <w:rsid w:val="00C95FD5"/>
    <w:rsid w:val="00CA4F3C"/>
    <w:rsid w:val="00CA61B7"/>
    <w:rsid w:val="00CC410B"/>
    <w:rsid w:val="00CD6669"/>
    <w:rsid w:val="00CE5067"/>
    <w:rsid w:val="00CE56F9"/>
    <w:rsid w:val="00D01FF7"/>
    <w:rsid w:val="00D06989"/>
    <w:rsid w:val="00D46735"/>
    <w:rsid w:val="00D60669"/>
    <w:rsid w:val="00D620D8"/>
    <w:rsid w:val="00D66DE9"/>
    <w:rsid w:val="00D71A6A"/>
    <w:rsid w:val="00D83881"/>
    <w:rsid w:val="00D85FD6"/>
    <w:rsid w:val="00DA04BB"/>
    <w:rsid w:val="00DA4562"/>
    <w:rsid w:val="00DC1DEC"/>
    <w:rsid w:val="00DC4FF2"/>
    <w:rsid w:val="00DC6072"/>
    <w:rsid w:val="00DD07E4"/>
    <w:rsid w:val="00DF2485"/>
    <w:rsid w:val="00E079D2"/>
    <w:rsid w:val="00E20E2E"/>
    <w:rsid w:val="00E20F91"/>
    <w:rsid w:val="00E35186"/>
    <w:rsid w:val="00E4223A"/>
    <w:rsid w:val="00E67547"/>
    <w:rsid w:val="00E67F59"/>
    <w:rsid w:val="00E67FE2"/>
    <w:rsid w:val="00E86723"/>
    <w:rsid w:val="00E96E88"/>
    <w:rsid w:val="00EA5989"/>
    <w:rsid w:val="00EA5AD4"/>
    <w:rsid w:val="00EC593C"/>
    <w:rsid w:val="00ED1949"/>
    <w:rsid w:val="00EE3DD0"/>
    <w:rsid w:val="00EF6029"/>
    <w:rsid w:val="00F007D6"/>
    <w:rsid w:val="00F104D9"/>
    <w:rsid w:val="00F45015"/>
    <w:rsid w:val="00F56517"/>
    <w:rsid w:val="00F60626"/>
    <w:rsid w:val="00F63994"/>
    <w:rsid w:val="00F676CC"/>
    <w:rsid w:val="00F75C68"/>
    <w:rsid w:val="00F900E7"/>
    <w:rsid w:val="00F9088A"/>
    <w:rsid w:val="00FA028F"/>
    <w:rsid w:val="00FA0935"/>
    <w:rsid w:val="00FB0178"/>
    <w:rsid w:val="00FB0938"/>
    <w:rsid w:val="00FB4319"/>
    <w:rsid w:val="00FB776E"/>
    <w:rsid w:val="00FD3E52"/>
    <w:rsid w:val="00FE129B"/>
    <w:rsid w:val="00FE6CB8"/>
    <w:rsid w:val="00FF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6E2D2"/>
  <w15:docId w15:val="{E7ED450F-2AE1-374E-A2E7-E7D4059C1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F248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99444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906BF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906B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906BF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E84433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B263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63AE"/>
    <w:pPr>
      <w:widowControl w:val="0"/>
      <w:autoSpaceDE w:val="0"/>
      <w:autoSpaceDN w:val="0"/>
      <w:spacing w:before="58" w:after="0" w:line="240" w:lineRule="auto"/>
      <w:ind w:left="165"/>
    </w:pPr>
    <w:rPr>
      <w:rFonts w:ascii="Times New Roman" w:eastAsia="Times New Roman" w:hAnsi="Times New Roman" w:cs="Times New Roman"/>
      <w:lang w:val="en-US"/>
    </w:rPr>
  </w:style>
  <w:style w:type="table" w:customStyle="1" w:styleId="TableNormal10">
    <w:name w:val="Table Normal1"/>
    <w:uiPriority w:val="2"/>
    <w:semiHidden/>
    <w:unhideWhenUsed/>
    <w:qFormat/>
    <w:rsid w:val="00B263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96CBA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96CBA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96CBA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CC7D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C7D7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C7D7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7D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7D7E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CC7D7E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4D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7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75AF"/>
    <w:rPr>
      <w:rFonts w:ascii="Segoe UI" w:hAnsi="Segoe UI" w:cs="Segoe UI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2253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53B3"/>
  </w:style>
  <w:style w:type="character" w:styleId="Numeropagina">
    <w:name w:val="page number"/>
    <w:basedOn w:val="Carpredefinitoparagrafo"/>
    <w:uiPriority w:val="99"/>
    <w:semiHidden/>
    <w:unhideWhenUsed/>
    <w:rsid w:val="002253B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Carpredefinitoparagrafo"/>
    <w:rsid w:val="0074731F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74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1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ONEGjx2eQW00VjQycglrFOpUBw==">CgMxLjAyCGguZ2pkZ3hzOAByITE1NmllZkJPT2FJcGpYdWpvODBPaG9SaHF0b3lZTXFNWQ==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Cerlini Marco</dc:creator>
  <cp:lastModifiedBy>Carnelos Massimo</cp:lastModifiedBy>
  <cp:revision>5</cp:revision>
  <dcterms:created xsi:type="dcterms:W3CDTF">2024-10-15T09:52:00Z</dcterms:created>
  <dcterms:modified xsi:type="dcterms:W3CDTF">2024-10-15T13:36:00Z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0x010100AAD960D0B551A5419DA1360E880C0EB5</vt:lpwstr>
  </property>
</Properties>
</file>