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154" w:rsidRPr="00370846" w:rsidRDefault="0048468E" w:rsidP="00572154">
      <w:pPr>
        <w:keepNext/>
        <w:keepLines/>
        <w:spacing w:before="960" w:after="0"/>
        <w:jc w:val="center"/>
        <w:outlineLvl w:val="0"/>
        <w:rPr>
          <w:rFonts w:asciiTheme="minorHAnsi" w:hAnsiTheme="minorHAnsi" w:cstheme="minorHAnsi"/>
          <w:b/>
          <w:bCs/>
          <w:color w:val="002060"/>
          <w:sz w:val="28"/>
          <w:szCs w:val="28"/>
        </w:rPr>
      </w:pPr>
      <w:r w:rsidRPr="00E45C44">
        <w:rPr>
          <w:rFonts w:asciiTheme="minorHAnsi" w:hAnsiTheme="minorHAnsi" w:cstheme="minorHAnsi"/>
          <w:b/>
          <w:bCs/>
          <w:color w:val="002060"/>
          <w:sz w:val="28"/>
          <w:szCs w:val="28"/>
        </w:rPr>
        <w:t>ANNUARIO STATISTICO 202</w:t>
      </w:r>
      <w:r w:rsidR="007B4938" w:rsidRPr="00E45C44">
        <w:rPr>
          <w:rFonts w:asciiTheme="minorHAnsi" w:hAnsiTheme="minorHAnsi" w:cstheme="minorHAnsi"/>
          <w:b/>
          <w:bCs/>
          <w:color w:val="002060"/>
          <w:sz w:val="28"/>
          <w:szCs w:val="28"/>
        </w:rPr>
        <w:t>4</w:t>
      </w:r>
      <w:r w:rsidR="00572154" w:rsidRPr="00E45C44">
        <w:rPr>
          <w:rFonts w:asciiTheme="minorHAnsi" w:hAnsiTheme="minorHAnsi" w:cstheme="minorHAnsi"/>
          <w:b/>
          <w:bCs/>
          <w:color w:val="002060"/>
          <w:sz w:val="28"/>
          <w:szCs w:val="28"/>
        </w:rPr>
        <w:br/>
      </w:r>
      <w:r w:rsidR="00572154" w:rsidRPr="00370846">
        <w:rPr>
          <w:rFonts w:asciiTheme="minorHAnsi" w:hAnsiTheme="minorHAnsi" w:cstheme="minorHAnsi"/>
          <w:b/>
          <w:bCs/>
          <w:color w:val="002060"/>
          <w:sz w:val="28"/>
          <w:szCs w:val="28"/>
        </w:rPr>
        <w:t>(</w:t>
      </w:r>
      <w:r w:rsidR="00572154" w:rsidRPr="00370846">
        <w:rPr>
          <w:rFonts w:asciiTheme="minorHAnsi" w:hAnsiTheme="minorHAnsi" w:cstheme="minorHAnsi"/>
          <w:b/>
          <w:bCs/>
          <w:i/>
          <w:color w:val="002060"/>
          <w:sz w:val="28"/>
          <w:szCs w:val="28"/>
        </w:rPr>
        <w:t>estratto testuale</w:t>
      </w:r>
      <w:r w:rsidR="00572154" w:rsidRPr="00370846">
        <w:rPr>
          <w:rFonts w:asciiTheme="minorHAnsi" w:hAnsiTheme="minorHAnsi" w:cstheme="minorHAnsi"/>
          <w:b/>
          <w:bCs/>
          <w:color w:val="002060"/>
          <w:sz w:val="28"/>
          <w:szCs w:val="28"/>
        </w:rPr>
        <w:t>)</w:t>
      </w:r>
    </w:p>
    <w:p w:rsidR="007B4938" w:rsidRPr="00E60A86" w:rsidRDefault="004512FD" w:rsidP="004512FD">
      <w:pPr>
        <w:spacing w:after="0" w:line="240" w:lineRule="auto"/>
        <w:contextualSpacing/>
        <w:jc w:val="both"/>
        <w:rPr>
          <w:color w:val="002060"/>
          <w:sz w:val="24"/>
          <w:szCs w:val="24"/>
        </w:rPr>
      </w:pPr>
      <w:r>
        <w:rPr>
          <w:rFonts w:asciiTheme="minorHAnsi" w:hAnsiTheme="minorHAnsi" w:cstheme="minorHAnsi"/>
          <w:b/>
          <w:bCs/>
          <w:color w:val="002060"/>
          <w:sz w:val="24"/>
          <w:szCs w:val="24"/>
          <w:lang w:eastAsia="it-IT"/>
        </w:rPr>
        <w:t>PREFAZIONE</w:t>
      </w:r>
      <w:r>
        <w:rPr>
          <w:rFonts w:asciiTheme="minorHAnsi" w:hAnsiTheme="minorHAnsi" w:cstheme="minorHAnsi"/>
          <w:b/>
          <w:bCs/>
          <w:color w:val="002060"/>
          <w:sz w:val="24"/>
          <w:szCs w:val="24"/>
          <w:lang w:eastAsia="it-IT"/>
        </w:rPr>
        <w:br/>
      </w:r>
      <w:r w:rsidRPr="004512FD">
        <w:rPr>
          <w:color w:val="002060"/>
          <w:sz w:val="24"/>
          <w:szCs w:val="24"/>
        </w:rPr>
        <w:t>L’incertezza continua ad essere il tratto dominante del contesto globale in cui è chiamata a muoversi l’Italia,</w:t>
      </w:r>
      <w:r>
        <w:t xml:space="preserve"> </w:t>
      </w:r>
      <w:r w:rsidRPr="004512FD">
        <w:rPr>
          <w:color w:val="002060"/>
          <w:sz w:val="24"/>
          <w:szCs w:val="24"/>
        </w:rPr>
        <w:t>caratterizzato dal proliferare di conflitti, da divisioni profonde tra i membri della comunità internazionale, da crescenti spinte protezionistiche e da scarsa efficacia dell’azione multilaterale.</w:t>
      </w:r>
      <w:r>
        <w:rPr>
          <w:color w:val="002060"/>
          <w:sz w:val="24"/>
          <w:szCs w:val="24"/>
        </w:rPr>
        <w:t xml:space="preserve"> </w:t>
      </w:r>
      <w:r w:rsidRPr="004512FD">
        <w:rPr>
          <w:color w:val="002060"/>
          <w:sz w:val="24"/>
          <w:szCs w:val="24"/>
        </w:rPr>
        <w:t>Sul piano economico, il rischio geopolitico resta molto elevato. Cresce il debito dei Paesi emergenti, si rafforzano le barriere commerciali e si riducono gli investimenti internazionali.</w:t>
      </w:r>
      <w:r>
        <w:rPr>
          <w:color w:val="002060"/>
          <w:sz w:val="24"/>
          <w:szCs w:val="24"/>
        </w:rPr>
        <w:t xml:space="preserve"> </w:t>
      </w:r>
      <w:r w:rsidRPr="004512FD">
        <w:rPr>
          <w:color w:val="002060"/>
          <w:sz w:val="24"/>
          <w:szCs w:val="24"/>
        </w:rPr>
        <w:t>A quasi tre anni dall’aggressione russa, la guerra in Ucraina presenta una situazione vicina allo stallo sul terreno, ma con sviluppi preoccupanti sul fronte delle alleanze ostili agli interessi europei ed occidentali e su quello del ricorso a nuovi armamenti. La distruzione delle infrastrutture ucraine, e in particolare di quelle energetiche, aggrava il quadro umanitario ed esige interventi urgenti sul fronte della ricostruzione. Il secondo fronte aperto alla periferia dell’Europa, quello del Medio Oriente, è precipitato in una spirale di violenza che si è estesa da Gaza al Libano, fonte di disastrose conseguenze sul piano umanitario, di divisioni all’interno della comunità internazionale e di conseguenze negative sul piano globale, come le strozzature del traffico marittimo dovute alla perdurante situaz</w:t>
      </w:r>
      <w:r>
        <w:rPr>
          <w:color w:val="002060"/>
          <w:sz w:val="24"/>
          <w:szCs w:val="24"/>
        </w:rPr>
        <w:t xml:space="preserve">ione di tensione sul Mar </w:t>
      </w:r>
      <w:r w:rsidR="00515D24">
        <w:rPr>
          <w:color w:val="002060"/>
          <w:sz w:val="24"/>
          <w:szCs w:val="24"/>
        </w:rPr>
        <w:t>R</w:t>
      </w:r>
      <w:r>
        <w:rPr>
          <w:color w:val="002060"/>
          <w:sz w:val="24"/>
          <w:szCs w:val="24"/>
        </w:rPr>
        <w:t xml:space="preserve">osso. </w:t>
      </w:r>
      <w:r w:rsidRPr="004512FD">
        <w:rPr>
          <w:color w:val="002060"/>
          <w:sz w:val="24"/>
          <w:szCs w:val="24"/>
        </w:rPr>
        <w:t>Le istituzioni multilaterali, a partire dal Consiglio di Sicurezza delle Nazioni Unite, bloccato dai veti dei membri permanenti, incontrano forti difficoltà nel proprio agire, anche a causa di assetti spesso non più rispondenti alle dinamiche demografiche e socioeconomiche globali, e sono per questo oggetto di crescenti critiche.</w:t>
      </w:r>
      <w:r>
        <w:rPr>
          <w:color w:val="002060"/>
          <w:sz w:val="24"/>
          <w:szCs w:val="24"/>
        </w:rPr>
        <w:t xml:space="preserve"> </w:t>
      </w:r>
      <w:r w:rsidRPr="004512FD">
        <w:rPr>
          <w:color w:val="002060"/>
          <w:sz w:val="24"/>
          <w:szCs w:val="24"/>
        </w:rPr>
        <w:t xml:space="preserve">Pur se in un quadro a tinte anche fosche per la diplomazia internazionale, non mancano tentativi di ripristinare un terreno di collaborazione allargata, come il processo per il primo Vertice per il Futuro delle Nazioni Unite o quello per la Conferenza di alto livello sulla pace in Ucraina, mentre una rivoluzione tecnologica senza precedenti alimenta le speranze dei Paesi emergenti in progressi più rapidi sul fronte dello sviluppo. </w:t>
      </w:r>
      <w:r>
        <w:rPr>
          <w:color w:val="002060"/>
          <w:sz w:val="24"/>
          <w:szCs w:val="24"/>
        </w:rPr>
        <w:br/>
      </w:r>
      <w:r w:rsidRPr="004512FD">
        <w:rPr>
          <w:color w:val="002060"/>
          <w:sz w:val="24"/>
          <w:szCs w:val="24"/>
        </w:rPr>
        <w:t xml:space="preserve">Sullo sfondo di tale scenario ha preso il via all’inizio del 2024 l’anno di Presidenza italiana del G7, che ha visto il nostro Paese svolgere un ruolo fondamentale di indirizzo e di coordinamento del Gruppo di Paesi amici e alleati sui fronti più caldi della realtà internazionale: dall’Ucraina al Medio </w:t>
      </w:r>
      <w:r w:rsidR="00515D24">
        <w:rPr>
          <w:color w:val="002060"/>
          <w:sz w:val="24"/>
          <w:szCs w:val="24"/>
        </w:rPr>
        <w:t>O</w:t>
      </w:r>
      <w:bookmarkStart w:id="0" w:name="_GoBack"/>
      <w:bookmarkEnd w:id="0"/>
      <w:r w:rsidRPr="004512FD">
        <w:rPr>
          <w:color w:val="002060"/>
          <w:sz w:val="24"/>
          <w:szCs w:val="24"/>
        </w:rPr>
        <w:t>riente, dall’Africa all’Indopacifico, senza dimenticare il dilemma tra innovazione ed etica che è destinato a definire il perimetro di sviluppo dell’intelligenza artificiale. Con il lancio del Piano Mattei, l’Italia si è dotata di un chiaro approccio strategico per lo sviluppo di partenariati di nuova generazione con i Paesi africani, fondati sulla ricerca di sinergie tra pubblico e privato e su un’azione di coordinamento di tutti gli attori del nostro sistema Paese, cui la Farnesina dedica attenzione prioritaria.</w:t>
      </w:r>
      <w:r>
        <w:rPr>
          <w:color w:val="002060"/>
          <w:sz w:val="24"/>
          <w:szCs w:val="24"/>
        </w:rPr>
        <w:t xml:space="preserve"> </w:t>
      </w:r>
      <w:r w:rsidRPr="004512FD">
        <w:rPr>
          <w:color w:val="002060"/>
          <w:sz w:val="24"/>
          <w:szCs w:val="24"/>
        </w:rPr>
        <w:t xml:space="preserve">A fronte dei rischi legati all’inasprirsi di logiche competitive, la diversificazione di rapporti e mercati rappresenta un imperativo necessario per un Paese come l’Italia, che può far leva su un capitale unico di soft </w:t>
      </w:r>
      <w:proofErr w:type="spellStart"/>
      <w:r w:rsidRPr="004512FD">
        <w:rPr>
          <w:color w:val="002060"/>
          <w:sz w:val="24"/>
          <w:szCs w:val="24"/>
        </w:rPr>
        <w:t>power</w:t>
      </w:r>
      <w:proofErr w:type="spellEnd"/>
      <w:r w:rsidRPr="004512FD">
        <w:rPr>
          <w:color w:val="002060"/>
          <w:sz w:val="24"/>
          <w:szCs w:val="24"/>
        </w:rPr>
        <w:t xml:space="preserve"> e sulla presenza capillare di comunità italiane nel mondo.</w:t>
      </w:r>
      <w:r>
        <w:rPr>
          <w:color w:val="002060"/>
          <w:sz w:val="24"/>
          <w:szCs w:val="24"/>
        </w:rPr>
        <w:t xml:space="preserve"> </w:t>
      </w:r>
      <w:r>
        <w:rPr>
          <w:color w:val="002060"/>
          <w:sz w:val="24"/>
          <w:szCs w:val="24"/>
        </w:rPr>
        <w:br/>
      </w:r>
      <w:r w:rsidRPr="004512FD">
        <w:rPr>
          <w:color w:val="002060"/>
          <w:sz w:val="24"/>
          <w:szCs w:val="24"/>
        </w:rPr>
        <w:t>L’Annuario Statistico 2024 del Ministero degli Affari Esteri e della Cooperazione internazionale illustra organizzazione e risorse, attività e servizi al dicembre 2023 della “galassia Farnesina”, una complessa macchina articolata in 309 uffici all’estero, oltre alla Sede centrale, in cui operano circa 7.000 unità di personale, di ruolo, non di ruolo e a contratto. Il confronto con l’anno precedente restituisce l’immagine di un’istituzione impegnata a rinnovarsi per reggere le sfide dell’attualità, perseguendo strategie di ampliamento degli organici (+15% del personale MAECI nel 2023), estensione della rete estera, digitalizzazione e modernizzazione dei servizi, crescente ricerca di sinergie</w:t>
      </w:r>
      <w:r>
        <w:t xml:space="preserve"> </w:t>
      </w:r>
      <w:r w:rsidRPr="004512FD">
        <w:rPr>
          <w:color w:val="002060"/>
          <w:sz w:val="24"/>
          <w:szCs w:val="24"/>
        </w:rPr>
        <w:t xml:space="preserve">con il settore privato. Le principali novità della rete estera riflettono le linee di indirizzo </w:t>
      </w:r>
      <w:r w:rsidRPr="004512FD">
        <w:rPr>
          <w:color w:val="002060"/>
          <w:sz w:val="24"/>
          <w:szCs w:val="24"/>
        </w:rPr>
        <w:lastRenderedPageBreak/>
        <w:t xml:space="preserve">prioritarie dell’azione diplomatica impresse dal Vice Presidente del Consiglio e Ministro degli Affari Esteri e della Cooperazione internazionale, On. Antonio </w:t>
      </w:r>
      <w:proofErr w:type="spellStart"/>
      <w:r w:rsidRPr="004512FD">
        <w:rPr>
          <w:color w:val="002060"/>
          <w:sz w:val="24"/>
          <w:szCs w:val="24"/>
        </w:rPr>
        <w:t>Tajani</w:t>
      </w:r>
      <w:proofErr w:type="spellEnd"/>
      <w:r w:rsidRPr="004512FD">
        <w:rPr>
          <w:color w:val="002060"/>
          <w:sz w:val="24"/>
          <w:szCs w:val="24"/>
        </w:rPr>
        <w:t>.</w:t>
      </w:r>
      <w:r>
        <w:rPr>
          <w:color w:val="002060"/>
          <w:sz w:val="24"/>
          <w:szCs w:val="24"/>
        </w:rPr>
        <w:br/>
      </w:r>
      <w:r w:rsidRPr="004512FD">
        <w:rPr>
          <w:color w:val="002060"/>
          <w:sz w:val="24"/>
          <w:szCs w:val="24"/>
        </w:rPr>
        <w:t>In primo luogo, la crescente attenzione per l’Africa: l’apertura dell’Ambasciata italiana a Nouakchott, in Mauritania, si aggiunge a quella dei nuovi uffici dell’Agenzia italiana di Cooperazione allo Sviluppo-AICS (Niamey) e dell’ICE (Lagos e Dakar).</w:t>
      </w:r>
      <w:r>
        <w:rPr>
          <w:color w:val="002060"/>
          <w:sz w:val="24"/>
          <w:szCs w:val="24"/>
        </w:rPr>
        <w:t xml:space="preserve"> </w:t>
      </w:r>
      <w:r w:rsidRPr="004512FD">
        <w:rPr>
          <w:color w:val="002060"/>
          <w:sz w:val="24"/>
          <w:szCs w:val="24"/>
        </w:rPr>
        <w:t>In secondo luogo, l’incremento dei servizi consolari che, a fronte di un numero di italiani iscritti all’AIRE aumentato del 4%, si è tradotto nell’apertura dei nuovi Consolati Generali a Bruxelles e Madrid, oltre che nell’elevazione a rango di Consolato Generale delle sedi di Mendoza, Belo Horizonte e</w:t>
      </w:r>
      <w:r>
        <w:rPr>
          <w:color w:val="002060"/>
          <w:sz w:val="24"/>
          <w:szCs w:val="24"/>
        </w:rPr>
        <w:t xml:space="preserve">d Erbil. </w:t>
      </w:r>
      <w:r w:rsidRPr="004512FD">
        <w:rPr>
          <w:color w:val="002060"/>
          <w:sz w:val="24"/>
          <w:szCs w:val="24"/>
        </w:rPr>
        <w:t>Notevoli anche i dati della promozione culturale, con un aumento degli iscritti ai corsi di lingua italiana presso gli Istituti di cultura, degli eventi di promozione culturale e integrata e delle borse di studio finanziate dal Governo italiano. Anche l’assistenza all’internazionalizzazione delle imprese italiane all’estero, parte delle attività di “diplomazia della crescita” ha conosciuto un anno favorevole, come dimostra l’incremento del 46% delle visualizzazioni delle pagine “Export.gov.it”.</w:t>
      </w:r>
      <w:r>
        <w:rPr>
          <w:color w:val="002060"/>
          <w:sz w:val="24"/>
          <w:szCs w:val="24"/>
        </w:rPr>
        <w:br/>
      </w:r>
      <w:r w:rsidRPr="004512FD">
        <w:rPr>
          <w:color w:val="002060"/>
          <w:sz w:val="24"/>
          <w:szCs w:val="24"/>
        </w:rPr>
        <w:t>I dati dell’Annuario – che esce in una rinnovata versione grafica – forniscono, in modo indicativo e non esaustivo, la base di partenza per la programmazione delle attività e la definizione degli organici futuri della Farnesina, in un momento in cui la gravità dello scenario internazionale rende ancor più necessario il rafforzamento dell’azione diplomatica e la condivisione, da parte dell’opinione pubblica, degli obiettivi a cui tende e dei principi che la guidano.</w:t>
      </w:r>
      <w:r>
        <w:rPr>
          <w:rFonts w:asciiTheme="minorHAnsi" w:hAnsiTheme="minorHAnsi" w:cstheme="minorHAnsi"/>
          <w:b/>
          <w:bCs/>
          <w:color w:val="002060"/>
          <w:sz w:val="24"/>
          <w:szCs w:val="24"/>
          <w:lang w:eastAsia="it-IT"/>
        </w:rPr>
        <w:br/>
      </w:r>
      <w:r>
        <w:rPr>
          <w:rFonts w:asciiTheme="minorHAnsi" w:hAnsiTheme="minorHAnsi" w:cstheme="minorHAnsi"/>
          <w:b/>
          <w:bCs/>
          <w:color w:val="002060"/>
          <w:sz w:val="24"/>
          <w:szCs w:val="24"/>
          <w:lang w:eastAsia="it-IT"/>
        </w:rPr>
        <w:br/>
      </w:r>
      <w:r w:rsidR="007B4938" w:rsidRPr="00E60A86">
        <w:rPr>
          <w:rFonts w:asciiTheme="minorHAnsi" w:hAnsiTheme="minorHAnsi" w:cstheme="minorHAnsi"/>
          <w:b/>
          <w:bCs/>
          <w:color w:val="002060"/>
          <w:sz w:val="24"/>
          <w:szCs w:val="24"/>
          <w:lang w:eastAsia="it-IT"/>
        </w:rPr>
        <w:t>ORGANIZZAZIONE</w:t>
      </w:r>
      <w:r w:rsidR="00361826" w:rsidRPr="00E60A86">
        <w:rPr>
          <w:rFonts w:asciiTheme="minorHAnsi" w:hAnsiTheme="minorHAnsi" w:cstheme="minorHAnsi"/>
          <w:b/>
          <w:bCs/>
          <w:color w:val="002060"/>
          <w:sz w:val="24"/>
          <w:szCs w:val="24"/>
          <w:lang w:eastAsia="it-IT"/>
        </w:rPr>
        <w:t xml:space="preserve"> E RISORSE UMANE</w:t>
      </w:r>
    </w:p>
    <w:p w:rsidR="00066849" w:rsidRPr="00E60A86" w:rsidRDefault="00361826" w:rsidP="004512FD">
      <w:pPr>
        <w:jc w:val="both"/>
        <w:rPr>
          <w:color w:val="002060"/>
          <w:sz w:val="24"/>
          <w:szCs w:val="24"/>
        </w:rPr>
      </w:pPr>
      <w:r w:rsidRPr="00E60A86">
        <w:rPr>
          <w:color w:val="002060"/>
          <w:sz w:val="24"/>
          <w:szCs w:val="24"/>
        </w:rPr>
        <w:t xml:space="preserve">La rete degli Uffici all’estero si compone di 309 sedi distribuite nel Mondo: 130 Ambasciate, 9 Rappresentanze Permanenti presso Organismi Internazionali, 1 Delegazione Diplomatica Speciale, 83 Uffici Consolari, 86 Istituti Italiani di Cultura A novembre 2023 è stata attivata la nuova Ambasciata d’Italia a Nouakchott, in Mauritania, per cui il numero complessivo di Uffici all’estero è 309. Inoltre, abbiamo anticipato in alcune tabelle di questa edizione 2024 dell’Annuario statistico, il cambio di rango di 3 Uffici consolari (Erbil, Mendoza e Belo Horizonte) che sono stati elevati a Consolato Generale poco prima della presente pubblicazione. La consistenza del personale di ruolo per l’anno 2023 è di 4.041 unità (48% donne e 52% uomini): si registra un aumento del 15% dovuto in gran parte all’inserimento in organico di nuove unità di personale assunto con i più recenti concorsi pubblici. Nel 2023 le donne diplomatiche sono complessivamente 265 (di cui 6 Ambasciatrici di grado, 29 Ministre Plenipotenziarie, 62 Consigliere di Ambasciata, 60 Consigliere di Legazione e 108 Segretarie di Legazione); rappresentano il 25% del totale Funzionari in carriera. Con riferimento al settore geografico in cui insiste la sede di servizio, la quota più alta di personale si concentra negli Uffici ubicati nei Paesi UE (28%) seguita dalle sedi in America (22%), in Asia e in Europa extra UE (16%), quindi nel bacino del Mediterraneo e in Africa (rispettivamente 11% e 8%). </w:t>
      </w:r>
    </w:p>
    <w:p w:rsidR="000D789D" w:rsidRPr="00E60A86" w:rsidRDefault="000D789D" w:rsidP="00864AA2">
      <w:pPr>
        <w:autoSpaceDE w:val="0"/>
        <w:autoSpaceDN w:val="0"/>
        <w:adjustRightInd w:val="0"/>
        <w:spacing w:before="120" w:after="0" w:line="240" w:lineRule="auto"/>
        <w:jc w:val="both"/>
        <w:rPr>
          <w:rFonts w:asciiTheme="minorHAnsi" w:hAnsiTheme="minorHAnsi" w:cstheme="minorHAnsi"/>
          <w:b/>
          <w:bCs/>
          <w:color w:val="00B050"/>
          <w:sz w:val="24"/>
          <w:szCs w:val="24"/>
          <w:lang w:eastAsia="it-IT"/>
        </w:rPr>
      </w:pPr>
      <w:r w:rsidRPr="00E60A86">
        <w:rPr>
          <w:rFonts w:asciiTheme="minorHAnsi" w:hAnsiTheme="minorHAnsi" w:cstheme="minorHAnsi"/>
          <w:b/>
          <w:bCs/>
          <w:color w:val="002060"/>
          <w:sz w:val="24"/>
          <w:szCs w:val="24"/>
          <w:lang w:eastAsia="it-IT"/>
        </w:rPr>
        <w:t>RISORSE FINANZIARIE</w:t>
      </w:r>
    </w:p>
    <w:p w:rsidR="00361826" w:rsidRPr="00E60A86" w:rsidRDefault="00361826" w:rsidP="00864AA2">
      <w:pPr>
        <w:autoSpaceDE w:val="0"/>
        <w:autoSpaceDN w:val="0"/>
        <w:adjustRightInd w:val="0"/>
        <w:spacing w:before="120" w:after="0" w:line="240" w:lineRule="auto"/>
        <w:rPr>
          <w:color w:val="002060"/>
          <w:sz w:val="24"/>
          <w:szCs w:val="24"/>
        </w:rPr>
      </w:pPr>
      <w:r w:rsidRPr="00E60A86">
        <w:rPr>
          <w:color w:val="002060"/>
          <w:sz w:val="24"/>
          <w:szCs w:val="24"/>
        </w:rPr>
        <w:t>Le risorse finanziarie effettive riferite al MAECI risultano pari a 1.267 milioni di euro per il 2024, al netto della quota destinata all’APS (nell’ambito della quale figurano i trasferimenti all’AICS e la componente del FES - Fondo europeo di sviluppo) e quella destinata ad altri interventi.</w:t>
      </w:r>
    </w:p>
    <w:p w:rsidR="00B32C3A" w:rsidRPr="00E60A86" w:rsidRDefault="000D789D" w:rsidP="00361826">
      <w:pPr>
        <w:autoSpaceDE w:val="0"/>
        <w:autoSpaceDN w:val="0"/>
        <w:adjustRightInd w:val="0"/>
        <w:spacing w:before="240" w:after="120" w:line="240" w:lineRule="auto"/>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ALTRI DATI</w:t>
      </w:r>
    </w:p>
    <w:p w:rsidR="00E97035" w:rsidRPr="00E60A86" w:rsidRDefault="000D789D" w:rsidP="00E97035">
      <w:pPr>
        <w:autoSpaceDE w:val="0"/>
        <w:autoSpaceDN w:val="0"/>
        <w:adjustRightInd w:val="0"/>
        <w:spacing w:after="0" w:line="240" w:lineRule="auto"/>
        <w:rPr>
          <w:color w:val="002060"/>
          <w:sz w:val="24"/>
          <w:szCs w:val="24"/>
        </w:rPr>
      </w:pPr>
      <w:r w:rsidRPr="00E60A86">
        <w:rPr>
          <w:rFonts w:asciiTheme="minorHAnsi" w:hAnsiTheme="minorHAnsi" w:cstheme="minorHAnsi"/>
          <w:b/>
          <w:bCs/>
          <w:color w:val="002060"/>
          <w:sz w:val="24"/>
          <w:szCs w:val="24"/>
          <w:lang w:eastAsia="it-IT"/>
        </w:rPr>
        <w:t>Farnesina digitale</w:t>
      </w:r>
      <w:r w:rsidR="00E97035" w:rsidRPr="00E60A86">
        <w:rPr>
          <w:rFonts w:asciiTheme="minorHAnsi" w:hAnsiTheme="minorHAnsi" w:cstheme="minorHAnsi"/>
          <w:b/>
          <w:bCs/>
          <w:color w:val="002060"/>
          <w:sz w:val="24"/>
          <w:szCs w:val="24"/>
          <w:lang w:eastAsia="it-IT"/>
        </w:rPr>
        <w:br/>
      </w:r>
      <w:r w:rsidR="00361826" w:rsidRPr="00E60A86">
        <w:rPr>
          <w:color w:val="002060"/>
          <w:sz w:val="24"/>
          <w:szCs w:val="24"/>
        </w:rPr>
        <w:t>I servizi consolari erogati ai connazionali residenti all’estero tramite la piattaforma Fast-It registrano un + 5,6% rispetto all’anno precedente.</w:t>
      </w:r>
    </w:p>
    <w:p w:rsidR="000D789D" w:rsidRPr="00E60A86" w:rsidRDefault="000D789D" w:rsidP="003D4D90">
      <w:pPr>
        <w:autoSpaceDE w:val="0"/>
        <w:autoSpaceDN w:val="0"/>
        <w:adjustRightInd w:val="0"/>
        <w:spacing w:before="240"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lastRenderedPageBreak/>
        <w:t>Farnesina verde</w:t>
      </w:r>
    </w:p>
    <w:p w:rsidR="00361826" w:rsidRPr="00E60A86" w:rsidRDefault="00361826" w:rsidP="00066849">
      <w:pPr>
        <w:spacing w:after="0" w:line="240" w:lineRule="auto"/>
        <w:jc w:val="both"/>
        <w:rPr>
          <w:color w:val="002060"/>
          <w:sz w:val="24"/>
          <w:szCs w:val="24"/>
        </w:rPr>
      </w:pPr>
      <w:r w:rsidRPr="00E60A86">
        <w:rPr>
          <w:color w:val="002060"/>
          <w:sz w:val="24"/>
          <w:szCs w:val="24"/>
        </w:rPr>
        <w:t xml:space="preserve">Nel 2023 l’impegno del MAECI per promuovere la sostenibilità ambientale si è ulteriormente rafforzato attraverso un incremento del numero e della varietà delle proposte degli operatori della mobilità sostenibile finalizzate a incentivare il servizio di </w:t>
      </w:r>
      <w:proofErr w:type="spellStart"/>
      <w:r w:rsidRPr="00E60A86">
        <w:rPr>
          <w:color w:val="002060"/>
          <w:sz w:val="24"/>
          <w:szCs w:val="24"/>
        </w:rPr>
        <w:t>sharing</w:t>
      </w:r>
      <w:proofErr w:type="spellEnd"/>
      <w:r w:rsidRPr="00E60A86">
        <w:rPr>
          <w:color w:val="002060"/>
          <w:sz w:val="24"/>
          <w:szCs w:val="24"/>
        </w:rPr>
        <w:t xml:space="preserve"> (di monopattini, autovetture, biciclette e scooter), di noleggio o acquisto di mezzi elettrici e biciclette e di car </w:t>
      </w:r>
      <w:proofErr w:type="spellStart"/>
      <w:r w:rsidRPr="00E60A86">
        <w:rPr>
          <w:color w:val="002060"/>
          <w:sz w:val="24"/>
          <w:szCs w:val="24"/>
        </w:rPr>
        <w:t>pooling</w:t>
      </w:r>
      <w:proofErr w:type="spellEnd"/>
      <w:r w:rsidRPr="00E60A86">
        <w:rPr>
          <w:color w:val="002060"/>
          <w:sz w:val="24"/>
          <w:szCs w:val="24"/>
        </w:rPr>
        <w:t>.</w:t>
      </w:r>
    </w:p>
    <w:p w:rsidR="00066849" w:rsidRPr="00E60A86" w:rsidRDefault="00361826" w:rsidP="00066849">
      <w:pPr>
        <w:spacing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br/>
      </w:r>
      <w:r w:rsidR="00572154" w:rsidRPr="00E60A86">
        <w:rPr>
          <w:rFonts w:asciiTheme="minorHAnsi" w:hAnsiTheme="minorHAnsi" w:cstheme="minorHAnsi"/>
          <w:b/>
          <w:bCs/>
          <w:color w:val="002060"/>
          <w:sz w:val="24"/>
          <w:szCs w:val="24"/>
          <w:lang w:eastAsia="it-IT"/>
        </w:rPr>
        <w:t>Farnesina solidale</w:t>
      </w:r>
    </w:p>
    <w:p w:rsidR="00361826" w:rsidRPr="00E60A86" w:rsidRDefault="00361826" w:rsidP="00361826">
      <w:pPr>
        <w:jc w:val="both"/>
        <w:rPr>
          <w:color w:val="002060"/>
          <w:sz w:val="24"/>
          <w:szCs w:val="24"/>
        </w:rPr>
      </w:pPr>
      <w:r w:rsidRPr="00E60A86">
        <w:rPr>
          <w:color w:val="002060"/>
          <w:sz w:val="24"/>
          <w:szCs w:val="24"/>
        </w:rPr>
        <w:t xml:space="preserve">Tra le iniziative di carattere “solidale” realizzate dal Ministero degli Affari Esteri e della Cooperazione Internazionale nel corso del 2023 meritano una segnalazione particolare il sostegno alla raccolta fondi per la Lega del Filo d’Oro, per la Fondazione ANT pro prevenzione e assistenza domiciliare oncologica, per la Croce Rossa Italiana e il supporto alla Associazione Susan Komen Italia per la lotta ai tumori al seno (partecipazione alla Race for the Cure di una squadra costituita da personale MAECI) </w:t>
      </w:r>
    </w:p>
    <w:p w:rsidR="000D789D" w:rsidRPr="00E60A86" w:rsidRDefault="000D789D" w:rsidP="003D4D90">
      <w:pPr>
        <w:autoSpaceDE w:val="0"/>
        <w:autoSpaceDN w:val="0"/>
        <w:adjustRightInd w:val="0"/>
        <w:spacing w:before="360" w:after="0" w:line="240" w:lineRule="auto"/>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ATTIVITÀ E SERVIZI</w:t>
      </w:r>
    </w:p>
    <w:p w:rsidR="000D789D" w:rsidRPr="00E60A86" w:rsidRDefault="000D789D" w:rsidP="00B32C3A">
      <w:pPr>
        <w:autoSpaceDE w:val="0"/>
        <w:autoSpaceDN w:val="0"/>
        <w:adjustRightInd w:val="0"/>
        <w:spacing w:before="120" w:after="120" w:line="240" w:lineRule="auto"/>
        <w:jc w:val="both"/>
        <w:rPr>
          <w:rFonts w:asciiTheme="minorHAnsi" w:hAnsiTheme="minorHAnsi" w:cstheme="minorHAnsi"/>
          <w:color w:val="002060"/>
          <w:sz w:val="24"/>
          <w:szCs w:val="24"/>
          <w:lang w:eastAsia="it-IT"/>
        </w:rPr>
      </w:pPr>
      <w:r w:rsidRPr="00E60A86">
        <w:rPr>
          <w:rFonts w:asciiTheme="minorHAnsi" w:hAnsiTheme="minorHAnsi" w:cstheme="minorHAnsi"/>
          <w:color w:val="002060"/>
          <w:sz w:val="24"/>
          <w:szCs w:val="24"/>
          <w:lang w:eastAsia="it-IT"/>
        </w:rPr>
        <w:t>Il secondo capitolo dell’Annuario Statistico è dedicato alle attività svolte e ai servizi erogati dal Ministero degli Affari Esteri e della Cooperazione Internazionale.</w:t>
      </w:r>
    </w:p>
    <w:p w:rsidR="000D789D" w:rsidRPr="00E60A86" w:rsidRDefault="000D789D" w:rsidP="00E97035">
      <w:pPr>
        <w:autoSpaceDE w:val="0"/>
        <w:autoSpaceDN w:val="0"/>
        <w:adjustRightInd w:val="0"/>
        <w:spacing w:after="0" w:line="240" w:lineRule="auto"/>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Visite, incontri e riunioni</w:t>
      </w:r>
    </w:p>
    <w:p w:rsidR="00E97035" w:rsidRPr="00E60A86" w:rsidRDefault="00E97035" w:rsidP="00E97035">
      <w:pPr>
        <w:autoSpaceDE w:val="0"/>
        <w:autoSpaceDN w:val="0"/>
        <w:adjustRightInd w:val="0"/>
        <w:spacing w:after="0" w:line="240" w:lineRule="auto"/>
        <w:jc w:val="both"/>
        <w:rPr>
          <w:color w:val="002060"/>
          <w:sz w:val="24"/>
          <w:szCs w:val="24"/>
        </w:rPr>
      </w:pPr>
      <w:r w:rsidRPr="00E60A86">
        <w:rPr>
          <w:color w:val="002060"/>
          <w:sz w:val="24"/>
          <w:szCs w:val="24"/>
        </w:rPr>
        <w:t>Le visite (in Italia e all’estero), gli incontri e le riunioni di carattere internazionale cui hanno partecipato il Presidente della Repubblica, il Presidente del Consiglio e il Ministro degli Esteri sono presentate nelle tavole 2.</w:t>
      </w:r>
      <w:r w:rsidR="00361826" w:rsidRPr="00E60A86">
        <w:rPr>
          <w:color w:val="002060"/>
          <w:sz w:val="24"/>
          <w:szCs w:val="24"/>
        </w:rPr>
        <w:t>3</w:t>
      </w:r>
      <w:r w:rsidR="00E60A86" w:rsidRPr="00E60A86">
        <w:rPr>
          <w:color w:val="002060"/>
          <w:sz w:val="24"/>
          <w:szCs w:val="24"/>
        </w:rPr>
        <w:t>,</w:t>
      </w:r>
      <w:r w:rsidRPr="00E60A86">
        <w:rPr>
          <w:color w:val="002060"/>
          <w:sz w:val="24"/>
          <w:szCs w:val="24"/>
        </w:rPr>
        <w:t xml:space="preserve"> 2.</w:t>
      </w:r>
      <w:r w:rsidR="00361826" w:rsidRPr="00E60A86">
        <w:rPr>
          <w:color w:val="002060"/>
          <w:sz w:val="24"/>
          <w:szCs w:val="24"/>
        </w:rPr>
        <w:t>4</w:t>
      </w:r>
      <w:r w:rsidR="00E60A86" w:rsidRPr="00E60A86">
        <w:rPr>
          <w:color w:val="002060"/>
          <w:sz w:val="24"/>
          <w:szCs w:val="24"/>
        </w:rPr>
        <w:t>,</w:t>
      </w:r>
      <w:r w:rsidRPr="00E60A86">
        <w:rPr>
          <w:color w:val="002060"/>
          <w:sz w:val="24"/>
          <w:szCs w:val="24"/>
        </w:rPr>
        <w:t xml:space="preserve"> 2.</w:t>
      </w:r>
      <w:r w:rsidR="00361826" w:rsidRPr="00E60A86">
        <w:rPr>
          <w:color w:val="002060"/>
          <w:sz w:val="24"/>
          <w:szCs w:val="24"/>
        </w:rPr>
        <w:t>4.1</w:t>
      </w:r>
      <w:r w:rsidRPr="00E60A86">
        <w:rPr>
          <w:color w:val="002060"/>
          <w:sz w:val="24"/>
          <w:szCs w:val="24"/>
        </w:rPr>
        <w:t>.</w:t>
      </w:r>
    </w:p>
    <w:p w:rsidR="000D789D" w:rsidRPr="00E60A86" w:rsidRDefault="000D789D" w:rsidP="00E97035">
      <w:pPr>
        <w:autoSpaceDE w:val="0"/>
        <w:autoSpaceDN w:val="0"/>
        <w:adjustRightInd w:val="0"/>
        <w:spacing w:before="120"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Accordi, questioni giuridiche internazionali e cooperazione giudiziaria</w:t>
      </w:r>
    </w:p>
    <w:p w:rsidR="00361826" w:rsidRPr="00E60A86" w:rsidRDefault="00361826" w:rsidP="00E97035">
      <w:pPr>
        <w:autoSpaceDE w:val="0"/>
        <w:autoSpaceDN w:val="0"/>
        <w:adjustRightInd w:val="0"/>
        <w:spacing w:after="0" w:line="240" w:lineRule="auto"/>
        <w:jc w:val="both"/>
        <w:rPr>
          <w:color w:val="002060"/>
          <w:sz w:val="24"/>
          <w:szCs w:val="24"/>
        </w:rPr>
      </w:pPr>
      <w:r w:rsidRPr="00E60A86">
        <w:rPr>
          <w:color w:val="002060"/>
          <w:sz w:val="24"/>
          <w:szCs w:val="24"/>
        </w:rPr>
        <w:t>I dati inerenti gli accordi bilaterali e multilaterali firmati dall’Italia ed entrati in vigore nel 2023 sono illustrati nelle tavole 2.5 e 2.6. Le informazioni sul contenzioso giuridico internazionale presso la Corte di giustizia dell’UE sono presentate nelle tabelle 2.7 e 2.8</w:t>
      </w:r>
    </w:p>
    <w:p w:rsidR="000D789D" w:rsidRPr="00E60A86" w:rsidRDefault="00E97035" w:rsidP="00E97035">
      <w:pPr>
        <w:autoSpaceDE w:val="0"/>
        <w:autoSpaceDN w:val="0"/>
        <w:adjustRightInd w:val="0"/>
        <w:spacing w:after="0" w:line="240" w:lineRule="auto"/>
        <w:jc w:val="both"/>
        <w:rPr>
          <w:rFonts w:asciiTheme="minorHAnsi" w:hAnsiTheme="minorHAnsi" w:cstheme="minorHAnsi"/>
          <w:b/>
          <w:bCs/>
          <w:color w:val="002060"/>
          <w:sz w:val="24"/>
          <w:szCs w:val="24"/>
          <w:lang w:eastAsia="it-IT"/>
        </w:rPr>
      </w:pPr>
      <w:r w:rsidRPr="00E60A86">
        <w:rPr>
          <w:color w:val="00B050"/>
          <w:sz w:val="24"/>
          <w:szCs w:val="24"/>
        </w:rPr>
        <w:br/>
      </w:r>
      <w:r w:rsidR="000D789D" w:rsidRPr="00E60A86">
        <w:rPr>
          <w:rFonts w:asciiTheme="minorHAnsi" w:hAnsiTheme="minorHAnsi" w:cstheme="minorHAnsi"/>
          <w:b/>
          <w:bCs/>
          <w:color w:val="002060"/>
          <w:sz w:val="24"/>
          <w:szCs w:val="24"/>
          <w:lang w:eastAsia="it-IT"/>
        </w:rPr>
        <w:t>Funzionari italiani, END e Osservatori elettorali</w:t>
      </w:r>
    </w:p>
    <w:p w:rsidR="00E97035" w:rsidRPr="00E60A86" w:rsidRDefault="00E45C44" w:rsidP="00E97035">
      <w:pPr>
        <w:autoSpaceDE w:val="0"/>
        <w:autoSpaceDN w:val="0"/>
        <w:adjustRightInd w:val="0"/>
        <w:spacing w:after="0" w:line="240" w:lineRule="auto"/>
        <w:jc w:val="both"/>
        <w:rPr>
          <w:color w:val="002060"/>
          <w:sz w:val="24"/>
          <w:szCs w:val="24"/>
        </w:rPr>
      </w:pPr>
      <w:r w:rsidRPr="00E60A86">
        <w:rPr>
          <w:color w:val="002060"/>
          <w:sz w:val="24"/>
          <w:szCs w:val="24"/>
        </w:rPr>
        <w:t>La presenza dei funzionari italiani nelle Organizzazioni internazionali è documentata nella tavola 2.11: in valore assoluto il numero più elevato di presenze è quello della Commissione europea con 1.789 funzionari italiani che rappresenta il 12% del totale funzionari presso UE. Per quanto riguarda gli END - Esperti Nazionali Distaccati, si rimanda ai dettagli contenuti nelle tavole 2.12 e 2.12.1 dove si evince che il 35 % lavora presso la Commissione europea, il 18% presso il SEAE e il 42% è distribuito in altri Organi e Organismi. Nella tabella 2.13, invece, sono presentati i dati relativi agli Osservatori italiani impegnati nelle missioni elettorali.</w:t>
      </w:r>
    </w:p>
    <w:p w:rsidR="000D789D" w:rsidRPr="00E60A86" w:rsidRDefault="000D789D" w:rsidP="00E60A86">
      <w:pPr>
        <w:autoSpaceDE w:val="0"/>
        <w:autoSpaceDN w:val="0"/>
        <w:adjustRightInd w:val="0"/>
        <w:spacing w:before="360" w:after="12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DIPLOMAZIA CULTURALE, SCIENTIFICA ED ECONOMICA</w:t>
      </w:r>
    </w:p>
    <w:p w:rsidR="000D789D" w:rsidRPr="00E60A86" w:rsidRDefault="00C86ECA" w:rsidP="00E60A86">
      <w:pPr>
        <w:autoSpaceDE w:val="0"/>
        <w:autoSpaceDN w:val="0"/>
        <w:adjustRightInd w:val="0"/>
        <w:spacing w:after="12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 xml:space="preserve">Istituzioni scolastiche </w:t>
      </w:r>
      <w:r w:rsidR="000D789D" w:rsidRPr="00E60A86">
        <w:rPr>
          <w:rFonts w:asciiTheme="minorHAnsi" w:hAnsiTheme="minorHAnsi" w:cstheme="minorHAnsi"/>
          <w:b/>
          <w:bCs/>
          <w:color w:val="002060"/>
          <w:sz w:val="24"/>
          <w:szCs w:val="24"/>
          <w:lang w:eastAsia="it-IT"/>
        </w:rPr>
        <w:t>all’estero</w:t>
      </w:r>
      <w:r w:rsidR="003B074B" w:rsidRPr="00E60A86">
        <w:rPr>
          <w:rFonts w:asciiTheme="minorHAnsi" w:hAnsiTheme="minorHAnsi" w:cstheme="minorHAnsi"/>
          <w:b/>
          <w:bCs/>
          <w:color w:val="002060"/>
          <w:sz w:val="24"/>
          <w:szCs w:val="24"/>
          <w:lang w:eastAsia="it-IT"/>
        </w:rPr>
        <w:t xml:space="preserve"> (italiane e non)</w:t>
      </w:r>
    </w:p>
    <w:p w:rsidR="00E97035" w:rsidRPr="00E60A86" w:rsidRDefault="003B074B" w:rsidP="003B074B">
      <w:pPr>
        <w:jc w:val="both"/>
        <w:rPr>
          <w:color w:val="002060"/>
          <w:sz w:val="24"/>
          <w:szCs w:val="24"/>
        </w:rPr>
      </w:pPr>
      <w:r w:rsidRPr="00E60A86">
        <w:rPr>
          <w:color w:val="002060"/>
          <w:sz w:val="24"/>
          <w:szCs w:val="24"/>
        </w:rPr>
        <w:t>La sezione d</w:t>
      </w:r>
      <w:r w:rsidR="00E45C44" w:rsidRPr="00E60A86">
        <w:rPr>
          <w:color w:val="002060"/>
          <w:sz w:val="24"/>
          <w:szCs w:val="24"/>
        </w:rPr>
        <w:t>edicata alle Scuole all’estero contiene</w:t>
      </w:r>
      <w:r w:rsidRPr="00E60A86">
        <w:rPr>
          <w:color w:val="002060"/>
          <w:sz w:val="24"/>
          <w:szCs w:val="24"/>
        </w:rPr>
        <w:t xml:space="preserve"> i dettagli sulle Scuole </w:t>
      </w:r>
      <w:r w:rsidR="00E45C44" w:rsidRPr="00E60A86">
        <w:rPr>
          <w:color w:val="002060"/>
          <w:sz w:val="24"/>
          <w:szCs w:val="24"/>
        </w:rPr>
        <w:t xml:space="preserve">italiane e sulle Scuole </w:t>
      </w:r>
      <w:r w:rsidRPr="00E60A86">
        <w:rPr>
          <w:color w:val="002060"/>
          <w:sz w:val="24"/>
          <w:szCs w:val="24"/>
        </w:rPr>
        <w:t xml:space="preserve">non italiane all’estero (Sezioni italiane presso Scuole internazionali/Straniere </w:t>
      </w:r>
      <w:r w:rsidR="00E45C44" w:rsidRPr="00E60A86">
        <w:rPr>
          <w:color w:val="002060"/>
          <w:sz w:val="24"/>
          <w:szCs w:val="24"/>
        </w:rPr>
        <w:t xml:space="preserve">- presso le quali </w:t>
      </w:r>
      <w:r w:rsidRPr="00E60A86">
        <w:rPr>
          <w:color w:val="002060"/>
          <w:sz w:val="24"/>
          <w:szCs w:val="24"/>
        </w:rPr>
        <w:t>viene i</w:t>
      </w:r>
      <w:r w:rsidR="00E45C44" w:rsidRPr="00E60A86">
        <w:rPr>
          <w:color w:val="002060"/>
          <w:sz w:val="24"/>
          <w:szCs w:val="24"/>
        </w:rPr>
        <w:t>mpartita</w:t>
      </w:r>
      <w:r w:rsidRPr="00E60A86">
        <w:rPr>
          <w:color w:val="002060"/>
          <w:sz w:val="24"/>
          <w:szCs w:val="24"/>
        </w:rPr>
        <w:t xml:space="preserve"> la lingua italiana e </w:t>
      </w:r>
      <w:r w:rsidR="00E45C44" w:rsidRPr="00E60A86">
        <w:rPr>
          <w:color w:val="002060"/>
          <w:sz w:val="24"/>
          <w:szCs w:val="24"/>
        </w:rPr>
        <w:t xml:space="preserve">una o più </w:t>
      </w:r>
      <w:r w:rsidRPr="00E60A86">
        <w:rPr>
          <w:color w:val="002060"/>
          <w:sz w:val="24"/>
          <w:szCs w:val="24"/>
        </w:rPr>
        <w:t xml:space="preserve">discipline non linguistiche in </w:t>
      </w:r>
      <w:r w:rsidR="00E45C44" w:rsidRPr="00E60A86">
        <w:rPr>
          <w:color w:val="002060"/>
          <w:sz w:val="24"/>
          <w:szCs w:val="24"/>
        </w:rPr>
        <w:t xml:space="preserve">lingua </w:t>
      </w:r>
      <w:r w:rsidRPr="00E60A86">
        <w:rPr>
          <w:color w:val="002060"/>
          <w:sz w:val="24"/>
          <w:szCs w:val="24"/>
        </w:rPr>
        <w:t>italian</w:t>
      </w:r>
      <w:r w:rsidR="00E45C44" w:rsidRPr="00E60A86">
        <w:rPr>
          <w:color w:val="002060"/>
          <w:sz w:val="24"/>
          <w:szCs w:val="24"/>
        </w:rPr>
        <w:t>a -</w:t>
      </w:r>
      <w:r w:rsidRPr="00E60A86">
        <w:rPr>
          <w:color w:val="002060"/>
          <w:sz w:val="24"/>
          <w:szCs w:val="24"/>
        </w:rPr>
        <w:t xml:space="preserve"> e presso </w:t>
      </w:r>
      <w:r w:rsidR="00E45C44" w:rsidRPr="00E60A86">
        <w:rPr>
          <w:color w:val="002060"/>
          <w:sz w:val="24"/>
          <w:szCs w:val="24"/>
        </w:rPr>
        <w:t xml:space="preserve">le </w:t>
      </w:r>
      <w:r w:rsidRPr="00E60A86">
        <w:rPr>
          <w:color w:val="002060"/>
          <w:sz w:val="24"/>
          <w:szCs w:val="24"/>
        </w:rPr>
        <w:t xml:space="preserve">Scuole Europee) </w:t>
      </w:r>
      <w:r w:rsidR="00E45C44" w:rsidRPr="00E60A86">
        <w:rPr>
          <w:color w:val="002060"/>
          <w:sz w:val="24"/>
          <w:szCs w:val="24"/>
        </w:rPr>
        <w:t xml:space="preserve">nonché </w:t>
      </w:r>
      <w:r w:rsidRPr="00E60A86">
        <w:rPr>
          <w:color w:val="002060"/>
          <w:sz w:val="24"/>
          <w:szCs w:val="24"/>
        </w:rPr>
        <w:t xml:space="preserve">sulle iniziative scolastiche di promozione e diffusione della </w:t>
      </w:r>
      <w:r w:rsidR="00E45C44" w:rsidRPr="00E60A86">
        <w:rPr>
          <w:color w:val="002060"/>
          <w:sz w:val="24"/>
          <w:szCs w:val="24"/>
        </w:rPr>
        <w:t>lingua e della cultura italiana.</w:t>
      </w:r>
    </w:p>
    <w:p w:rsidR="000D789D" w:rsidRPr="00E60A86" w:rsidRDefault="00D24831" w:rsidP="00C6274A">
      <w:pPr>
        <w:autoSpaceDE w:val="0"/>
        <w:autoSpaceDN w:val="0"/>
        <w:adjustRightInd w:val="0"/>
        <w:spacing w:before="240"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C</w:t>
      </w:r>
      <w:r w:rsidR="000D789D" w:rsidRPr="00E60A86">
        <w:rPr>
          <w:rFonts w:asciiTheme="minorHAnsi" w:hAnsiTheme="minorHAnsi" w:cstheme="minorHAnsi"/>
          <w:b/>
          <w:bCs/>
          <w:color w:val="002060"/>
          <w:sz w:val="24"/>
          <w:szCs w:val="24"/>
          <w:lang w:eastAsia="it-IT"/>
        </w:rPr>
        <w:t>orsi di lingua italiana organizzati dagli Istituti Italiani di Cultura</w:t>
      </w:r>
    </w:p>
    <w:p w:rsidR="00A87E3B" w:rsidRPr="00E60A86" w:rsidRDefault="00A87E3B" w:rsidP="00E97035">
      <w:pPr>
        <w:autoSpaceDE w:val="0"/>
        <w:autoSpaceDN w:val="0"/>
        <w:adjustRightInd w:val="0"/>
        <w:spacing w:after="0" w:line="240" w:lineRule="auto"/>
        <w:jc w:val="both"/>
        <w:rPr>
          <w:color w:val="002060"/>
          <w:sz w:val="24"/>
          <w:szCs w:val="24"/>
        </w:rPr>
      </w:pPr>
      <w:r w:rsidRPr="00E60A86">
        <w:rPr>
          <w:color w:val="002060"/>
          <w:sz w:val="24"/>
          <w:szCs w:val="24"/>
        </w:rPr>
        <w:lastRenderedPageBreak/>
        <w:t>Nel 2023 gli Istituti Italiani di Cultura hanno organizzato circa 7.000 corsi di lingua con un numero di iscritti superiore a 60.000 (+ 6,5%).</w:t>
      </w:r>
    </w:p>
    <w:p w:rsidR="00E60A86" w:rsidRPr="00E60A86" w:rsidRDefault="00E97035" w:rsidP="00E60A86">
      <w:pPr>
        <w:autoSpaceDE w:val="0"/>
        <w:autoSpaceDN w:val="0"/>
        <w:adjustRightInd w:val="0"/>
        <w:spacing w:after="0" w:line="240" w:lineRule="auto"/>
        <w:jc w:val="both"/>
        <w:rPr>
          <w:rFonts w:asciiTheme="minorHAnsi" w:hAnsiTheme="minorHAnsi" w:cstheme="minorHAnsi"/>
          <w:b/>
          <w:bCs/>
          <w:color w:val="002060"/>
          <w:sz w:val="24"/>
          <w:szCs w:val="24"/>
          <w:lang w:eastAsia="it-IT"/>
        </w:rPr>
      </w:pPr>
      <w:r w:rsidRPr="00E60A86">
        <w:rPr>
          <w:color w:val="00B050"/>
          <w:sz w:val="24"/>
          <w:szCs w:val="24"/>
        </w:rPr>
        <w:br/>
      </w:r>
      <w:r w:rsidR="000D789D" w:rsidRPr="00E60A86">
        <w:rPr>
          <w:rFonts w:asciiTheme="minorHAnsi" w:hAnsiTheme="minorHAnsi" w:cstheme="minorHAnsi"/>
          <w:b/>
          <w:bCs/>
          <w:color w:val="002060"/>
          <w:sz w:val="24"/>
          <w:szCs w:val="24"/>
          <w:lang w:eastAsia="it-IT"/>
        </w:rPr>
        <w:t>Patrimonio librario presso gli Istituti Italiani di Cultura</w:t>
      </w:r>
    </w:p>
    <w:p w:rsidR="00E97035" w:rsidRPr="00E60A86" w:rsidRDefault="00A87E3B" w:rsidP="00E60A86">
      <w:pPr>
        <w:autoSpaceDE w:val="0"/>
        <w:autoSpaceDN w:val="0"/>
        <w:adjustRightInd w:val="0"/>
        <w:spacing w:after="0" w:line="240" w:lineRule="auto"/>
        <w:jc w:val="both"/>
        <w:rPr>
          <w:color w:val="002060"/>
          <w:sz w:val="24"/>
          <w:szCs w:val="24"/>
        </w:rPr>
      </w:pPr>
      <w:r w:rsidRPr="00E60A86">
        <w:rPr>
          <w:color w:val="002060"/>
          <w:sz w:val="24"/>
          <w:szCs w:val="24"/>
        </w:rPr>
        <w:t>Le biblioteche degli Istituti Italiani di Cultura custodiscono oltre un milione di volumi; tra le collezioni più nutrite si segnala quella della biblioteca di Parigi con circa 53 mila volumi, seguita da Il Cairo con 36 mila volumi, Buenos Aires con 33 mila, Città del Messico con 32 mila, Madrid 31 mila, Londra con quasi 29 mila, New York con circa 26 mila, Stoccolma e San Paolo con 24,8 mila.</w:t>
      </w:r>
    </w:p>
    <w:p w:rsidR="000D789D" w:rsidRPr="00E60A86" w:rsidRDefault="00066849" w:rsidP="00A87E3B">
      <w:pPr>
        <w:spacing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B050"/>
          <w:sz w:val="24"/>
          <w:szCs w:val="24"/>
          <w:lang w:eastAsia="it-IT"/>
        </w:rPr>
        <w:br/>
      </w:r>
      <w:r w:rsidR="000D789D" w:rsidRPr="00E60A86">
        <w:rPr>
          <w:rFonts w:asciiTheme="minorHAnsi" w:hAnsiTheme="minorHAnsi" w:cstheme="minorHAnsi"/>
          <w:b/>
          <w:bCs/>
          <w:color w:val="002060"/>
          <w:sz w:val="24"/>
          <w:szCs w:val="24"/>
          <w:lang w:eastAsia="it-IT"/>
        </w:rPr>
        <w:t xml:space="preserve">Incentivi alla traduzione, al doppiaggio e alla </w:t>
      </w:r>
      <w:proofErr w:type="spellStart"/>
      <w:r w:rsidR="000D789D" w:rsidRPr="00E60A86">
        <w:rPr>
          <w:rFonts w:asciiTheme="minorHAnsi" w:hAnsiTheme="minorHAnsi" w:cstheme="minorHAnsi"/>
          <w:b/>
          <w:bCs/>
          <w:color w:val="002060"/>
          <w:sz w:val="24"/>
          <w:szCs w:val="24"/>
          <w:lang w:eastAsia="it-IT"/>
        </w:rPr>
        <w:t>sottotitolatura</w:t>
      </w:r>
      <w:proofErr w:type="spellEnd"/>
      <w:r w:rsidR="000D789D" w:rsidRPr="00E60A86">
        <w:rPr>
          <w:rFonts w:asciiTheme="minorHAnsi" w:hAnsiTheme="minorHAnsi" w:cstheme="minorHAnsi"/>
          <w:b/>
          <w:bCs/>
          <w:color w:val="002060"/>
          <w:sz w:val="24"/>
          <w:szCs w:val="24"/>
          <w:lang w:eastAsia="it-IT"/>
        </w:rPr>
        <w:t xml:space="preserve"> di opere italiane</w:t>
      </w:r>
    </w:p>
    <w:p w:rsidR="00A87E3B" w:rsidRPr="00E60A86" w:rsidRDefault="00A87E3B" w:rsidP="00A87E3B">
      <w:pPr>
        <w:autoSpaceDE w:val="0"/>
        <w:autoSpaceDN w:val="0"/>
        <w:adjustRightInd w:val="0"/>
        <w:spacing w:after="120" w:line="240" w:lineRule="auto"/>
        <w:jc w:val="both"/>
        <w:rPr>
          <w:rFonts w:asciiTheme="minorHAnsi" w:hAnsiTheme="minorHAnsi" w:cstheme="minorHAnsi"/>
          <w:b/>
          <w:bCs/>
          <w:color w:val="002060"/>
          <w:sz w:val="24"/>
          <w:szCs w:val="24"/>
          <w:lang w:eastAsia="it-IT"/>
        </w:rPr>
      </w:pPr>
      <w:r w:rsidRPr="00E60A86">
        <w:rPr>
          <w:color w:val="002060"/>
          <w:sz w:val="24"/>
          <w:szCs w:val="24"/>
        </w:rPr>
        <w:t xml:space="preserve">Cresce il numero di contributi erogati per la traduzione e la </w:t>
      </w:r>
      <w:proofErr w:type="spellStart"/>
      <w:r w:rsidRPr="00E60A86">
        <w:rPr>
          <w:color w:val="002060"/>
          <w:sz w:val="24"/>
          <w:szCs w:val="24"/>
        </w:rPr>
        <w:t>sottotitolatura</w:t>
      </w:r>
      <w:proofErr w:type="spellEnd"/>
      <w:r w:rsidRPr="00E60A86">
        <w:rPr>
          <w:color w:val="002060"/>
          <w:sz w:val="24"/>
          <w:szCs w:val="24"/>
        </w:rPr>
        <w:t xml:space="preserve"> di opere italiane e per il doppiaggio: nel 2023 sono stati riconosciuti 402 contributi e 5 premi (+ 30% sul 2022).</w:t>
      </w:r>
      <w:r w:rsidRPr="00E60A86">
        <w:rPr>
          <w:rFonts w:asciiTheme="minorHAnsi" w:hAnsiTheme="minorHAnsi" w:cstheme="minorHAnsi"/>
          <w:b/>
          <w:bCs/>
          <w:color w:val="002060"/>
          <w:sz w:val="24"/>
          <w:szCs w:val="24"/>
          <w:lang w:eastAsia="it-IT"/>
        </w:rPr>
        <w:t xml:space="preserve"> </w:t>
      </w:r>
    </w:p>
    <w:p w:rsidR="00A87E3B" w:rsidRPr="00E60A86" w:rsidRDefault="00A87E3B" w:rsidP="00A87E3B">
      <w:pPr>
        <w:spacing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Promozione culturale e integrata</w:t>
      </w:r>
      <w:r w:rsidR="000D789D" w:rsidRPr="00E60A86">
        <w:rPr>
          <w:rFonts w:asciiTheme="minorHAnsi" w:hAnsiTheme="minorHAnsi" w:cstheme="minorHAnsi"/>
          <w:b/>
          <w:bCs/>
          <w:color w:val="002060"/>
          <w:sz w:val="24"/>
          <w:szCs w:val="24"/>
          <w:lang w:eastAsia="it-IT"/>
        </w:rPr>
        <w:t>”</w:t>
      </w:r>
    </w:p>
    <w:p w:rsidR="00864AA2" w:rsidRDefault="00A87E3B" w:rsidP="00864AA2">
      <w:pPr>
        <w:spacing w:before="240" w:after="0" w:line="240" w:lineRule="auto"/>
        <w:jc w:val="both"/>
        <w:rPr>
          <w:color w:val="002060"/>
          <w:sz w:val="24"/>
          <w:szCs w:val="24"/>
        </w:rPr>
      </w:pPr>
      <w:r w:rsidRPr="00E60A86">
        <w:rPr>
          <w:rFonts w:asciiTheme="minorHAnsi" w:hAnsiTheme="minorHAnsi" w:cstheme="minorHAnsi"/>
          <w:bCs/>
          <w:color w:val="002060"/>
          <w:sz w:val="24"/>
          <w:szCs w:val="24"/>
          <w:lang w:eastAsia="it-IT"/>
        </w:rPr>
        <w:t>La</w:t>
      </w:r>
      <w:r w:rsidRPr="00E60A86">
        <w:rPr>
          <w:color w:val="002060"/>
          <w:sz w:val="24"/>
          <w:szCs w:val="24"/>
        </w:rPr>
        <w:t xml:space="preserve"> rete degli uffici all’estero ha organizzato nel corso del 2023 quasi 12 mila eventi promozionali, distribuiti in differenti settori, che hanno fatto registrare un incremento complessivo del 30% sul 2022: citiamo - tra gli altri - i 2.000 eventi nel campo della lingua, letteratura e editoria (+ 36% sull’anno precedente), i 2.700 eventi nell’ambito dello spettacolo dal vivo (musica, teatro, danza) con un +20% sull’anno precedente, i 2.400 eventi nel settore del Cinema (+ 22%), i 500 eventi nel settore Design, Architettura e Moda (+ 35%).</w:t>
      </w:r>
    </w:p>
    <w:p w:rsidR="000D789D" w:rsidRPr="00E60A86" w:rsidRDefault="000D789D" w:rsidP="00864AA2">
      <w:pPr>
        <w:spacing w:before="240"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Settimana della lingua italiana nel mondo</w:t>
      </w:r>
    </w:p>
    <w:p w:rsidR="00864AA2" w:rsidRDefault="000C4896" w:rsidP="00864AA2">
      <w:pPr>
        <w:spacing w:before="240" w:after="0" w:line="240" w:lineRule="auto"/>
        <w:jc w:val="both"/>
        <w:rPr>
          <w:color w:val="002060"/>
          <w:sz w:val="24"/>
          <w:szCs w:val="24"/>
        </w:rPr>
      </w:pPr>
      <w:r w:rsidRPr="00E60A86">
        <w:rPr>
          <w:color w:val="002060"/>
          <w:sz w:val="24"/>
          <w:szCs w:val="24"/>
        </w:rPr>
        <w:t>Le iniziative realizzate nell’ambito della SLIM (Settimana della Lingua Italiana nel Mondo) crescono del 65%; tra le varie attività si segnalano i 400 incontri e conferenze sulla lingua italiana, i 193 spettacoli/ proiezioni e i 110 eventi dedicati al pubblico più giovane (incluse fiere, visite guidate, quiz, giochi e letture).</w:t>
      </w:r>
    </w:p>
    <w:p w:rsidR="000D789D" w:rsidRPr="00E60A86" w:rsidRDefault="000D789D" w:rsidP="00864AA2">
      <w:pPr>
        <w:spacing w:before="240"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Collezione d’arte Farnesina</w:t>
      </w:r>
    </w:p>
    <w:p w:rsidR="000C4896" w:rsidRPr="00E60A86" w:rsidRDefault="000C4896" w:rsidP="000C4896">
      <w:pPr>
        <w:spacing w:after="0" w:line="240" w:lineRule="auto"/>
        <w:jc w:val="both"/>
        <w:rPr>
          <w:color w:val="002060"/>
          <w:sz w:val="24"/>
          <w:szCs w:val="24"/>
        </w:rPr>
      </w:pPr>
      <w:r w:rsidRPr="00E60A86">
        <w:rPr>
          <w:rFonts w:asciiTheme="minorHAnsi" w:hAnsiTheme="minorHAnsi" w:cstheme="minorHAnsi"/>
          <w:bCs/>
          <w:color w:val="002060"/>
          <w:sz w:val="24"/>
          <w:szCs w:val="24"/>
          <w:lang w:eastAsia="it-IT"/>
        </w:rPr>
        <w:t>Boom</w:t>
      </w:r>
      <w:r w:rsidRPr="00E60A86">
        <w:rPr>
          <w:color w:val="002060"/>
          <w:sz w:val="24"/>
          <w:szCs w:val="24"/>
        </w:rPr>
        <w:t xml:space="preserve"> di visitatori alla Farnesina per ammirare le opere esposte: sono oltre 2.500 i cittadini che hanno varcato le porte del Palazzo per partecipare alle visite guidate - ben oltre il 1.500 registrati nel 2019 - con un incremento del 74% su 2022.</w:t>
      </w:r>
    </w:p>
    <w:p w:rsidR="000D789D" w:rsidRPr="00E60A86" w:rsidRDefault="000D789D" w:rsidP="009D691D">
      <w:pPr>
        <w:autoSpaceDE w:val="0"/>
        <w:autoSpaceDN w:val="0"/>
        <w:adjustRightInd w:val="0"/>
        <w:spacing w:before="120"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Borse di studio</w:t>
      </w:r>
    </w:p>
    <w:p w:rsidR="00572154" w:rsidRPr="00E60A86" w:rsidRDefault="000C4896" w:rsidP="00572154">
      <w:pPr>
        <w:autoSpaceDE w:val="0"/>
        <w:autoSpaceDN w:val="0"/>
        <w:adjustRightInd w:val="0"/>
        <w:spacing w:after="0" w:line="240" w:lineRule="auto"/>
        <w:jc w:val="both"/>
        <w:rPr>
          <w:rFonts w:asciiTheme="minorHAnsi" w:hAnsiTheme="minorHAnsi" w:cstheme="minorHAnsi"/>
          <w:color w:val="002060"/>
          <w:sz w:val="24"/>
          <w:szCs w:val="24"/>
          <w:lang w:eastAsia="it-IT"/>
        </w:rPr>
      </w:pPr>
      <w:r w:rsidRPr="00E60A86">
        <w:rPr>
          <w:color w:val="002060"/>
          <w:sz w:val="24"/>
          <w:szCs w:val="24"/>
        </w:rPr>
        <w:t>Per l’anno accademico 2023/2024 le borse di studio assegnate dal Governo italiano a studenti stranieri e italiani sono state conteggiate in 7.385 mensilità.</w:t>
      </w:r>
    </w:p>
    <w:p w:rsidR="000D789D" w:rsidRPr="00E60A86" w:rsidRDefault="000D789D" w:rsidP="003D4D90">
      <w:pPr>
        <w:autoSpaceDE w:val="0"/>
        <w:autoSpaceDN w:val="0"/>
        <w:adjustRightInd w:val="0"/>
        <w:spacing w:before="240"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Missioni archeologiche</w:t>
      </w:r>
    </w:p>
    <w:p w:rsidR="000D789D" w:rsidRPr="00E60A86" w:rsidRDefault="002105E3" w:rsidP="00572154">
      <w:pPr>
        <w:autoSpaceDE w:val="0"/>
        <w:autoSpaceDN w:val="0"/>
        <w:adjustRightInd w:val="0"/>
        <w:spacing w:after="0" w:line="240" w:lineRule="auto"/>
        <w:jc w:val="both"/>
        <w:rPr>
          <w:rFonts w:asciiTheme="minorHAnsi" w:hAnsiTheme="minorHAnsi" w:cstheme="minorHAnsi"/>
          <w:color w:val="002060"/>
          <w:sz w:val="24"/>
          <w:szCs w:val="24"/>
          <w:lang w:eastAsia="it-IT"/>
        </w:rPr>
      </w:pPr>
      <w:r w:rsidRPr="00E60A86">
        <w:rPr>
          <w:color w:val="002060"/>
          <w:sz w:val="24"/>
          <w:szCs w:val="24"/>
        </w:rPr>
        <w:t>La promozione della cultura italiana si attua anche attraverso la concessione di contributi alle missioni archeologiche, antropologiche ed etnologiche italiane all’estero. Tali missioni rappresentano un’attività di grande rilievo e un prezioso strumento di formazione per operatori locali e di trasferimento di conoscenze e di tecnologie nei settori dell’archeologia, restauro e tutela del patrimonio. Nel 2023 sono state sostenute 279 missioni attraverso la concessione di contributi o riconoscimenti istituzionali.</w:t>
      </w:r>
    </w:p>
    <w:p w:rsidR="000D789D" w:rsidRPr="00E60A86" w:rsidRDefault="000D789D" w:rsidP="003D4D90">
      <w:pPr>
        <w:autoSpaceDE w:val="0"/>
        <w:autoSpaceDN w:val="0"/>
        <w:adjustRightInd w:val="0"/>
        <w:spacing w:before="240"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Cooperazione scientifico-tecnologica</w:t>
      </w:r>
    </w:p>
    <w:p w:rsidR="000D789D" w:rsidRPr="00E60A86" w:rsidRDefault="00333B78" w:rsidP="00572154">
      <w:pPr>
        <w:autoSpaceDE w:val="0"/>
        <w:autoSpaceDN w:val="0"/>
        <w:adjustRightInd w:val="0"/>
        <w:spacing w:after="0" w:line="240" w:lineRule="auto"/>
        <w:jc w:val="both"/>
        <w:rPr>
          <w:rFonts w:asciiTheme="minorHAnsi" w:hAnsiTheme="minorHAnsi" w:cstheme="minorHAnsi"/>
          <w:color w:val="002060"/>
          <w:sz w:val="24"/>
          <w:szCs w:val="24"/>
          <w:lang w:eastAsia="it-IT"/>
        </w:rPr>
      </w:pPr>
      <w:r w:rsidRPr="00E60A86">
        <w:rPr>
          <w:color w:val="002060"/>
          <w:sz w:val="24"/>
          <w:szCs w:val="24"/>
        </w:rPr>
        <w:t>Sono 65 i progetti di “Grande rilevanza” ammessi a finanziamento e rappresentano la quota del 93% sul totale dei progetti presentati. Si conferma stabile lo scambio di ricercatori da e verso l’Italia nell’ambito dei progetti di mobilità.</w:t>
      </w:r>
    </w:p>
    <w:p w:rsidR="000D789D" w:rsidRPr="00E60A86" w:rsidRDefault="000D789D" w:rsidP="003D4D90">
      <w:pPr>
        <w:autoSpaceDE w:val="0"/>
        <w:autoSpaceDN w:val="0"/>
        <w:adjustRightInd w:val="0"/>
        <w:spacing w:before="240"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lastRenderedPageBreak/>
        <w:t>Diplomazia economica</w:t>
      </w:r>
    </w:p>
    <w:p w:rsidR="00864AA2" w:rsidRDefault="00333B78" w:rsidP="00864AA2">
      <w:pPr>
        <w:autoSpaceDE w:val="0"/>
        <w:autoSpaceDN w:val="0"/>
        <w:adjustRightInd w:val="0"/>
        <w:spacing w:after="0" w:line="240" w:lineRule="auto"/>
        <w:jc w:val="both"/>
        <w:rPr>
          <w:color w:val="002060"/>
          <w:sz w:val="24"/>
          <w:szCs w:val="24"/>
        </w:rPr>
      </w:pPr>
      <w:r w:rsidRPr="00E60A86">
        <w:rPr>
          <w:color w:val="002060"/>
          <w:sz w:val="24"/>
          <w:szCs w:val="24"/>
        </w:rPr>
        <w:t>La rete diplomatico-consolare con le Camere di Commercio e l’Agenzia ICE sostiene le imprese italiane nella diffusione di notizie inerenti i bandi di gara e le grandi commesse: nel 2023 sono stati comunicati 4.797 bandi gara di appalto e 366 anticipazioni su gare e grandi commesse. Il numero degli utenti dei servizi informativi a sostegno dell’internazionalizzazione delle imprese italiane sfiora quota 681 mila e sono 1,7 milioni le pagine visualizzate di “</w:t>
      </w:r>
      <w:proofErr w:type="spellStart"/>
      <w:r w:rsidRPr="00E60A86">
        <w:rPr>
          <w:color w:val="002060"/>
          <w:sz w:val="24"/>
          <w:szCs w:val="24"/>
        </w:rPr>
        <w:t>ExTender</w:t>
      </w:r>
      <w:proofErr w:type="spellEnd"/>
      <w:r w:rsidRPr="00E60A86">
        <w:rPr>
          <w:color w:val="002060"/>
          <w:sz w:val="24"/>
          <w:szCs w:val="24"/>
        </w:rPr>
        <w:t>”, il sistema informativo sulle opportunità di business all’estero che offre un servizio mirato di selezione e invio delle informazioni alle imprese.</w:t>
      </w:r>
    </w:p>
    <w:p w:rsidR="000D789D" w:rsidRPr="00E60A86" w:rsidRDefault="00572154" w:rsidP="00864AA2">
      <w:pPr>
        <w:autoSpaceDE w:val="0"/>
        <w:autoSpaceDN w:val="0"/>
        <w:adjustRightInd w:val="0"/>
        <w:spacing w:before="120"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I</w:t>
      </w:r>
      <w:r w:rsidR="000D789D" w:rsidRPr="00E60A86">
        <w:rPr>
          <w:rFonts w:asciiTheme="minorHAnsi" w:hAnsiTheme="minorHAnsi" w:cstheme="minorHAnsi"/>
          <w:b/>
          <w:bCs/>
          <w:color w:val="002060"/>
          <w:sz w:val="24"/>
          <w:szCs w:val="24"/>
          <w:lang w:eastAsia="it-IT"/>
        </w:rPr>
        <w:t>TALIANI ALL’ESTERO</w:t>
      </w:r>
    </w:p>
    <w:p w:rsidR="00572154" w:rsidRPr="00E60A86" w:rsidRDefault="00E97035" w:rsidP="00864AA2">
      <w:pPr>
        <w:autoSpaceDE w:val="0"/>
        <w:autoSpaceDN w:val="0"/>
        <w:adjustRightInd w:val="0"/>
        <w:spacing w:before="120" w:after="120" w:line="240" w:lineRule="auto"/>
        <w:jc w:val="both"/>
        <w:rPr>
          <w:rFonts w:asciiTheme="minorHAnsi" w:hAnsiTheme="minorHAnsi" w:cstheme="minorHAnsi"/>
          <w:color w:val="002060"/>
          <w:sz w:val="24"/>
          <w:szCs w:val="24"/>
          <w:lang w:eastAsia="it-IT"/>
        </w:rPr>
      </w:pPr>
      <w:r w:rsidRPr="00E60A86">
        <w:rPr>
          <w:color w:val="002060"/>
          <w:sz w:val="24"/>
          <w:szCs w:val="24"/>
        </w:rPr>
        <w:t>In questa sezione dell’Annuario statistico sono presentate le notizie relative ai principali servizi erogati ai cittadini italiani all’estero tramite la rete diplomaticoconsolare, inclusi i dati sulla tutela e l’assistenza a residenti e turisti, sugli interventi effettuati in situazioni di emergenza, sui detenuti italiani all’estero e sulla sottrazione internazionale di minori italiani</w:t>
      </w:r>
      <w:r w:rsidR="000D789D" w:rsidRPr="00E60A86">
        <w:rPr>
          <w:rFonts w:asciiTheme="minorHAnsi" w:hAnsiTheme="minorHAnsi" w:cstheme="minorHAnsi"/>
          <w:color w:val="002060"/>
          <w:sz w:val="24"/>
          <w:szCs w:val="24"/>
          <w:lang w:eastAsia="it-IT"/>
        </w:rPr>
        <w:t>.</w:t>
      </w:r>
      <w:r w:rsidR="00572154" w:rsidRPr="00E60A86">
        <w:rPr>
          <w:rFonts w:asciiTheme="minorHAnsi" w:hAnsiTheme="minorHAnsi" w:cstheme="minorHAnsi"/>
          <w:color w:val="002060"/>
          <w:sz w:val="24"/>
          <w:szCs w:val="24"/>
          <w:lang w:eastAsia="it-IT"/>
        </w:rPr>
        <w:t xml:space="preserve"> </w:t>
      </w:r>
    </w:p>
    <w:p w:rsidR="000D789D" w:rsidRPr="00E60A86" w:rsidRDefault="000D789D" w:rsidP="00333B78">
      <w:pPr>
        <w:autoSpaceDE w:val="0"/>
        <w:autoSpaceDN w:val="0"/>
        <w:adjustRightInd w:val="0"/>
        <w:spacing w:before="120"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Anagrafe consolare</w:t>
      </w:r>
    </w:p>
    <w:p w:rsidR="00333B78" w:rsidRPr="00E60A86" w:rsidRDefault="00333B78" w:rsidP="00333B78">
      <w:pPr>
        <w:autoSpaceDE w:val="0"/>
        <w:autoSpaceDN w:val="0"/>
        <w:adjustRightInd w:val="0"/>
        <w:spacing w:before="120" w:after="0" w:line="240" w:lineRule="auto"/>
        <w:jc w:val="both"/>
        <w:rPr>
          <w:color w:val="002060"/>
          <w:sz w:val="24"/>
          <w:szCs w:val="24"/>
        </w:rPr>
      </w:pPr>
      <w:r w:rsidRPr="00E60A86">
        <w:rPr>
          <w:color w:val="002060"/>
          <w:sz w:val="24"/>
          <w:szCs w:val="24"/>
        </w:rPr>
        <w:t>Aumenta del 4% il numero dei connazionali registrati negli schedari consolari (quasi 7 milioni in totale); l’Argentina si conferma il Paese con la collettività italiana più numerosa pari a 1,171 milioni di iscritti, seguita da Germania, Brasile e Svizzera.</w:t>
      </w:r>
    </w:p>
    <w:p w:rsidR="000D789D" w:rsidRPr="00E60A86" w:rsidRDefault="000D789D" w:rsidP="00333B78">
      <w:pPr>
        <w:autoSpaceDE w:val="0"/>
        <w:autoSpaceDN w:val="0"/>
        <w:adjustRightInd w:val="0"/>
        <w:spacing w:before="120" w:after="12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Interventi in situazioni di emergenza</w:t>
      </w:r>
    </w:p>
    <w:p w:rsidR="00333B78" w:rsidRPr="00E60A86" w:rsidRDefault="00333B78" w:rsidP="00333B78">
      <w:pPr>
        <w:autoSpaceDE w:val="0"/>
        <w:autoSpaceDN w:val="0"/>
        <w:adjustRightInd w:val="0"/>
        <w:spacing w:before="120" w:after="120" w:line="240" w:lineRule="auto"/>
        <w:jc w:val="both"/>
        <w:rPr>
          <w:color w:val="002060"/>
          <w:sz w:val="24"/>
          <w:szCs w:val="24"/>
        </w:rPr>
      </w:pPr>
      <w:r w:rsidRPr="00E60A86">
        <w:rPr>
          <w:color w:val="002060"/>
          <w:sz w:val="24"/>
          <w:szCs w:val="24"/>
        </w:rPr>
        <w:t>I dati presenti nella tavola 2.44 illustrano gli interventi di protezione effettuati a tutela dei nostri connazionali all’estero, sia di natura consolare (coordinati dalla Direzione generale per gli Italiani all’estero e le politiche migratorie) sia connessi a situazioni di emergenza e come tali gestiti dall’Unità di crisi della Farnesina e dall’Arma dei Carabinieri. Nel 2023 gli interventi di protezione consolare sono stati 33.846, mentre le missioni affidate ai Carabinieri sono state 556 e gli interventi dell’Unità di crisi 545.</w:t>
      </w:r>
    </w:p>
    <w:p w:rsidR="000D789D" w:rsidRPr="00E60A86" w:rsidRDefault="000D789D" w:rsidP="003D4D90">
      <w:pPr>
        <w:autoSpaceDE w:val="0"/>
        <w:autoSpaceDN w:val="0"/>
        <w:adjustRightInd w:val="0"/>
        <w:spacing w:before="240"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Detenuti italiani all’estero e minori contesi</w:t>
      </w:r>
    </w:p>
    <w:p w:rsidR="000D789D" w:rsidRPr="00E60A86" w:rsidRDefault="005877FB" w:rsidP="00572154">
      <w:pPr>
        <w:autoSpaceDE w:val="0"/>
        <w:autoSpaceDN w:val="0"/>
        <w:adjustRightInd w:val="0"/>
        <w:spacing w:after="0" w:line="240" w:lineRule="auto"/>
        <w:jc w:val="both"/>
        <w:rPr>
          <w:color w:val="002060"/>
          <w:sz w:val="24"/>
          <w:szCs w:val="24"/>
        </w:rPr>
      </w:pPr>
      <w:r w:rsidRPr="00E60A86">
        <w:rPr>
          <w:color w:val="002060"/>
          <w:sz w:val="24"/>
          <w:szCs w:val="24"/>
        </w:rPr>
        <w:t>Nel 2022 il numero di detenuti italiani all’estero registrati dalle nostre sedi è pari a 1.924 (il dettaglio per situazione giudiziaria, area geografica e paese è consultabile nelle tavole 2.47). A seguire, nelle tavole 2.48 e 2.49 vengono illustrati i dati inerenti l’assistenza prestata dal MAECI a minori contesi italiani (317 sono i casi complessivamente gestiti nell’anno 2022) e i casi di sottrazione internazionale di minori italiani trattati dal Ministero.</w:t>
      </w:r>
    </w:p>
    <w:p w:rsidR="000D789D" w:rsidRPr="00E60A86" w:rsidRDefault="000D789D" w:rsidP="00BB5A12">
      <w:pPr>
        <w:autoSpaceDE w:val="0"/>
        <w:autoSpaceDN w:val="0"/>
        <w:adjustRightInd w:val="0"/>
        <w:spacing w:before="240" w:after="12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VISTI DI INGRESSO IN ITALIA</w:t>
      </w:r>
    </w:p>
    <w:p w:rsidR="00BB5A12" w:rsidRPr="00E60A86" w:rsidRDefault="00BB5A12" w:rsidP="00BB5A12">
      <w:pPr>
        <w:autoSpaceDE w:val="0"/>
        <w:autoSpaceDN w:val="0"/>
        <w:adjustRightInd w:val="0"/>
        <w:spacing w:before="240" w:after="120" w:line="240" w:lineRule="auto"/>
        <w:jc w:val="both"/>
        <w:rPr>
          <w:color w:val="002060"/>
          <w:sz w:val="24"/>
          <w:szCs w:val="24"/>
        </w:rPr>
      </w:pPr>
      <w:r w:rsidRPr="00E60A86">
        <w:rPr>
          <w:color w:val="002060"/>
          <w:sz w:val="24"/>
          <w:szCs w:val="24"/>
        </w:rPr>
        <w:t>Dopo la fase di rallentamento imposta dalla pandemia, nel 2023 si torna a superare la soglia del milione di visti rilasciati con un aumento del 48% rispetto al 2022. Nel 2023 la Repubblica Popolare Cinese ha richiesto 151 mila visti di ingresso nel nostro Paese, seguita dalla Federazione Russa con 138 mila, dalla Turchia con 129 mila. Cresce del 60% la quota dei visti emessi per “Turismo” e tale tipologia rappresenta il 63% del totale visti rilasciati; quella per “Affari”, invece, registra un + 55% e rappresenta il 12% del totale.</w:t>
      </w:r>
    </w:p>
    <w:p w:rsidR="000D789D" w:rsidRPr="00E60A86" w:rsidRDefault="000D789D" w:rsidP="003D4D90">
      <w:pPr>
        <w:autoSpaceDE w:val="0"/>
        <w:autoSpaceDN w:val="0"/>
        <w:adjustRightInd w:val="0"/>
        <w:spacing w:before="360"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COOPERAZIONE ALLO SVILUPPO</w:t>
      </w:r>
    </w:p>
    <w:p w:rsidR="00BB5A12" w:rsidRPr="00E60A86" w:rsidRDefault="00BB5A12" w:rsidP="00BB5A12">
      <w:pPr>
        <w:autoSpaceDE w:val="0"/>
        <w:autoSpaceDN w:val="0"/>
        <w:adjustRightInd w:val="0"/>
        <w:spacing w:before="240" w:after="0" w:line="240" w:lineRule="auto"/>
        <w:jc w:val="both"/>
        <w:rPr>
          <w:color w:val="002060"/>
          <w:sz w:val="24"/>
          <w:szCs w:val="24"/>
        </w:rPr>
      </w:pPr>
      <w:r w:rsidRPr="00E60A86">
        <w:rPr>
          <w:color w:val="002060"/>
          <w:sz w:val="24"/>
          <w:szCs w:val="24"/>
        </w:rPr>
        <w:t xml:space="preserve">Per il 2023 le risorse destinate al finanziamento della cooperazione allo sviluppo da parte DGCS/ AICS e delle altre Direzioni Generali del MAECI sul canale bilaterale ammontano a € 614.244.259 mentre quelle sul canale multilaterale sono pari a € 559.623.747 (di questi € 257.802.390 </w:t>
      </w:r>
      <w:r w:rsidRPr="00E60A86">
        <w:rPr>
          <w:color w:val="002060"/>
          <w:sz w:val="24"/>
          <w:szCs w:val="24"/>
        </w:rPr>
        <w:lastRenderedPageBreak/>
        <w:t>costituiscono il contributo al Fondo Europeo di Sviluppo). Le tavole 2.57 e 2.58 contengono i dati relativi ai contributi impegnati e erogati in favore di Organismi internazionali, mentre la tavola 2.59 presenta il quadro dei progetti promossi/affidati a Organizzazioni Non Governative.</w:t>
      </w:r>
    </w:p>
    <w:p w:rsidR="000D789D" w:rsidRPr="00E60A86" w:rsidRDefault="000D789D" w:rsidP="00BB5A12">
      <w:pPr>
        <w:autoSpaceDE w:val="0"/>
        <w:autoSpaceDN w:val="0"/>
        <w:adjustRightInd w:val="0"/>
        <w:spacing w:before="240" w:after="12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Ristrutturazione e cancellazione del debito</w:t>
      </w:r>
    </w:p>
    <w:p w:rsidR="00BB5A12" w:rsidRPr="00E60A86" w:rsidRDefault="00BB5A12" w:rsidP="00BB5A12">
      <w:pPr>
        <w:autoSpaceDE w:val="0"/>
        <w:autoSpaceDN w:val="0"/>
        <w:adjustRightInd w:val="0"/>
        <w:spacing w:before="240" w:after="120" w:line="240" w:lineRule="auto"/>
        <w:jc w:val="both"/>
        <w:rPr>
          <w:color w:val="002060"/>
          <w:sz w:val="24"/>
          <w:szCs w:val="24"/>
        </w:rPr>
      </w:pPr>
      <w:r w:rsidRPr="00E60A86">
        <w:rPr>
          <w:rFonts w:asciiTheme="minorHAnsi" w:hAnsiTheme="minorHAnsi" w:cstheme="minorHAnsi"/>
          <w:bCs/>
          <w:color w:val="002060"/>
          <w:sz w:val="24"/>
          <w:szCs w:val="24"/>
          <w:lang w:eastAsia="it-IT"/>
        </w:rPr>
        <w:t>Le tavole 2.60 e seguenti presentano le cif</w:t>
      </w:r>
      <w:r w:rsidRPr="00E60A86">
        <w:rPr>
          <w:color w:val="002060"/>
          <w:sz w:val="24"/>
          <w:szCs w:val="24"/>
        </w:rPr>
        <w:t xml:space="preserve">re relative agli accordi bilaterali di ristrutturazione e/o cancellazione del debito, di conversione debitoria, di debito estero cancellato dall’Italia. </w:t>
      </w:r>
    </w:p>
    <w:p w:rsidR="000D789D" w:rsidRPr="00E60A86" w:rsidRDefault="000D789D" w:rsidP="00BB5A12">
      <w:pPr>
        <w:autoSpaceDE w:val="0"/>
        <w:autoSpaceDN w:val="0"/>
        <w:adjustRightInd w:val="0"/>
        <w:spacing w:before="240" w:after="12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COMUNICAZIONE ISTITUZIONALE E INFORMAZIONE</w:t>
      </w:r>
    </w:p>
    <w:p w:rsidR="00BB5A12" w:rsidRPr="00E60A86" w:rsidRDefault="00BB5A12" w:rsidP="00BB5A12">
      <w:pPr>
        <w:autoSpaceDE w:val="0"/>
        <w:autoSpaceDN w:val="0"/>
        <w:adjustRightInd w:val="0"/>
        <w:spacing w:before="240" w:after="120" w:line="240" w:lineRule="auto"/>
        <w:jc w:val="both"/>
        <w:rPr>
          <w:color w:val="002060"/>
          <w:sz w:val="24"/>
          <w:szCs w:val="24"/>
        </w:rPr>
      </w:pPr>
      <w:r w:rsidRPr="00E60A86">
        <w:rPr>
          <w:color w:val="002060"/>
          <w:sz w:val="24"/>
          <w:szCs w:val="24"/>
        </w:rPr>
        <w:t xml:space="preserve">Il numero delle visualizzazioni del sito web della Farnesina supera i 17 milioni di pagine uniche e nel 2023 il MAECI apre il nuovo profilo </w:t>
      </w:r>
      <w:proofErr w:type="spellStart"/>
      <w:r w:rsidRPr="00E60A86">
        <w:rPr>
          <w:color w:val="002060"/>
          <w:sz w:val="24"/>
          <w:szCs w:val="24"/>
        </w:rPr>
        <w:t>LinkedIn</w:t>
      </w:r>
      <w:proofErr w:type="spellEnd"/>
      <w:r w:rsidRPr="00E60A86">
        <w:rPr>
          <w:color w:val="002060"/>
          <w:sz w:val="24"/>
          <w:szCs w:val="24"/>
        </w:rPr>
        <w:t>. Dal punto di vista delle richieste pervenute all’ufficio relazioni con il pubblico, si segnala il progressivo decremento della categoria “consigli di viaggio” dovuto al termine della pandemia e delle restrizioni collegate, mentre l’incremento della voce “Altro” è legato al numero di segnalazioni/petizioni su argomenti di particolare interesse nel 2023 come, ad esempio, il conflitto in Ucraina e la crisi israelo-palestinese.</w:t>
      </w:r>
    </w:p>
    <w:p w:rsidR="000D789D" w:rsidRPr="00E60A86" w:rsidRDefault="000D789D" w:rsidP="00BB5A12">
      <w:pPr>
        <w:autoSpaceDE w:val="0"/>
        <w:autoSpaceDN w:val="0"/>
        <w:adjustRightInd w:val="0"/>
        <w:spacing w:before="240" w:after="12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RAPPORTI CON IL PARLAMENTO</w:t>
      </w:r>
    </w:p>
    <w:p w:rsidR="00BB5A12" w:rsidRPr="00E60A86" w:rsidRDefault="00BB5A12" w:rsidP="00BB5A12">
      <w:pPr>
        <w:autoSpaceDE w:val="0"/>
        <w:autoSpaceDN w:val="0"/>
        <w:adjustRightInd w:val="0"/>
        <w:spacing w:before="240" w:after="120" w:line="240" w:lineRule="auto"/>
        <w:jc w:val="both"/>
        <w:rPr>
          <w:color w:val="002060"/>
          <w:sz w:val="24"/>
          <w:szCs w:val="24"/>
        </w:rPr>
      </w:pPr>
      <w:r w:rsidRPr="00E60A86">
        <w:rPr>
          <w:color w:val="002060"/>
          <w:sz w:val="24"/>
          <w:szCs w:val="24"/>
        </w:rPr>
        <w:t>Il numero degli atti di sindacato ispettivo indirizzati al MAECI nel 2023 è pari a 334. Gli interventi in Parlamento del Ministro degli Esteri, dei Vice Ministri e dei Sottosegretari di Stato sono illustrati nella tavola 2.72.</w:t>
      </w:r>
    </w:p>
    <w:p w:rsidR="000D789D" w:rsidRPr="00E60A86" w:rsidRDefault="00B32C3A" w:rsidP="003D4D90">
      <w:pPr>
        <w:autoSpaceDE w:val="0"/>
        <w:autoSpaceDN w:val="0"/>
        <w:adjustRightInd w:val="0"/>
        <w:spacing w:before="360" w:after="0" w:line="240" w:lineRule="auto"/>
        <w:jc w:val="both"/>
        <w:rPr>
          <w:rFonts w:asciiTheme="minorHAnsi" w:hAnsiTheme="minorHAnsi" w:cstheme="minorHAnsi"/>
          <w:b/>
          <w:bCs/>
          <w:color w:val="002060"/>
          <w:sz w:val="24"/>
          <w:szCs w:val="24"/>
          <w:lang w:eastAsia="it-IT"/>
        </w:rPr>
      </w:pPr>
      <w:r w:rsidRPr="00E60A86">
        <w:rPr>
          <w:rFonts w:asciiTheme="minorHAnsi" w:hAnsiTheme="minorHAnsi" w:cstheme="minorHAnsi"/>
          <w:b/>
          <w:bCs/>
          <w:color w:val="002060"/>
          <w:sz w:val="24"/>
          <w:szCs w:val="24"/>
          <w:lang w:eastAsia="it-IT"/>
        </w:rPr>
        <w:t>CONFRONTO CON ALTRI PAESI</w:t>
      </w:r>
    </w:p>
    <w:p w:rsidR="000D789D" w:rsidRPr="00E60A86" w:rsidRDefault="00EB661A" w:rsidP="00EB661A">
      <w:pPr>
        <w:autoSpaceDE w:val="0"/>
        <w:autoSpaceDN w:val="0"/>
        <w:adjustRightInd w:val="0"/>
        <w:spacing w:before="120" w:after="120" w:line="240" w:lineRule="auto"/>
        <w:jc w:val="both"/>
        <w:rPr>
          <w:color w:val="002060"/>
          <w:sz w:val="24"/>
          <w:szCs w:val="24"/>
        </w:rPr>
      </w:pPr>
      <w:r w:rsidRPr="00E60A86">
        <w:rPr>
          <w:color w:val="002060"/>
          <w:sz w:val="24"/>
          <w:szCs w:val="24"/>
        </w:rPr>
        <w:t>Nel terzo capitolo dell’Annuario statistico vengono illustrati i principali elementi comuni ai Ministeri degli Esteri di alcuni Paesi europei (Francia, Germania, Paesi Bassi, Polonia, Regno Unito, Spagna e Turchia). Le informazioni a confronto riguardano la struttura organizzativa, la dotazione di personale (per componente di ruolo e non), le quote di bilancio (dello Stato e del Ministero degli Esteri). Le fonti di riferimento per i dati del bilancio nazionale e del Prodotto Interno Lordo sono EUROSTAT e Fondo Monetario Internazionale, mentre i dati inerenti le risorse umane e finanziarie dei Ministeri degli Esteri vengono acquisiti direttamente dalle amministrazioni locali per il tramite delle sedi diplomatiche. Il risultato è interessante soprattutto per la dimensione dei valori assoluti, ma è opportuno segnalare che nella lettura e nell’interpretazione comparativa dei dati deve essere sempre tenuta presente la complessità di confronto tra istituzioni differenti non solo per forma dello Stato e di Governo, ma anche per metodi e procedure applicati alla contabilità nazionale e alla gestione delle risorse umane.</w:t>
      </w:r>
    </w:p>
    <w:sectPr w:rsidR="000D789D" w:rsidRPr="00E60A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5E4"/>
    <w:rsid w:val="00056570"/>
    <w:rsid w:val="00066849"/>
    <w:rsid w:val="00096166"/>
    <w:rsid w:val="000C4896"/>
    <w:rsid w:val="000D45E4"/>
    <w:rsid w:val="000D789D"/>
    <w:rsid w:val="000D7DA9"/>
    <w:rsid w:val="00105411"/>
    <w:rsid w:val="00177AA8"/>
    <w:rsid w:val="001F51AB"/>
    <w:rsid w:val="002105E3"/>
    <w:rsid w:val="00225C4B"/>
    <w:rsid w:val="002E039D"/>
    <w:rsid w:val="00333B78"/>
    <w:rsid w:val="00361826"/>
    <w:rsid w:val="00370846"/>
    <w:rsid w:val="003B074B"/>
    <w:rsid w:val="003D4D90"/>
    <w:rsid w:val="0041392A"/>
    <w:rsid w:val="004512FD"/>
    <w:rsid w:val="0048468E"/>
    <w:rsid w:val="004B10AD"/>
    <w:rsid w:val="004E1168"/>
    <w:rsid w:val="00515D24"/>
    <w:rsid w:val="00535D9A"/>
    <w:rsid w:val="00572154"/>
    <w:rsid w:val="005877FB"/>
    <w:rsid w:val="005F508D"/>
    <w:rsid w:val="00627B1F"/>
    <w:rsid w:val="006A12CD"/>
    <w:rsid w:val="006B43F3"/>
    <w:rsid w:val="006E4F8B"/>
    <w:rsid w:val="00765A2C"/>
    <w:rsid w:val="007862A6"/>
    <w:rsid w:val="00786A02"/>
    <w:rsid w:val="007A56D0"/>
    <w:rsid w:val="007B4938"/>
    <w:rsid w:val="007C3CC7"/>
    <w:rsid w:val="008563FF"/>
    <w:rsid w:val="00864AA2"/>
    <w:rsid w:val="00891AE3"/>
    <w:rsid w:val="008A4CF7"/>
    <w:rsid w:val="00951B7F"/>
    <w:rsid w:val="009A633F"/>
    <w:rsid w:val="009D691D"/>
    <w:rsid w:val="00A23EA0"/>
    <w:rsid w:val="00A87E3B"/>
    <w:rsid w:val="00B32C3A"/>
    <w:rsid w:val="00B941D0"/>
    <w:rsid w:val="00BB5A12"/>
    <w:rsid w:val="00C46718"/>
    <w:rsid w:val="00C6274A"/>
    <w:rsid w:val="00C77553"/>
    <w:rsid w:val="00C86ECA"/>
    <w:rsid w:val="00D24831"/>
    <w:rsid w:val="00D77C3C"/>
    <w:rsid w:val="00DA4635"/>
    <w:rsid w:val="00E01AEE"/>
    <w:rsid w:val="00E45C44"/>
    <w:rsid w:val="00E60A86"/>
    <w:rsid w:val="00E61D8D"/>
    <w:rsid w:val="00E841F3"/>
    <w:rsid w:val="00E97035"/>
    <w:rsid w:val="00EA1C6A"/>
    <w:rsid w:val="00EB661A"/>
    <w:rsid w:val="00F96C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12BB"/>
  <w15:chartTrackingRefBased/>
  <w15:docId w15:val="{D242727D-537F-4223-9DF7-E32DE7DD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1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2949</Words>
  <Characters>16814</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Prima Daniela</dc:creator>
  <cp:keywords/>
  <dc:description/>
  <cp:lastModifiedBy>Di Prima Daniela</cp:lastModifiedBy>
  <cp:revision>3</cp:revision>
  <dcterms:created xsi:type="dcterms:W3CDTF">2024-12-06T09:11:00Z</dcterms:created>
  <dcterms:modified xsi:type="dcterms:W3CDTF">2024-12-06T09:58:00Z</dcterms:modified>
</cp:coreProperties>
</file>